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BF3AC7" w14:textId="4B813296" w:rsidR="008F138F" w:rsidRDefault="008F138F">
      <w:pPr>
        <w:rPr>
          <w:rFonts w:hint="eastAsia"/>
        </w:rPr>
      </w:pPr>
    </w:p>
    <w:tbl>
      <w:tblPr>
        <w:tblStyle w:val="TableGrid"/>
        <w:tblW w:w="9010" w:type="dxa"/>
        <w:tblLook w:val="04A0" w:firstRow="1" w:lastRow="0" w:firstColumn="1" w:lastColumn="0" w:noHBand="0" w:noVBand="1"/>
      </w:tblPr>
      <w:tblGrid>
        <w:gridCol w:w="1315"/>
        <w:gridCol w:w="4854"/>
        <w:gridCol w:w="1133"/>
        <w:gridCol w:w="1708"/>
      </w:tblGrid>
      <w:tr w:rsidR="008F138F" w:rsidRPr="008F138F" w14:paraId="33777374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1AFA47CE" w14:textId="77777777" w:rsidR="008F138F" w:rsidRPr="008F138F" w:rsidRDefault="008F138F" w:rsidP="008F138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Evidence Topic</w:t>
            </w:r>
          </w:p>
        </w:tc>
        <w:tc>
          <w:tcPr>
            <w:tcW w:w="5269" w:type="dxa"/>
            <w:noWrap/>
            <w:hideMark/>
          </w:tcPr>
          <w:p w14:paraId="0EA1652F" w14:textId="77777777" w:rsidR="008F138F" w:rsidRPr="008F138F" w:rsidRDefault="008F138F" w:rsidP="008F138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Evidence Content</w:t>
            </w:r>
          </w:p>
        </w:tc>
        <w:tc>
          <w:tcPr>
            <w:tcW w:w="1215" w:type="dxa"/>
            <w:noWrap/>
            <w:hideMark/>
          </w:tcPr>
          <w:p w14:paraId="60B36A27" w14:textId="77777777" w:rsidR="008F138F" w:rsidRPr="008F138F" w:rsidRDefault="008F138F" w:rsidP="008F138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Evidence Level</w:t>
            </w:r>
          </w:p>
        </w:tc>
        <w:tc>
          <w:tcPr>
            <w:tcW w:w="1421" w:type="dxa"/>
            <w:noWrap/>
            <w:hideMark/>
          </w:tcPr>
          <w:p w14:paraId="5DFC4F34" w14:textId="77777777" w:rsidR="008F138F" w:rsidRPr="008F138F" w:rsidRDefault="008F138F" w:rsidP="008F138F">
            <w:pPr>
              <w:jc w:val="center"/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b/>
                <w:bCs/>
                <w:color w:val="000000"/>
                <w:kern w:val="0"/>
                <w:sz w:val="22"/>
                <w:szCs w:val="22"/>
                <w14:ligatures w14:val="none"/>
              </w:rPr>
              <w:t>Recommendation Strength</w:t>
            </w:r>
          </w:p>
        </w:tc>
      </w:tr>
      <w:tr w:rsidR="008F138F" w:rsidRPr="008F138F" w14:paraId="672C3495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089502C2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Healthcare Professional Training</w:t>
            </w:r>
          </w:p>
        </w:tc>
        <w:tc>
          <w:tcPr>
            <w:tcW w:w="5269" w:type="dxa"/>
            <w:noWrap/>
            <w:hideMark/>
          </w:tcPr>
          <w:p w14:paraId="5797893E" w14:textId="432022BE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Healthcare professionals should be knowledgeable about effective strategies for improving immunosuppressive medication adherence in kidney transplant recipients .</w:t>
            </w:r>
          </w:p>
        </w:tc>
        <w:tc>
          <w:tcPr>
            <w:tcW w:w="1215" w:type="dxa"/>
            <w:noWrap/>
            <w:hideMark/>
          </w:tcPr>
          <w:p w14:paraId="6B78F546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1b</w:t>
            </w:r>
          </w:p>
        </w:tc>
        <w:tc>
          <w:tcPr>
            <w:tcW w:w="1421" w:type="dxa"/>
            <w:noWrap/>
            <w:hideMark/>
          </w:tcPr>
          <w:p w14:paraId="1A6671E6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7581AEB6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25EA2287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Healthcare Professional Training</w:t>
            </w:r>
          </w:p>
        </w:tc>
        <w:tc>
          <w:tcPr>
            <w:tcW w:w="5269" w:type="dxa"/>
            <w:noWrap/>
            <w:hideMark/>
          </w:tcPr>
          <w:p w14:paraId="223B6C30" w14:textId="0892001C" w:rsidR="008F138F" w:rsidRPr="008F138F" w:rsidRDefault="008F138F" w:rsidP="008F138F">
            <w:pPr>
              <w:rPr>
                <w:rFonts w:ascii="SimSun" w:eastAsia="SimSun" w:hAnsi="SimSun" w:cs="SimSun" w:hint="eastAsia"/>
                <w:color w:val="000000"/>
                <w:kern w:val="0"/>
                <w:sz w:val="22"/>
                <w:szCs w:val="22"/>
                <w:lang w:val="en-US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Conduct systematic training on the rational use of immunosuppressive agents for doctors, nurses, pharmacists, and laboratory technicians to improve medication administration and monitoring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:lang w:val="en-US"/>
                <w14:ligatures w14:val="none"/>
              </w:rPr>
              <w:t>.</w:t>
            </w:r>
          </w:p>
        </w:tc>
        <w:tc>
          <w:tcPr>
            <w:tcW w:w="1215" w:type="dxa"/>
            <w:noWrap/>
            <w:hideMark/>
          </w:tcPr>
          <w:p w14:paraId="5CB22A6D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5b</w:t>
            </w:r>
          </w:p>
        </w:tc>
        <w:tc>
          <w:tcPr>
            <w:tcW w:w="1421" w:type="dxa"/>
            <w:noWrap/>
            <w:hideMark/>
          </w:tcPr>
          <w:p w14:paraId="3A129242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1BC8300A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0B1879ED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Assessment</w:t>
            </w:r>
          </w:p>
        </w:tc>
        <w:tc>
          <w:tcPr>
            <w:tcW w:w="5269" w:type="dxa"/>
            <w:noWrap/>
            <w:hideMark/>
          </w:tcPr>
          <w:p w14:paraId="450A2BAD" w14:textId="2DE25D48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 baseline assessment of immunosuppressive medication adherence is recommended at the start of kidney transplantation .</w:t>
            </w:r>
          </w:p>
        </w:tc>
        <w:tc>
          <w:tcPr>
            <w:tcW w:w="1215" w:type="dxa"/>
            <w:noWrap/>
            <w:hideMark/>
          </w:tcPr>
          <w:p w14:paraId="323A56A1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5b</w:t>
            </w:r>
          </w:p>
        </w:tc>
        <w:tc>
          <w:tcPr>
            <w:tcW w:w="1421" w:type="dxa"/>
            <w:noWrap/>
            <w:hideMark/>
          </w:tcPr>
          <w:p w14:paraId="031A1C9C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0B513D8D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69E7BF48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Assessment</w:t>
            </w:r>
          </w:p>
        </w:tc>
        <w:tc>
          <w:tcPr>
            <w:tcW w:w="5269" w:type="dxa"/>
            <w:noWrap/>
            <w:hideMark/>
          </w:tcPr>
          <w:p w14:paraId="7AA22138" w14:textId="1489618D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Reassessment of immunosuppressive medication adherence is recommended when kidney transplant recipients are readmitted, transferred, or discharged.</w:t>
            </w:r>
          </w:p>
        </w:tc>
        <w:tc>
          <w:tcPr>
            <w:tcW w:w="1215" w:type="dxa"/>
            <w:noWrap/>
            <w:hideMark/>
          </w:tcPr>
          <w:p w14:paraId="38E1490C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5b</w:t>
            </w:r>
          </w:p>
        </w:tc>
        <w:tc>
          <w:tcPr>
            <w:tcW w:w="1421" w:type="dxa"/>
            <w:noWrap/>
            <w:hideMark/>
          </w:tcPr>
          <w:p w14:paraId="35BC13D2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62818009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46B31108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Assessment</w:t>
            </w:r>
          </w:p>
        </w:tc>
        <w:tc>
          <w:tcPr>
            <w:tcW w:w="5269" w:type="dxa"/>
            <w:noWrap/>
            <w:hideMark/>
          </w:tcPr>
          <w:p w14:paraId="5EA12C55" w14:textId="480CBA9F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The use of multiple methods (e.g., questionnaires, drug concentration monitoring) is recommended to objectively determine adherence to immunosuppressive medication.</w:t>
            </w:r>
          </w:p>
        </w:tc>
        <w:tc>
          <w:tcPr>
            <w:tcW w:w="1215" w:type="dxa"/>
            <w:noWrap/>
            <w:hideMark/>
          </w:tcPr>
          <w:p w14:paraId="682E9D35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4b</w:t>
            </w:r>
          </w:p>
        </w:tc>
        <w:tc>
          <w:tcPr>
            <w:tcW w:w="1421" w:type="dxa"/>
            <w:noWrap/>
            <w:hideMark/>
          </w:tcPr>
          <w:p w14:paraId="5F51DC69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259B8FBC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1D19B595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Assessment</w:t>
            </w:r>
          </w:p>
        </w:tc>
        <w:tc>
          <w:tcPr>
            <w:tcW w:w="5269" w:type="dxa"/>
            <w:noWrap/>
            <w:hideMark/>
          </w:tcPr>
          <w:p w14:paraId="7E57E693" w14:textId="1D23763A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Recommended assessment tools include the Immunosuppressant Therapy Adherence Scale (ITAS), the Basel Assessment of Adherence to Immunosuppressive Medication Scale (BAASIS), the Simplified Medication Adherence Questionnaire (SMAQ), or other validated self-report questionnaires.</w:t>
            </w:r>
          </w:p>
        </w:tc>
        <w:tc>
          <w:tcPr>
            <w:tcW w:w="1215" w:type="dxa"/>
            <w:noWrap/>
            <w:hideMark/>
          </w:tcPr>
          <w:p w14:paraId="0D358041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4a</w:t>
            </w:r>
          </w:p>
        </w:tc>
        <w:tc>
          <w:tcPr>
            <w:tcW w:w="1421" w:type="dxa"/>
            <w:noWrap/>
            <w:hideMark/>
          </w:tcPr>
          <w:p w14:paraId="5885F1D6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088CC50A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5BE5F5D6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Assessment</w:t>
            </w:r>
          </w:p>
        </w:tc>
        <w:tc>
          <w:tcPr>
            <w:tcW w:w="5269" w:type="dxa"/>
            <w:noWrap/>
            <w:hideMark/>
          </w:tcPr>
          <w:p w14:paraId="20150B14" w14:textId="49091D1E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When kidney transplant recipients' conditions are stable, it is recommended to monitor drug concentration levels at least every 3 months to assess medication adherence.</w:t>
            </w:r>
          </w:p>
        </w:tc>
        <w:tc>
          <w:tcPr>
            <w:tcW w:w="1215" w:type="dxa"/>
            <w:noWrap/>
            <w:hideMark/>
          </w:tcPr>
          <w:p w14:paraId="6256CD2A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2c</w:t>
            </w:r>
          </w:p>
        </w:tc>
        <w:tc>
          <w:tcPr>
            <w:tcW w:w="1421" w:type="dxa"/>
            <w:noWrap/>
            <w:hideMark/>
          </w:tcPr>
          <w:p w14:paraId="3709A85D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494F9DD9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1B6FCE87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Assessment</w:t>
            </w:r>
          </w:p>
        </w:tc>
        <w:tc>
          <w:tcPr>
            <w:tcW w:w="5269" w:type="dxa"/>
            <w:noWrap/>
            <w:hideMark/>
          </w:tcPr>
          <w:p w14:paraId="2B52C5DE" w14:textId="2D7616AB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Direct risk factors include fluctuations in immunosuppressive drug concentrations, changes in prescription frequency, and abnormal self-reports.</w:t>
            </w:r>
          </w:p>
        </w:tc>
        <w:tc>
          <w:tcPr>
            <w:tcW w:w="1215" w:type="dxa"/>
            <w:noWrap/>
            <w:hideMark/>
          </w:tcPr>
          <w:p w14:paraId="217DB1AA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5b</w:t>
            </w:r>
          </w:p>
        </w:tc>
        <w:tc>
          <w:tcPr>
            <w:tcW w:w="1421" w:type="dxa"/>
            <w:noWrap/>
            <w:hideMark/>
          </w:tcPr>
          <w:p w14:paraId="6E157C54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26ADBC6E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0E6766ED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Assessment</w:t>
            </w:r>
          </w:p>
        </w:tc>
        <w:tc>
          <w:tcPr>
            <w:tcW w:w="5269" w:type="dxa"/>
            <w:noWrap/>
            <w:hideMark/>
          </w:tcPr>
          <w:p w14:paraId="2FE44473" w14:textId="7D0184F3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Indirect risk factors include younger age, unmarried status, financial difficulties, depression, cognitive impairment, and longer post-transplant time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215" w:type="dxa"/>
            <w:noWrap/>
            <w:hideMark/>
          </w:tcPr>
          <w:p w14:paraId="6322CC03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2b</w:t>
            </w:r>
          </w:p>
        </w:tc>
        <w:tc>
          <w:tcPr>
            <w:tcW w:w="1421" w:type="dxa"/>
            <w:noWrap/>
            <w:hideMark/>
          </w:tcPr>
          <w:p w14:paraId="48F97FEE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Weak</w:t>
            </w:r>
          </w:p>
        </w:tc>
      </w:tr>
      <w:tr w:rsidR="008F138F" w:rsidRPr="008F138F" w14:paraId="253E80CC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7222A22C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Assessment</w:t>
            </w:r>
          </w:p>
        </w:tc>
        <w:tc>
          <w:tcPr>
            <w:tcW w:w="5269" w:type="dxa"/>
            <w:noWrap/>
            <w:hideMark/>
          </w:tcPr>
          <w:p w14:paraId="35B46680" w14:textId="53AC5DF6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Barriers to adherence include forgetfulness, fear of side effects, and inconsistent advice from healthcare providers.</w:t>
            </w:r>
          </w:p>
        </w:tc>
        <w:tc>
          <w:tcPr>
            <w:tcW w:w="1215" w:type="dxa"/>
            <w:noWrap/>
            <w:hideMark/>
          </w:tcPr>
          <w:p w14:paraId="64CD015B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1b</w:t>
            </w:r>
          </w:p>
        </w:tc>
        <w:tc>
          <w:tcPr>
            <w:tcW w:w="1421" w:type="dxa"/>
            <w:noWrap/>
            <w:hideMark/>
          </w:tcPr>
          <w:p w14:paraId="27B9FD7E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Weak</w:t>
            </w:r>
          </w:p>
        </w:tc>
      </w:tr>
      <w:tr w:rsidR="008F138F" w:rsidRPr="008F138F" w14:paraId="6A02B912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69DFEA86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Assessment</w:t>
            </w:r>
          </w:p>
        </w:tc>
        <w:tc>
          <w:tcPr>
            <w:tcW w:w="5269" w:type="dxa"/>
            <w:noWrap/>
            <w:hideMark/>
          </w:tcPr>
          <w:p w14:paraId="4E34FD68" w14:textId="6F9D52E2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Recommended tools for identifying barriers to adherence include the Immunosuppressive Medication Adherence Barriers Questionnaire (IMAB-Q) and the Immunosuppressive Treatment Barriers Scale (ITBS)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215" w:type="dxa"/>
            <w:noWrap/>
            <w:hideMark/>
          </w:tcPr>
          <w:p w14:paraId="61EA59BE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1a</w:t>
            </w:r>
          </w:p>
        </w:tc>
        <w:tc>
          <w:tcPr>
            <w:tcW w:w="1421" w:type="dxa"/>
            <w:noWrap/>
            <w:hideMark/>
          </w:tcPr>
          <w:p w14:paraId="7681BB7E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5FEDA54B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0582E1C0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Assessment</w:t>
            </w:r>
          </w:p>
        </w:tc>
        <w:tc>
          <w:tcPr>
            <w:tcW w:w="5269" w:type="dxa"/>
            <w:noWrap/>
            <w:hideMark/>
          </w:tcPr>
          <w:p w14:paraId="091B400C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 xml:space="preserve">Healthcare providers should openly and non-judgmentally discuss any suspected non-adherence </w:t>
            </w: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to immunosuppressive medication with recipients [19].</w:t>
            </w:r>
          </w:p>
        </w:tc>
        <w:tc>
          <w:tcPr>
            <w:tcW w:w="1215" w:type="dxa"/>
            <w:noWrap/>
            <w:hideMark/>
          </w:tcPr>
          <w:p w14:paraId="7574AFCC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5b</w:t>
            </w:r>
          </w:p>
        </w:tc>
        <w:tc>
          <w:tcPr>
            <w:tcW w:w="1421" w:type="dxa"/>
            <w:noWrap/>
            <w:hideMark/>
          </w:tcPr>
          <w:p w14:paraId="18892218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759C666A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3AEB1F63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691FFD71" w14:textId="6AB8779C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Based on the results of adherence assessments, a detailed immunosuppressive medication plan should be formulated .</w:t>
            </w:r>
          </w:p>
        </w:tc>
        <w:tc>
          <w:tcPr>
            <w:tcW w:w="1215" w:type="dxa"/>
            <w:noWrap/>
            <w:hideMark/>
          </w:tcPr>
          <w:p w14:paraId="0B4AC826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5b</w:t>
            </w:r>
          </w:p>
        </w:tc>
        <w:tc>
          <w:tcPr>
            <w:tcW w:w="1421" w:type="dxa"/>
            <w:noWrap/>
            <w:hideMark/>
          </w:tcPr>
          <w:p w14:paraId="4EED0317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62720F8C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0C11E147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24FC2282" w14:textId="42DB2CFA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Encourage recipients and their families to participate in decisions regarding the choice of induction agents and maintenance of immunosuppression.</w:t>
            </w:r>
          </w:p>
        </w:tc>
        <w:tc>
          <w:tcPr>
            <w:tcW w:w="1215" w:type="dxa"/>
            <w:noWrap/>
            <w:hideMark/>
          </w:tcPr>
          <w:p w14:paraId="77C4942A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1b</w:t>
            </w:r>
          </w:p>
        </w:tc>
        <w:tc>
          <w:tcPr>
            <w:tcW w:w="1421" w:type="dxa"/>
            <w:noWrap/>
            <w:hideMark/>
          </w:tcPr>
          <w:p w14:paraId="4B74FF46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26038C64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4CCB5602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2FAF7700" w14:textId="6E1E9D09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Encourage recipients and their families to be involved in developing plans to improve medication adherence .</w:t>
            </w:r>
          </w:p>
        </w:tc>
        <w:tc>
          <w:tcPr>
            <w:tcW w:w="1215" w:type="dxa"/>
            <w:noWrap/>
            <w:hideMark/>
          </w:tcPr>
          <w:p w14:paraId="79750088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1b</w:t>
            </w:r>
          </w:p>
        </w:tc>
        <w:tc>
          <w:tcPr>
            <w:tcW w:w="1421" w:type="dxa"/>
            <w:noWrap/>
            <w:hideMark/>
          </w:tcPr>
          <w:p w14:paraId="18A250D4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0D90BA8D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712D94B8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7CAF401D" w14:textId="49DE4A72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Interventions from educational and behavioral dimensions, including education/cognitive support, counseling/behavioral support, psychological/emotional support, and financial support, are recommended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215" w:type="dxa"/>
            <w:noWrap/>
            <w:hideMark/>
          </w:tcPr>
          <w:p w14:paraId="6A3BA0AD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1b</w:t>
            </w:r>
          </w:p>
        </w:tc>
        <w:tc>
          <w:tcPr>
            <w:tcW w:w="1421" w:type="dxa"/>
            <w:noWrap/>
            <w:hideMark/>
          </w:tcPr>
          <w:p w14:paraId="0C900EB4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280861EA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04517EAE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45758951" w14:textId="3E8CA8B3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During the postoperative hospitalization period, healthcare providers should provide structured health education to help recipients develop proper medication skills; during outpatient visits, adherence reminders and re-education should focus on changes in recipient behavior.</w:t>
            </w:r>
          </w:p>
        </w:tc>
        <w:tc>
          <w:tcPr>
            <w:tcW w:w="1215" w:type="dxa"/>
            <w:noWrap/>
            <w:hideMark/>
          </w:tcPr>
          <w:p w14:paraId="4921B36E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3c</w:t>
            </w:r>
          </w:p>
        </w:tc>
        <w:tc>
          <w:tcPr>
            <w:tcW w:w="1421" w:type="dxa"/>
            <w:noWrap/>
            <w:hideMark/>
          </w:tcPr>
          <w:p w14:paraId="2CED55FC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3C885A36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64A11EC7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1426B128" w14:textId="2103DD01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Health education information should be provided in formats suitable for the recipients, and medical records and medication information should be available in both written and electronic formats.</w:t>
            </w:r>
          </w:p>
        </w:tc>
        <w:tc>
          <w:tcPr>
            <w:tcW w:w="1215" w:type="dxa"/>
            <w:noWrap/>
            <w:hideMark/>
          </w:tcPr>
          <w:p w14:paraId="2B66FE7C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2d</w:t>
            </w:r>
          </w:p>
        </w:tc>
        <w:tc>
          <w:tcPr>
            <w:tcW w:w="1421" w:type="dxa"/>
            <w:noWrap/>
            <w:hideMark/>
          </w:tcPr>
          <w:p w14:paraId="293DA24E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77A6FC1B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55F99538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62DE69BF" w14:textId="2E50E2C2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Specific instructions regarding medication timing should be provided to recipients and aligned with their daily life and work routines.</w:t>
            </w:r>
          </w:p>
        </w:tc>
        <w:tc>
          <w:tcPr>
            <w:tcW w:w="1215" w:type="dxa"/>
            <w:noWrap/>
            <w:hideMark/>
          </w:tcPr>
          <w:p w14:paraId="098BAD84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1b</w:t>
            </w:r>
          </w:p>
        </w:tc>
        <w:tc>
          <w:tcPr>
            <w:tcW w:w="1421" w:type="dxa"/>
            <w:noWrap/>
            <w:hideMark/>
          </w:tcPr>
          <w:p w14:paraId="4E8C4E5C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6FB5DA79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5C228C19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34657153" w14:textId="25CD7779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Clearly inform patients of the importance of medication adherence and the consequences of non-adherence.</w:t>
            </w:r>
          </w:p>
        </w:tc>
        <w:tc>
          <w:tcPr>
            <w:tcW w:w="1215" w:type="dxa"/>
            <w:noWrap/>
            <w:hideMark/>
          </w:tcPr>
          <w:p w14:paraId="32B9599D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1b</w:t>
            </w:r>
          </w:p>
        </w:tc>
        <w:tc>
          <w:tcPr>
            <w:tcW w:w="1421" w:type="dxa"/>
            <w:noWrap/>
            <w:hideMark/>
          </w:tcPr>
          <w:p w14:paraId="0BAFBB6C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286DA6D4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2E8B55A9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3261F80E" w14:textId="376DB492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Non-prescription or non-registered medications (e.g., herbal remedies) should be evaluated and approved by healthcare providers before use.</w:t>
            </w:r>
          </w:p>
        </w:tc>
        <w:tc>
          <w:tcPr>
            <w:tcW w:w="1215" w:type="dxa"/>
            <w:noWrap/>
            <w:hideMark/>
          </w:tcPr>
          <w:p w14:paraId="73760BBF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5b</w:t>
            </w:r>
          </w:p>
        </w:tc>
        <w:tc>
          <w:tcPr>
            <w:tcW w:w="1421" w:type="dxa"/>
            <w:noWrap/>
            <w:hideMark/>
          </w:tcPr>
          <w:p w14:paraId="12AD965A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2D90E6E9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11A5EC55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25684023" w14:textId="66CBF1BA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Recipients should be guided to promptly contact their pharmacist or nurse if they have any questions about their medication regimen.</w:t>
            </w:r>
          </w:p>
        </w:tc>
        <w:tc>
          <w:tcPr>
            <w:tcW w:w="1215" w:type="dxa"/>
            <w:noWrap/>
            <w:hideMark/>
          </w:tcPr>
          <w:p w14:paraId="2B714E97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1b</w:t>
            </w:r>
          </w:p>
        </w:tc>
        <w:tc>
          <w:tcPr>
            <w:tcW w:w="1421" w:type="dxa"/>
            <w:noWrap/>
            <w:hideMark/>
          </w:tcPr>
          <w:p w14:paraId="34E0C276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6A6B6C47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2AF73B68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69AED88D" w14:textId="5490800A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Pre-filled, easy-to-use pill organizers are recommended .</w:t>
            </w:r>
          </w:p>
        </w:tc>
        <w:tc>
          <w:tcPr>
            <w:tcW w:w="1215" w:type="dxa"/>
            <w:noWrap/>
            <w:hideMark/>
          </w:tcPr>
          <w:p w14:paraId="73B675E8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5b</w:t>
            </w:r>
          </w:p>
        </w:tc>
        <w:tc>
          <w:tcPr>
            <w:tcW w:w="1421" w:type="dxa"/>
            <w:noWrap/>
            <w:hideMark/>
          </w:tcPr>
          <w:p w14:paraId="39D63992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Weak</w:t>
            </w:r>
          </w:p>
        </w:tc>
      </w:tr>
      <w:tr w:rsidR="008F138F" w:rsidRPr="008F138F" w14:paraId="61BD38DF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3625E29E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6673A6C8" w14:textId="42135028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Printed medication instructions should be provided as a visual reminder.</w:t>
            </w:r>
          </w:p>
        </w:tc>
        <w:tc>
          <w:tcPr>
            <w:tcW w:w="1215" w:type="dxa"/>
            <w:noWrap/>
            <w:hideMark/>
          </w:tcPr>
          <w:p w14:paraId="7DD22942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5b</w:t>
            </w:r>
          </w:p>
        </w:tc>
        <w:tc>
          <w:tcPr>
            <w:tcW w:w="1421" w:type="dxa"/>
            <w:noWrap/>
            <w:hideMark/>
          </w:tcPr>
          <w:p w14:paraId="0285CAAE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25C881FC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333B9DAE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111CDE73" w14:textId="6414516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Emergency plans for missed doses should be provided.</w:t>
            </w:r>
          </w:p>
        </w:tc>
        <w:tc>
          <w:tcPr>
            <w:tcW w:w="1215" w:type="dxa"/>
            <w:noWrap/>
            <w:hideMark/>
          </w:tcPr>
          <w:p w14:paraId="1B8EAB22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5b</w:t>
            </w:r>
          </w:p>
        </w:tc>
        <w:tc>
          <w:tcPr>
            <w:tcW w:w="1421" w:type="dxa"/>
            <w:noWrap/>
            <w:hideMark/>
          </w:tcPr>
          <w:p w14:paraId="4B480A86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4412B849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182F6915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6DDEF782" w14:textId="45CB4AF5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Electronic interventions can improve medication adherence, knowledge, and self-management in kidney transplant recipients .</w:t>
            </w:r>
          </w:p>
        </w:tc>
        <w:tc>
          <w:tcPr>
            <w:tcW w:w="1215" w:type="dxa"/>
            <w:noWrap/>
            <w:hideMark/>
          </w:tcPr>
          <w:p w14:paraId="1DCA2EDD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1a</w:t>
            </w:r>
          </w:p>
        </w:tc>
        <w:tc>
          <w:tcPr>
            <w:tcW w:w="1421" w:type="dxa"/>
            <w:noWrap/>
            <w:hideMark/>
          </w:tcPr>
          <w:p w14:paraId="707498B1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Weak</w:t>
            </w:r>
          </w:p>
        </w:tc>
      </w:tr>
      <w:tr w:rsidR="008F138F" w:rsidRPr="008F138F" w14:paraId="6A235D32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1D349746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lastRenderedPageBreak/>
              <w:t>Adherence Interventions</w:t>
            </w:r>
          </w:p>
        </w:tc>
        <w:tc>
          <w:tcPr>
            <w:tcW w:w="5269" w:type="dxa"/>
            <w:noWrap/>
            <w:hideMark/>
          </w:tcPr>
          <w:p w14:paraId="059C083D" w14:textId="5E0189BA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Recommended electronic interventions include self-management mobile applications, medication management mobile applications, wearable devices, mobile-based medication monitoring systems, wireless pill bottles, and automatic medication reminders.</w:t>
            </w:r>
          </w:p>
        </w:tc>
        <w:tc>
          <w:tcPr>
            <w:tcW w:w="1215" w:type="dxa"/>
            <w:noWrap/>
            <w:hideMark/>
          </w:tcPr>
          <w:p w14:paraId="4DF4BB4A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1a</w:t>
            </w:r>
          </w:p>
        </w:tc>
        <w:tc>
          <w:tcPr>
            <w:tcW w:w="1421" w:type="dxa"/>
            <w:noWrap/>
            <w:hideMark/>
          </w:tcPr>
          <w:p w14:paraId="40C1E963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Weak</w:t>
            </w:r>
          </w:p>
        </w:tc>
      </w:tr>
      <w:tr w:rsidR="008F138F" w:rsidRPr="008F138F" w14:paraId="311A053E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69BB2605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4BAE8C5F" w14:textId="14A0AE29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Electronic intervention devices are recommended for use before the start of kidney transplantation .</w:t>
            </w:r>
          </w:p>
        </w:tc>
        <w:tc>
          <w:tcPr>
            <w:tcW w:w="1215" w:type="dxa"/>
            <w:noWrap/>
            <w:hideMark/>
          </w:tcPr>
          <w:p w14:paraId="024BEA56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2a</w:t>
            </w:r>
          </w:p>
        </w:tc>
        <w:tc>
          <w:tcPr>
            <w:tcW w:w="1421" w:type="dxa"/>
            <w:noWrap/>
            <w:hideMark/>
          </w:tcPr>
          <w:p w14:paraId="3569A635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Weak</w:t>
            </w:r>
          </w:p>
        </w:tc>
      </w:tr>
      <w:tr w:rsidR="008F138F" w:rsidRPr="008F138F" w14:paraId="2449D44D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4E47D8AA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354FD3FD" w14:textId="36F46FAC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Encourage kidney transplant recipients to participate in the development of electronic intervention devices.</w:t>
            </w:r>
          </w:p>
        </w:tc>
        <w:tc>
          <w:tcPr>
            <w:tcW w:w="1215" w:type="dxa"/>
            <w:noWrap/>
            <w:hideMark/>
          </w:tcPr>
          <w:p w14:paraId="52846FC5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1b</w:t>
            </w:r>
          </w:p>
        </w:tc>
        <w:tc>
          <w:tcPr>
            <w:tcW w:w="1421" w:type="dxa"/>
            <w:noWrap/>
            <w:hideMark/>
          </w:tcPr>
          <w:p w14:paraId="3DC0B0C2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Weak</w:t>
            </w:r>
          </w:p>
        </w:tc>
      </w:tr>
      <w:tr w:rsidR="008F138F" w:rsidRPr="008F138F" w14:paraId="40D87101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3F624EF0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397B132C" w14:textId="4CD266AC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Regular lifelong follow-up by experienced transplant doctors and nurses is recommended to ensure recipients adhere to their immunosuppressive regimen.</w:t>
            </w:r>
          </w:p>
        </w:tc>
        <w:tc>
          <w:tcPr>
            <w:tcW w:w="1215" w:type="dxa"/>
            <w:noWrap/>
            <w:hideMark/>
          </w:tcPr>
          <w:p w14:paraId="419B4B7D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1d</w:t>
            </w:r>
          </w:p>
        </w:tc>
        <w:tc>
          <w:tcPr>
            <w:tcW w:w="1421" w:type="dxa"/>
            <w:noWrap/>
            <w:hideMark/>
          </w:tcPr>
          <w:p w14:paraId="7DABBF57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36522EC6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4A740BB4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60F1D826" w14:textId="46FB5F40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Different stages of follow-up focus on different priorities: &lt; 3 months post-transplant: adequate communication and reinforcement of medication instructions and self-monitoring; 3-6 months: intensive monitoring of immunosuppressive drug concentrations and adverse reactions; &gt; 6 months: emphasize strict adherence to medication orders and prohibit self-reduction or discontinuation of medicatio</w:t>
            </w:r>
            <w: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</w:t>
            </w: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.</w:t>
            </w:r>
          </w:p>
        </w:tc>
        <w:tc>
          <w:tcPr>
            <w:tcW w:w="1215" w:type="dxa"/>
            <w:noWrap/>
            <w:hideMark/>
          </w:tcPr>
          <w:p w14:paraId="38FE08E4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5b</w:t>
            </w:r>
          </w:p>
        </w:tc>
        <w:tc>
          <w:tcPr>
            <w:tcW w:w="1421" w:type="dxa"/>
            <w:noWrap/>
            <w:hideMark/>
          </w:tcPr>
          <w:p w14:paraId="04A7D990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2FAFAD8F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09D92405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6A478F3B" w14:textId="313F6725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Non-adherence to immunosuppressive therapy should be considered the 'fifth vital sign' for post-transplant monitoring.</w:t>
            </w:r>
          </w:p>
        </w:tc>
        <w:tc>
          <w:tcPr>
            <w:tcW w:w="1215" w:type="dxa"/>
            <w:noWrap/>
            <w:hideMark/>
          </w:tcPr>
          <w:p w14:paraId="564ECC35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5b</w:t>
            </w:r>
          </w:p>
        </w:tc>
        <w:tc>
          <w:tcPr>
            <w:tcW w:w="1421" w:type="dxa"/>
            <w:noWrap/>
            <w:hideMark/>
          </w:tcPr>
          <w:p w14:paraId="27FCFE2C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55701560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01A21D0C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4340FD85" w14:textId="0C6F1F33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Individualized interventions, including discussions about personal adherence barriers and feedback on individual adherence behaviors, are recommended .</w:t>
            </w:r>
          </w:p>
        </w:tc>
        <w:tc>
          <w:tcPr>
            <w:tcW w:w="1215" w:type="dxa"/>
            <w:noWrap/>
            <w:hideMark/>
          </w:tcPr>
          <w:p w14:paraId="2F4ABEF2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1b</w:t>
            </w:r>
          </w:p>
        </w:tc>
        <w:tc>
          <w:tcPr>
            <w:tcW w:w="1421" w:type="dxa"/>
            <w:noWrap/>
            <w:hideMark/>
          </w:tcPr>
          <w:p w14:paraId="618C10DF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466A0F0A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47F0DFF6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7ECCC345" w14:textId="030F6B7D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Establish adherence support groups to provide education and behavioral interventions for non-adherent recipients and their families.</w:t>
            </w:r>
          </w:p>
        </w:tc>
        <w:tc>
          <w:tcPr>
            <w:tcW w:w="1215" w:type="dxa"/>
            <w:noWrap/>
            <w:hideMark/>
          </w:tcPr>
          <w:p w14:paraId="106C2548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5b</w:t>
            </w:r>
          </w:p>
        </w:tc>
        <w:tc>
          <w:tcPr>
            <w:tcW w:w="1421" w:type="dxa"/>
            <w:noWrap/>
            <w:hideMark/>
          </w:tcPr>
          <w:p w14:paraId="1FDEEE56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1052F574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6DCFDC81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5A4B33F4" w14:textId="02F5F16A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Simplifying the immunosuppressive regimen after non-adherence incidents, such as single-drug regimens, fixed drug doses, or once-daily administration, is recommended to improve adherence.</w:t>
            </w:r>
          </w:p>
        </w:tc>
        <w:tc>
          <w:tcPr>
            <w:tcW w:w="1215" w:type="dxa"/>
            <w:noWrap/>
            <w:hideMark/>
          </w:tcPr>
          <w:p w14:paraId="1214F17C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1a</w:t>
            </w:r>
          </w:p>
        </w:tc>
        <w:tc>
          <w:tcPr>
            <w:tcW w:w="1421" w:type="dxa"/>
            <w:noWrap/>
            <w:hideMark/>
          </w:tcPr>
          <w:p w14:paraId="4880CD5B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Weak</w:t>
            </w:r>
          </w:p>
        </w:tc>
      </w:tr>
      <w:tr w:rsidR="008F138F" w:rsidRPr="008F138F" w14:paraId="3CACF17F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599F0B00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4575F11E" w14:textId="23BFDBD5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Non-adherent recipients' behavioral and psychological issues should be assessed and addressed, with referral to psychological specialists if necessary.</w:t>
            </w:r>
          </w:p>
        </w:tc>
        <w:tc>
          <w:tcPr>
            <w:tcW w:w="1215" w:type="dxa"/>
            <w:noWrap/>
            <w:hideMark/>
          </w:tcPr>
          <w:p w14:paraId="58AFD7E0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5b</w:t>
            </w:r>
          </w:p>
        </w:tc>
        <w:tc>
          <w:tcPr>
            <w:tcW w:w="1421" w:type="dxa"/>
            <w:noWrap/>
            <w:hideMark/>
          </w:tcPr>
          <w:p w14:paraId="6CF98D41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Strong</w:t>
            </w:r>
          </w:p>
        </w:tc>
      </w:tr>
      <w:tr w:rsidR="008F138F" w:rsidRPr="008F138F" w14:paraId="4D6F6223" w14:textId="77777777" w:rsidTr="008F138F">
        <w:trPr>
          <w:trHeight w:val="300"/>
        </w:trPr>
        <w:tc>
          <w:tcPr>
            <w:tcW w:w="1105" w:type="dxa"/>
            <w:noWrap/>
            <w:hideMark/>
          </w:tcPr>
          <w:p w14:paraId="51B96AC7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Adherence Interventions</w:t>
            </w:r>
          </w:p>
        </w:tc>
        <w:tc>
          <w:tcPr>
            <w:tcW w:w="5269" w:type="dxa"/>
            <w:noWrap/>
            <w:hideMark/>
          </w:tcPr>
          <w:p w14:paraId="514245BC" w14:textId="496EC6CC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The healthcare team should work with recipients to assess the effectiveness of adherence interventions and adjust strategies as needed (e.g., for residual non-adherence).</w:t>
            </w:r>
          </w:p>
        </w:tc>
        <w:tc>
          <w:tcPr>
            <w:tcW w:w="1215" w:type="dxa"/>
            <w:noWrap/>
            <w:hideMark/>
          </w:tcPr>
          <w:p w14:paraId="767A1748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5b</w:t>
            </w:r>
          </w:p>
        </w:tc>
        <w:tc>
          <w:tcPr>
            <w:tcW w:w="1421" w:type="dxa"/>
            <w:noWrap/>
            <w:hideMark/>
          </w:tcPr>
          <w:p w14:paraId="44DC2B21" w14:textId="77777777" w:rsidR="008F138F" w:rsidRPr="008F138F" w:rsidRDefault="008F138F" w:rsidP="008F138F">
            <w:pPr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</w:pPr>
            <w:r w:rsidRPr="008F138F">
              <w:rPr>
                <w:rFonts w:ascii="Calibri" w:eastAsia="Times New Roman" w:hAnsi="Calibri" w:cs="Calibri"/>
                <w:color w:val="000000"/>
                <w:kern w:val="0"/>
                <w:sz w:val="22"/>
                <w:szCs w:val="22"/>
                <w14:ligatures w14:val="none"/>
              </w:rPr>
              <w:t>N/A</w:t>
            </w:r>
          </w:p>
        </w:tc>
      </w:tr>
    </w:tbl>
    <w:p w14:paraId="51A43778" w14:textId="77777777" w:rsidR="008F138F" w:rsidRDefault="008F138F">
      <w:pPr>
        <w:rPr>
          <w:rFonts w:hint="eastAsia"/>
        </w:rPr>
      </w:pPr>
    </w:p>
    <w:sectPr w:rsidR="008F138F" w:rsidSect="00ED5EE0">
      <w:pgSz w:w="11900" w:h="16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52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0EE9"/>
    <w:rsid w:val="003E64E7"/>
    <w:rsid w:val="0047699D"/>
    <w:rsid w:val="0052574C"/>
    <w:rsid w:val="00661E26"/>
    <w:rsid w:val="007D6626"/>
    <w:rsid w:val="008F138F"/>
    <w:rsid w:val="009D0BFC"/>
    <w:rsid w:val="00AE2515"/>
    <w:rsid w:val="00D20EE9"/>
    <w:rsid w:val="00ED5E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N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A6BC884"/>
  <w15:chartTrackingRefBased/>
  <w15:docId w15:val="{837067F1-DDA1-CC49-ABB3-2D2B07E199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N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20EE9"/>
  </w:style>
  <w:style w:type="paragraph" w:styleId="Heading1">
    <w:name w:val="heading 1"/>
    <w:basedOn w:val="Normal"/>
    <w:next w:val="Normal"/>
    <w:link w:val="Heading1Char"/>
    <w:uiPriority w:val="9"/>
    <w:qFormat/>
    <w:rsid w:val="00D20E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D20E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D20EE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D20E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20EE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20E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20E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20E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20E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20EE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D20EE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D20EE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D20EE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20EE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20EE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20EE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20EE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20EE9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20E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20E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20E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20E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20E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20EE9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20EE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20EE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0EE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0EE9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20EE9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nhideWhenUsed/>
    <w:qFormat/>
    <w:rsid w:val="00D20EE9"/>
    <w:rPr>
      <w:rFonts w:ascii="Times New Roman" w:hAnsi="Times New Roman" w:cs="Times New Roman"/>
    </w:rPr>
  </w:style>
  <w:style w:type="table" w:styleId="TableGrid">
    <w:name w:val="Table Grid"/>
    <w:basedOn w:val="TableNormal"/>
    <w:qFormat/>
    <w:rsid w:val="00D20EE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2">
    <w:name w:val="Plain Table 2"/>
    <w:basedOn w:val="TableNormal"/>
    <w:uiPriority w:val="42"/>
    <w:rsid w:val="003E64E7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44568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3</Pages>
  <Words>1061</Words>
  <Characters>6053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2</cp:revision>
  <dcterms:created xsi:type="dcterms:W3CDTF">2024-10-03T07:37:00Z</dcterms:created>
  <dcterms:modified xsi:type="dcterms:W3CDTF">2024-10-03T08:44:00Z</dcterms:modified>
</cp:coreProperties>
</file>