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t>Supplementary File 1</w:t>
        <w:br/>
        <w:t>English-Language Study Questionnaire</w:t>
      </w:r>
    </w:p>
    <w:p>
      <w:pPr>
        <w:jc w:val="center"/>
      </w:pPr>
      <w:r>
        <w:t>Occupational Hazards and Workplace Safety Practices among Nurses in Nablus, Palestine: A Cross-Sectional Study</w:t>
      </w:r>
    </w:p>
    <w:p>
      <w:r>
        <w:t>Transparency note: This file reproduces the English-language questionnaire content used for the study. Part III is a study-specific heterogeneous item set that combines exposure/work-demand conditions, preventive and PPE-related behaviors, cognitive demands, and organizational safety practices. It was not designed or validated as a unidimensional safety scale. The original five-category response anchors are retained.</w:t>
      </w:r>
    </w:p>
    <w:p>
      <w:pPr>
        <w:pStyle w:val="Heading1"/>
      </w:pPr>
      <w:r>
        <w:t>Part I. Demographic and Professional Characteristics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b/>
                <w:sz w:val="16"/>
              </w:rPr>
            </w:r>
            <w:r>
              <w:rPr>
                <w:rFonts w:ascii="Times New Roman" w:hAnsi="Times New Roman"/>
                <w:b/>
                <w:sz w:val="16"/>
              </w:rPr>
              <w:t>Item</w:t>
            </w:r>
          </w:p>
        </w:tc>
        <w:tc>
          <w:tcPr>
            <w:tcW w:type="dxa" w:w="4680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b/>
                <w:sz w:val="16"/>
              </w:rPr>
            </w:r>
            <w:r>
              <w:rPr>
                <w:rFonts w:ascii="Times New Roman" w:hAnsi="Times New Roman"/>
                <w:b/>
                <w:sz w:val="16"/>
              </w:rPr>
              <w:t>Response options</w:t>
            </w:r>
          </w:p>
        </w:tc>
      </w:tr>
      <w:tr>
        <w:tc>
          <w:tcPr>
            <w:tcW w:type="dxa" w:w="468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r>
              <w:t>1. Age</w:t>
            </w:r>
          </w:p>
        </w:tc>
        <w:tc>
          <w:tcPr>
            <w:tcW w:type="dxa" w:w="468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r>
              <w:t>&lt; 25 years; 26-35 years; 36-45 years; &gt; 45 years</w:t>
            </w:r>
          </w:p>
        </w:tc>
      </w:tr>
      <w:tr>
        <w:tc>
          <w:tcPr>
            <w:tcW w:type="dxa" w:w="468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r>
              <w:t>2. Gender</w:t>
            </w:r>
          </w:p>
        </w:tc>
        <w:tc>
          <w:tcPr>
            <w:tcW w:type="dxa" w:w="468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r>
              <w:t>Male; Female</w:t>
            </w:r>
          </w:p>
        </w:tc>
      </w:tr>
      <w:tr>
        <w:tc>
          <w:tcPr>
            <w:tcW w:type="dxa" w:w="468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r>
              <w:t>3. Marital status</w:t>
            </w:r>
          </w:p>
        </w:tc>
        <w:tc>
          <w:tcPr>
            <w:tcW w:type="dxa" w:w="468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r>
              <w:t>Single; Married; Divorced; Widowed</w:t>
            </w:r>
          </w:p>
        </w:tc>
      </w:tr>
      <w:tr>
        <w:tc>
          <w:tcPr>
            <w:tcW w:type="dxa" w:w="468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r>
              <w:t>4. Years of nursing experience</w:t>
            </w:r>
          </w:p>
        </w:tc>
        <w:tc>
          <w:tcPr>
            <w:tcW w:type="dxa" w:w="468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r>
              <w:t>1-9 years; 10-19 years; 20-29 years; &gt; 30 years</w:t>
            </w:r>
          </w:p>
        </w:tc>
      </w:tr>
      <w:tr>
        <w:tc>
          <w:tcPr>
            <w:tcW w:type="dxa" w:w="468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r>
              <w:t>5. Current department</w:t>
            </w:r>
          </w:p>
        </w:tc>
        <w:tc>
          <w:tcPr>
            <w:tcW w:type="dxa" w:w="468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r>
              <w:t>Medical department; Surgical department; Pediatric department; Gynecology/obstetrics department</w:t>
            </w:r>
          </w:p>
        </w:tc>
      </w:tr>
      <w:tr>
        <w:tc>
          <w:tcPr>
            <w:tcW w:type="dxa" w:w="468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r>
              <w:t>6. Highest educational qualification</w:t>
            </w:r>
          </w:p>
        </w:tc>
        <w:tc>
          <w:tcPr>
            <w:tcW w:type="dxa" w:w="468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r>
              <w:t>Diploma; Bachelor's degree; Master's degree or above</w:t>
            </w:r>
          </w:p>
        </w:tc>
      </w:tr>
    </w:tbl>
    <w:p>
      <w:pPr>
        <w:pStyle w:val="Heading1"/>
      </w:pPr>
      <w:r>
        <w:t>Part II. Work-Related Symptom Scale (WRSS): Occupational Hazard Items</w:t>
      </w:r>
    </w:p>
    <w:p>
      <w:r>
        <w:t>Please indicate the extent to which each symptom or hazard is present in relation to your work. Response scale: 1 = Highly absent; 2 = Absent; 3 = Nearly absent; 4 = Present; 5 = Highly present.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tblHeader w:val="true"/>
        </w:trPr>
        <w:tc>
          <w:tcPr>
            <w:tcW w:type="dxa" w:w="1560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b/>
                <w:sz w:val="16"/>
              </w:rPr>
            </w:r>
            <w:r>
              <w:rPr>
                <w:rFonts w:ascii="Times New Roman" w:hAnsi="Times New Roman"/>
                <w:b/>
                <w:sz w:val="16"/>
              </w:rPr>
              <w:t>Hazard item</w:t>
            </w:r>
          </w:p>
        </w:tc>
        <w:tc>
          <w:tcPr>
            <w:tcW w:type="dxa" w:w="1560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b/>
                <w:sz w:val="16"/>
              </w:rPr>
            </w:r>
            <w:r>
              <w:rPr>
                <w:rFonts w:ascii="Times New Roman" w:hAnsi="Times New Roman"/>
                <w:b/>
                <w:sz w:val="16"/>
              </w:rPr>
              <w:t>1 Highly absent</w:t>
            </w:r>
          </w:p>
        </w:tc>
        <w:tc>
          <w:tcPr>
            <w:tcW w:type="dxa" w:w="1560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b/>
                <w:sz w:val="16"/>
              </w:rPr>
            </w:r>
            <w:r>
              <w:rPr>
                <w:rFonts w:ascii="Times New Roman" w:hAnsi="Times New Roman"/>
                <w:b/>
                <w:sz w:val="16"/>
              </w:rPr>
              <w:t>2 Absent</w:t>
            </w:r>
          </w:p>
        </w:tc>
        <w:tc>
          <w:tcPr>
            <w:tcW w:type="dxa" w:w="1560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b/>
                <w:sz w:val="16"/>
              </w:rPr>
            </w:r>
            <w:r>
              <w:rPr>
                <w:rFonts w:ascii="Times New Roman" w:hAnsi="Times New Roman"/>
                <w:b/>
                <w:sz w:val="16"/>
              </w:rPr>
              <w:t>3 Nearly absent</w:t>
            </w:r>
          </w:p>
        </w:tc>
        <w:tc>
          <w:tcPr>
            <w:tcW w:type="dxa" w:w="1560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b/>
                <w:sz w:val="16"/>
              </w:rPr>
            </w:r>
            <w:r>
              <w:rPr>
                <w:rFonts w:ascii="Times New Roman" w:hAnsi="Times New Roman"/>
                <w:b/>
                <w:sz w:val="16"/>
              </w:rPr>
              <w:t>4 Present</w:t>
            </w:r>
          </w:p>
        </w:tc>
        <w:tc>
          <w:tcPr>
            <w:tcW w:type="dxa" w:w="1560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b/>
                <w:sz w:val="16"/>
              </w:rPr>
            </w:r>
            <w:r>
              <w:rPr>
                <w:rFonts w:ascii="Times New Roman" w:hAnsi="Times New Roman"/>
                <w:b/>
                <w:sz w:val="16"/>
              </w:rPr>
              <w:t>5 Highly present</w:t>
            </w:r>
          </w:p>
        </w:tc>
      </w:tr>
      <w:tr>
        <w:tc>
          <w:tcPr>
            <w:tcW w:type="dxa" w:w="1560"/>
            <w:shd w:fill="EFEFEF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/>
                <w:sz w:val="16"/>
              </w:rPr>
              <w:t>Physical hazards</w:t>
            </w:r>
          </w:p>
        </w:tc>
        <w:tc>
          <w:tcPr>
            <w:tcW w:type="dxa" w:w="1560"/>
            <w:shd w:fill="EFEFEF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</w:r>
          </w:p>
        </w:tc>
        <w:tc>
          <w:tcPr>
            <w:tcW w:type="dxa" w:w="1560"/>
            <w:shd w:fill="EFEFEF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</w:r>
          </w:p>
        </w:tc>
        <w:tc>
          <w:tcPr>
            <w:tcW w:type="dxa" w:w="1560"/>
            <w:shd w:fill="EFEFEF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</w:r>
          </w:p>
        </w:tc>
        <w:tc>
          <w:tcPr>
            <w:tcW w:type="dxa" w:w="1560"/>
            <w:shd w:fill="EFEFEF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</w:r>
          </w:p>
        </w:tc>
        <w:tc>
          <w:tcPr>
            <w:tcW w:type="dxa" w:w="1560"/>
            <w:shd w:fill="EFEFEF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Sleep disturbances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Leg pain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Back pain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Body pain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Circulatory disturbances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Arm pain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Shifts in appetite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Digestive disturbances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Auditory disturbances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Visual disturbances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Respiratory disturbances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shd w:fill="EFEFEF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/>
                <w:sz w:val="16"/>
              </w:rPr>
              <w:t>Psychological hazards</w:t>
            </w:r>
          </w:p>
        </w:tc>
        <w:tc>
          <w:tcPr>
            <w:tcW w:type="dxa" w:w="1560"/>
            <w:shd w:fill="EFEFEF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</w:r>
          </w:p>
        </w:tc>
        <w:tc>
          <w:tcPr>
            <w:tcW w:type="dxa" w:w="1560"/>
            <w:shd w:fill="EFEFEF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</w:r>
          </w:p>
        </w:tc>
        <w:tc>
          <w:tcPr>
            <w:tcW w:type="dxa" w:w="1560"/>
            <w:shd w:fill="EFEFEF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</w:r>
          </w:p>
        </w:tc>
        <w:tc>
          <w:tcPr>
            <w:tcW w:type="dxa" w:w="1560"/>
            <w:shd w:fill="EFEFEF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</w:r>
          </w:p>
        </w:tc>
        <w:tc>
          <w:tcPr>
            <w:tcW w:type="dxa" w:w="1560"/>
            <w:shd w:fill="EFEFEF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Sadness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Irritation with everything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Loss of self-confidence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Feeling of emptiness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Loss of self-control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Feeling of bitterness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Feeling of defeat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Crying for no apparent reason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Willingness to give everything up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Long-lasting feeling of despair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Negative image of oneself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shd w:fill="EFEFEF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/>
                <w:sz w:val="16"/>
              </w:rPr>
              <w:t>Social hazards</w:t>
            </w:r>
          </w:p>
        </w:tc>
        <w:tc>
          <w:tcPr>
            <w:tcW w:type="dxa" w:w="1560"/>
            <w:shd w:fill="EFEFEF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</w:r>
          </w:p>
        </w:tc>
        <w:tc>
          <w:tcPr>
            <w:tcW w:type="dxa" w:w="1560"/>
            <w:shd w:fill="EFEFEF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</w:r>
          </w:p>
        </w:tc>
        <w:tc>
          <w:tcPr>
            <w:tcW w:type="dxa" w:w="1560"/>
            <w:shd w:fill="EFEFEF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</w:r>
          </w:p>
        </w:tc>
        <w:tc>
          <w:tcPr>
            <w:tcW w:type="dxa" w:w="1560"/>
            <w:shd w:fill="EFEFEF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</w:r>
          </w:p>
        </w:tc>
        <w:tc>
          <w:tcPr>
            <w:tcW w:type="dxa" w:w="1560"/>
            <w:shd w:fill="EFEFEF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Family relation difficulties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Affective relation difficulties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Insensitivity toward others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Social life difficulties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Difficulty in making friends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Social isolation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Personal life decision-making difficulty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Disinterest towards others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Uncontrolled aggressiveness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</w:tbl>
    <w:p>
      <w:pPr>
        <w:pStyle w:val="Heading1"/>
      </w:pPr>
      <w:r>
        <w:t>Part III. Study-Specific Workplace Exposure, Prevention, PPE, Cognitive-Demand, and Organizational Safety Items</w:t>
      </w:r>
    </w:p>
    <w:p>
      <w:r>
        <w:t>Please select the response that best reflects your work experience for each item. Response scale as administered: 1 = Always; 2 = Mostly; 3 = Sometimes; 4 = Rarely; 5 = Not needed.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tblHeader w:val="true"/>
        </w:trPr>
        <w:tc>
          <w:tcPr>
            <w:tcW w:type="dxa" w:w="1560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r>
              <w:t>Study-specific item</w:t>
            </w:r>
          </w:p>
        </w:tc>
        <w:tc>
          <w:tcPr>
            <w:tcW w:type="dxa" w:w="1560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b/>
                <w:sz w:val="16"/>
              </w:rPr>
            </w:r>
            <w:r>
              <w:rPr>
                <w:rFonts w:ascii="Times New Roman" w:hAnsi="Times New Roman"/>
                <w:b/>
                <w:sz w:val="16"/>
              </w:rPr>
              <w:t>1 Always</w:t>
            </w:r>
          </w:p>
        </w:tc>
        <w:tc>
          <w:tcPr>
            <w:tcW w:type="dxa" w:w="1560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b/>
                <w:sz w:val="16"/>
              </w:rPr>
            </w:r>
            <w:r>
              <w:rPr>
                <w:rFonts w:ascii="Times New Roman" w:hAnsi="Times New Roman"/>
                <w:b/>
                <w:sz w:val="16"/>
              </w:rPr>
              <w:t>2 Mostly</w:t>
            </w:r>
          </w:p>
        </w:tc>
        <w:tc>
          <w:tcPr>
            <w:tcW w:type="dxa" w:w="1560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b/>
                <w:sz w:val="16"/>
              </w:rPr>
            </w:r>
            <w:r>
              <w:rPr>
                <w:rFonts w:ascii="Times New Roman" w:hAnsi="Times New Roman"/>
                <w:b/>
                <w:sz w:val="16"/>
              </w:rPr>
              <w:t>3 Sometimes</w:t>
            </w:r>
          </w:p>
        </w:tc>
        <w:tc>
          <w:tcPr>
            <w:tcW w:type="dxa" w:w="1560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b/>
                <w:sz w:val="16"/>
              </w:rPr>
            </w:r>
            <w:r>
              <w:rPr>
                <w:rFonts w:ascii="Times New Roman" w:hAnsi="Times New Roman"/>
                <w:b/>
                <w:sz w:val="16"/>
              </w:rPr>
              <w:t>4 Rarely</w:t>
            </w:r>
          </w:p>
        </w:tc>
        <w:tc>
          <w:tcPr>
            <w:tcW w:type="dxa" w:w="1560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b/>
                <w:sz w:val="16"/>
              </w:rPr>
            </w:r>
            <w:r>
              <w:rPr>
                <w:rFonts w:ascii="Times New Roman" w:hAnsi="Times New Roman"/>
                <w:b/>
                <w:sz w:val="16"/>
              </w:rPr>
              <w:t>5 Not needed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Safety measures (general)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Standing for long hours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  <w:t>Direct contact with patients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Washing hands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Carrying heavy weight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Wearing gloves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Wearing special shoes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Wearing a mask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Wearing a head cover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Wearing protective eyewear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Ear-protection headset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Wearing special clothes/gown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Wearing a protective gown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Using sharp/dangerous equipment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Concentration and attention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Safety training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Documented incident report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  <w:tr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Medical examinations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  <w:tc>
          <w:tcPr>
            <w:tcW w:type="dxa" w:w="1560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 w:before="0"/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b w:val="0"/>
                <w:sz w:val="16"/>
              </w:rPr>
              <w:t>☐</w:t>
            </w:r>
          </w:p>
        </w:tc>
      </w:tr>
    </w:tbl>
    <w:p>
      <w:r>
        <w:t>Interpretation note: WRSS items are interpreted according to perceived symptom presence. Part III items are heterogeneous and should be interpreted primarily item by item; a common response scale was used in the original study, but no single validated composite safety construct is claimed.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