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F5D15">
      <w:pPr>
        <w:keepNext w:val="0"/>
        <w:keepLines w:val="0"/>
        <w:pageBreakBefore w:val="0"/>
        <w:widowControl w:val="0"/>
        <w:kinsoku/>
        <w:wordWrap/>
        <w:overflowPunct/>
        <w:topLinePunct w:val="0"/>
        <w:autoSpaceDE/>
        <w:autoSpaceDN/>
        <w:bidi w:val="0"/>
        <w:adjustRightInd/>
        <w:snapToGrid/>
        <w:spacing w:after="80"/>
        <w:textAlignment w:val="auto"/>
      </w:pPr>
      <w:r>
        <w:rPr>
          <w:rFonts w:ascii="Times New Roman" w:hAnsi="Times New Roman" w:eastAsia="Times New Roman"/>
          <w:b/>
          <w:sz w:val="24"/>
        </w:rPr>
        <w:t>Additional file 3</w:t>
      </w:r>
    </w:p>
    <w:p w14:paraId="267D97F4">
      <w:pPr>
        <w:keepNext w:val="0"/>
        <w:keepLines w:val="0"/>
        <w:pageBreakBefore w:val="0"/>
        <w:widowControl w:val="0"/>
        <w:kinsoku/>
        <w:wordWrap/>
        <w:overflowPunct/>
        <w:topLinePunct w:val="0"/>
        <w:autoSpaceDE/>
        <w:autoSpaceDN/>
        <w:bidi w:val="0"/>
        <w:adjustRightInd/>
        <w:snapToGrid/>
        <w:spacing w:after="120"/>
        <w:textAlignment w:val="auto"/>
      </w:pPr>
      <w:r>
        <w:rPr>
          <w:rFonts w:ascii="Times New Roman" w:hAnsi="Times New Roman" w:eastAsia="Times New Roman"/>
          <w:b/>
          <w:sz w:val="22"/>
        </w:rPr>
        <w:t>Table S2. COM-B components, subthemes, and corresponding TDF domains</w:t>
      </w:r>
    </w:p>
    <w:tbl>
      <w:tblPr>
        <w:tblStyle w:val="32"/>
        <w:tblW w:w="10854" w:type="dxa"/>
        <w:jc w:val="center"/>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Layout w:type="fixed"/>
        <w:tblCellMar>
          <w:top w:w="0" w:type="dxa"/>
          <w:left w:w="108" w:type="dxa"/>
          <w:bottom w:w="0" w:type="dxa"/>
          <w:right w:w="108" w:type="dxa"/>
        </w:tblCellMar>
      </w:tblPr>
      <w:tblGrid>
        <w:gridCol w:w="2022"/>
        <w:gridCol w:w="4647"/>
        <w:gridCol w:w="4185"/>
      </w:tblGrid>
      <w:tr w14:paraId="3A881624">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tblHeader/>
          <w:jc w:val="center"/>
        </w:trPr>
        <w:tc>
          <w:tcPr>
            <w:tcW w:w="2022" w:type="dxa"/>
            <w:shd w:val="clear" w:color="auto" w:fill="E7E6E6"/>
            <w:tcMar>
              <w:top w:w="80" w:type="dxa"/>
              <w:left w:w="85" w:type="dxa"/>
              <w:bottom w:w="80" w:type="dxa"/>
              <w:right w:w="85" w:type="dxa"/>
            </w:tcMar>
            <w:vAlign w:val="center"/>
          </w:tcPr>
          <w:p w14:paraId="69B670E8">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9"/>
              </w:rPr>
              <w:t>COM-B component</w:t>
            </w:r>
          </w:p>
        </w:tc>
        <w:tc>
          <w:tcPr>
            <w:tcW w:w="4647" w:type="dxa"/>
            <w:shd w:val="clear" w:color="auto" w:fill="E7E6E6"/>
            <w:tcMar>
              <w:top w:w="80" w:type="dxa"/>
              <w:left w:w="85" w:type="dxa"/>
              <w:bottom w:w="80" w:type="dxa"/>
              <w:right w:w="85" w:type="dxa"/>
            </w:tcMar>
            <w:vAlign w:val="center"/>
          </w:tcPr>
          <w:p w14:paraId="3548DC96">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9"/>
              </w:rPr>
              <w:t>Subtheme</w:t>
            </w:r>
          </w:p>
        </w:tc>
        <w:tc>
          <w:tcPr>
            <w:tcW w:w="4185" w:type="dxa"/>
            <w:shd w:val="clear" w:color="auto" w:fill="E7E6E6"/>
            <w:tcMar>
              <w:top w:w="80" w:type="dxa"/>
              <w:left w:w="85" w:type="dxa"/>
              <w:bottom w:w="80" w:type="dxa"/>
              <w:right w:w="85" w:type="dxa"/>
            </w:tcMar>
            <w:vAlign w:val="center"/>
          </w:tcPr>
          <w:p w14:paraId="0BAE3A84">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9"/>
              </w:rPr>
              <w:t>Corresponding TDF domain(s)</w:t>
            </w:r>
          </w:p>
        </w:tc>
      </w:tr>
      <w:tr w14:paraId="000B3EC8">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restart"/>
            <w:tcMar>
              <w:top w:w="75" w:type="dxa"/>
              <w:left w:w="85" w:type="dxa"/>
              <w:bottom w:w="75" w:type="dxa"/>
              <w:right w:w="85" w:type="dxa"/>
            </w:tcMar>
            <w:vAlign w:val="center"/>
          </w:tcPr>
          <w:p w14:paraId="101ABDBE">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8"/>
              </w:rPr>
              <w:t>Capability</w:t>
            </w:r>
          </w:p>
        </w:tc>
        <w:tc>
          <w:tcPr>
            <w:tcW w:w="4647" w:type="dxa"/>
            <w:tcMar>
              <w:top w:w="75" w:type="dxa"/>
              <w:left w:w="85" w:type="dxa"/>
              <w:bottom w:w="75" w:type="dxa"/>
              <w:right w:w="85" w:type="dxa"/>
            </w:tcMar>
            <w:vAlign w:val="center"/>
          </w:tcPr>
          <w:p w14:paraId="772C788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Insufficient EBNP knowledge and skills</w:t>
            </w:r>
          </w:p>
        </w:tc>
        <w:tc>
          <w:tcPr>
            <w:tcW w:w="4185" w:type="dxa"/>
            <w:tcMar>
              <w:top w:w="75" w:type="dxa"/>
              <w:left w:w="85" w:type="dxa"/>
              <w:bottom w:w="75" w:type="dxa"/>
              <w:right w:w="85" w:type="dxa"/>
            </w:tcMar>
            <w:vAlign w:val="center"/>
          </w:tcPr>
          <w:p w14:paraId="1D099F1F">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Knowledge; Skills</w:t>
            </w:r>
            <w:bookmarkStart w:id="0" w:name="_GoBack"/>
            <w:bookmarkEnd w:id="0"/>
          </w:p>
        </w:tc>
      </w:tr>
      <w:tr w14:paraId="4E9D671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3474C3DF">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55821E6E">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Insufficient evidence-based decision-making and translation into practice</w:t>
            </w:r>
          </w:p>
        </w:tc>
        <w:tc>
          <w:tcPr>
            <w:tcW w:w="4185" w:type="dxa"/>
            <w:tcMar>
              <w:top w:w="75" w:type="dxa"/>
              <w:left w:w="85" w:type="dxa"/>
              <w:bottom w:w="75" w:type="dxa"/>
              <w:right w:w="85" w:type="dxa"/>
            </w:tcMar>
            <w:vAlign w:val="center"/>
          </w:tcPr>
          <w:p w14:paraId="60E12F8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Skills; Memory, attention and decision processes; Behavioural regulation</w:t>
            </w:r>
          </w:p>
        </w:tc>
      </w:tr>
      <w:tr w14:paraId="3ADA8802">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restart"/>
            <w:tcMar>
              <w:top w:w="75" w:type="dxa"/>
              <w:left w:w="85" w:type="dxa"/>
              <w:bottom w:w="75" w:type="dxa"/>
              <w:right w:w="85" w:type="dxa"/>
            </w:tcMar>
            <w:vAlign w:val="center"/>
          </w:tcPr>
          <w:p w14:paraId="6F83A478">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8"/>
              </w:rPr>
              <w:t>Opportunity</w:t>
            </w:r>
          </w:p>
        </w:tc>
        <w:tc>
          <w:tcPr>
            <w:tcW w:w="4647" w:type="dxa"/>
            <w:tcMar>
              <w:top w:w="75" w:type="dxa"/>
              <w:left w:w="85" w:type="dxa"/>
              <w:bottom w:w="75" w:type="dxa"/>
              <w:right w:w="85" w:type="dxa"/>
            </w:tcMar>
            <w:vAlign w:val="center"/>
          </w:tcPr>
          <w:p w14:paraId="7BB1F9FE">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Limited evidence resources and training support</w:t>
            </w:r>
          </w:p>
        </w:tc>
        <w:tc>
          <w:tcPr>
            <w:tcW w:w="4185" w:type="dxa"/>
            <w:tcMar>
              <w:top w:w="75" w:type="dxa"/>
              <w:left w:w="85" w:type="dxa"/>
              <w:bottom w:w="75" w:type="dxa"/>
              <w:right w:w="85" w:type="dxa"/>
            </w:tcMar>
            <w:vAlign w:val="center"/>
          </w:tcPr>
          <w:p w14:paraId="40B8AED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Environmental context and resources</w:t>
            </w:r>
          </w:p>
        </w:tc>
      </w:tr>
      <w:tr w14:paraId="62A8C05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27D7D370">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70C3873B">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Insufficient staffing, research-trained personnel, and protected time</w:t>
            </w:r>
          </w:p>
        </w:tc>
        <w:tc>
          <w:tcPr>
            <w:tcW w:w="4185" w:type="dxa"/>
            <w:tcMar>
              <w:top w:w="75" w:type="dxa"/>
              <w:left w:w="85" w:type="dxa"/>
              <w:bottom w:w="75" w:type="dxa"/>
              <w:right w:w="85" w:type="dxa"/>
            </w:tcMar>
            <w:vAlign w:val="center"/>
          </w:tcPr>
          <w:p w14:paraId="264BF77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Environmental context and resources</w:t>
            </w:r>
          </w:p>
        </w:tc>
      </w:tr>
      <w:tr w14:paraId="07AF575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0002F43E">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625B310E">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Inconsistent managerial and peer support</w:t>
            </w:r>
          </w:p>
        </w:tc>
        <w:tc>
          <w:tcPr>
            <w:tcW w:w="4185" w:type="dxa"/>
            <w:tcMar>
              <w:top w:w="75" w:type="dxa"/>
              <w:left w:w="85" w:type="dxa"/>
              <w:bottom w:w="75" w:type="dxa"/>
              <w:right w:w="85" w:type="dxa"/>
            </w:tcMar>
            <w:vAlign w:val="center"/>
          </w:tcPr>
          <w:p w14:paraId="56FC010F">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Social influences; Environmental context and resources</w:t>
            </w:r>
          </w:p>
        </w:tc>
      </w:tr>
      <w:tr w14:paraId="1D5CF98E">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6AA6FEDC">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63C5CA7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Difficulties adapting evidence to county-hospital contexts</w:t>
            </w:r>
          </w:p>
        </w:tc>
        <w:tc>
          <w:tcPr>
            <w:tcW w:w="4185" w:type="dxa"/>
            <w:tcMar>
              <w:top w:w="75" w:type="dxa"/>
              <w:left w:w="85" w:type="dxa"/>
              <w:bottom w:w="75" w:type="dxa"/>
              <w:right w:w="85" w:type="dxa"/>
            </w:tcMar>
            <w:vAlign w:val="center"/>
          </w:tcPr>
          <w:p w14:paraId="756A3804">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Environmental context and resources</w:t>
            </w:r>
          </w:p>
        </w:tc>
      </w:tr>
      <w:tr w14:paraId="6BD0DD6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restart"/>
            <w:tcMar>
              <w:top w:w="75" w:type="dxa"/>
              <w:left w:w="85" w:type="dxa"/>
              <w:bottom w:w="75" w:type="dxa"/>
              <w:right w:w="85" w:type="dxa"/>
            </w:tcMar>
            <w:vAlign w:val="center"/>
          </w:tcPr>
          <w:p w14:paraId="5364A821">
            <w:pPr>
              <w:keepNext w:val="0"/>
              <w:keepLines w:val="0"/>
              <w:pageBreakBefore w:val="0"/>
              <w:widowControl w:val="0"/>
              <w:kinsoku/>
              <w:wordWrap/>
              <w:overflowPunct/>
              <w:topLinePunct w:val="0"/>
              <w:autoSpaceDE/>
              <w:autoSpaceDN/>
              <w:bidi w:val="0"/>
              <w:adjustRightInd/>
              <w:snapToGrid/>
              <w:jc w:val="center"/>
              <w:textAlignment w:val="auto"/>
            </w:pPr>
            <w:r>
              <w:rPr>
                <w:rFonts w:ascii="Times New Roman" w:hAnsi="Times New Roman" w:eastAsia="Times New Roman"/>
                <w:b/>
                <w:sz w:val="18"/>
              </w:rPr>
              <w:t>Motivation</w:t>
            </w:r>
          </w:p>
        </w:tc>
        <w:tc>
          <w:tcPr>
            <w:tcW w:w="4647" w:type="dxa"/>
            <w:tcMar>
              <w:top w:w="75" w:type="dxa"/>
              <w:left w:w="85" w:type="dxa"/>
              <w:bottom w:w="75" w:type="dxa"/>
              <w:right w:w="85" w:type="dxa"/>
            </w:tcMar>
            <w:vAlign w:val="center"/>
          </w:tcPr>
          <w:p w14:paraId="103DCB6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Recognition of the professional value of EBNP</w:t>
            </w:r>
          </w:p>
        </w:tc>
        <w:tc>
          <w:tcPr>
            <w:tcW w:w="4185" w:type="dxa"/>
            <w:tcMar>
              <w:top w:w="75" w:type="dxa"/>
              <w:left w:w="85" w:type="dxa"/>
              <w:bottom w:w="75" w:type="dxa"/>
              <w:right w:w="85" w:type="dxa"/>
            </w:tcMar>
            <w:vAlign w:val="center"/>
          </w:tcPr>
          <w:p w14:paraId="4252227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Social/professional role and identity; Beliefs about consequences</w:t>
            </w:r>
          </w:p>
        </w:tc>
      </w:tr>
      <w:tr w14:paraId="0DE62972">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49C6E33E">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357F5BC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A gap between willingness to learn and sustained engagement</w:t>
            </w:r>
          </w:p>
        </w:tc>
        <w:tc>
          <w:tcPr>
            <w:tcW w:w="4185" w:type="dxa"/>
            <w:tcMar>
              <w:top w:w="75" w:type="dxa"/>
              <w:left w:w="85" w:type="dxa"/>
              <w:bottom w:w="75" w:type="dxa"/>
              <w:right w:w="85" w:type="dxa"/>
            </w:tcMar>
            <w:vAlign w:val="center"/>
          </w:tcPr>
          <w:p w14:paraId="4B8C648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t>Intentions; Goals; Beliefs about capabilities; Emotion</w:t>
            </w:r>
          </w:p>
        </w:tc>
      </w:tr>
      <w:tr w14:paraId="2FAAA2F2">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2022" w:type="dxa"/>
            <w:vMerge w:val="continue"/>
            <w:tcMar>
              <w:top w:w="75" w:type="dxa"/>
              <w:left w:w="85" w:type="dxa"/>
              <w:bottom w:w="75" w:type="dxa"/>
              <w:right w:w="85" w:type="dxa"/>
            </w:tcMar>
            <w:vAlign w:val="center"/>
          </w:tcPr>
          <w:p w14:paraId="796194CC">
            <w:pPr>
              <w:keepNext w:val="0"/>
              <w:keepLines w:val="0"/>
              <w:pageBreakBefore w:val="0"/>
              <w:widowControl w:val="0"/>
              <w:kinsoku/>
              <w:wordWrap/>
              <w:overflowPunct/>
              <w:topLinePunct w:val="0"/>
              <w:autoSpaceDE/>
              <w:autoSpaceDN/>
              <w:bidi w:val="0"/>
              <w:adjustRightInd/>
              <w:snapToGrid/>
              <w:textAlignment w:val="auto"/>
            </w:pPr>
          </w:p>
        </w:tc>
        <w:tc>
          <w:tcPr>
            <w:tcW w:w="4647" w:type="dxa"/>
            <w:tcMar>
              <w:top w:w="75" w:type="dxa"/>
              <w:left w:w="85" w:type="dxa"/>
              <w:bottom w:w="75" w:type="dxa"/>
              <w:right w:w="85" w:type="dxa"/>
            </w:tcMar>
            <w:vAlign w:val="center"/>
          </w:tcPr>
          <w:p w14:paraId="1743479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Unstable formal incentives and positive practice feedback</w:t>
            </w:r>
          </w:p>
        </w:tc>
        <w:tc>
          <w:tcPr>
            <w:tcW w:w="4185" w:type="dxa"/>
            <w:tcMar>
              <w:top w:w="75" w:type="dxa"/>
              <w:left w:w="85" w:type="dxa"/>
              <w:bottom w:w="75" w:type="dxa"/>
              <w:right w:w="85" w:type="dxa"/>
            </w:tcMar>
            <w:vAlign w:val="center"/>
          </w:tcPr>
          <w:p w14:paraId="64A4AE0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pPr>
            <w:r>
              <w:rPr>
                <w:rFonts w:ascii="Times New Roman" w:hAnsi="Times New Roman" w:eastAsia="Times New Roman"/>
                <w:sz w:val="18"/>
              </w:rPr>
              <w:t>Reinforcement; Emotion; Beliefs about consequences</w:t>
            </w:r>
          </w:p>
        </w:tc>
      </w:tr>
    </w:tbl>
    <w:p w14:paraId="4B2172A5">
      <w:pPr>
        <w:keepNext w:val="0"/>
        <w:keepLines w:val="0"/>
        <w:pageBreakBefore w:val="0"/>
        <w:widowControl w:val="0"/>
        <w:kinsoku/>
        <w:wordWrap/>
        <w:overflowPunct/>
        <w:topLinePunct w:val="0"/>
        <w:autoSpaceDE/>
        <w:autoSpaceDN/>
        <w:bidi w:val="0"/>
        <w:adjustRightInd/>
        <w:snapToGrid/>
        <w:spacing w:before="120" w:after="0"/>
        <w:textAlignment w:val="auto"/>
      </w:pPr>
      <w:r>
        <w:rPr>
          <w:rFonts w:ascii="Times New Roman" w:hAnsi="Times New Roman" w:eastAsia="Times New Roman"/>
          <w:sz w:val="17"/>
        </w:rPr>
        <w:t>Note. TDF domains indicate the principal domains used to interpret each subtheme. Some accounts were relevant to more than one domain, reflecting the interaction of capability, opportunity, and motivation in EBNP implementation. COM-B, Capability, Opportunity, Motivation-Behaviour; EBNP, evidence-based nursing practice; TDF, Theoretical Domains Framework.</w:t>
      </w:r>
    </w:p>
    <w:sectPr>
      <w:footerReference r:id="rId5" w:type="default"/>
      <w:pgSz w:w="11906" w:h="16838"/>
      <w:pgMar w:top="765" w:right="907" w:bottom="709" w:left="907" w:header="283" w:footer="28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B76F4">
    <w:pPr>
      <w:pStyle w:val="24"/>
      <w:jc w:val="right"/>
    </w:pPr>
    <w:r>
      <w:rPr>
        <w:rFonts w:ascii="Times New Roman" w:hAnsi="Times New Roman"/>
        <w:sz w:val="16"/>
      </w:rPr>
      <w:t xml:space="preserve">Additional file 3 | </w:t>
    </w:r>
    <w:r>
      <w:rPr>
        <w:rFonts w:ascii="Times New Roman" w:hAnsi="Times New Roman"/>
        <w:sz w:val="16"/>
      </w:rPr>
      <w:fldChar w:fldCharType="begin"/>
    </w:r>
    <w:r>
      <w:rPr>
        <w:rFonts w:ascii="Times New Roman" w:hAnsi="Times New Roman"/>
        <w:sz w:val="16"/>
      </w:rPr>
      <w:instrText xml:space="preserve"> PAGE </w:instrText>
    </w:r>
    <w:r>
      <w:rPr>
        <w:rFonts w:ascii="Times New Roman" w:hAnsi="Times New Roman"/>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A6249C0"/>
    <w:rsid w:val="595521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170</Words>
  <Characters>1283</Characters>
  <Lines>0</Lines>
  <Paragraphs>0</Paragraphs>
  <TotalTime>4</TotalTime>
  <ScaleCrop>false</ScaleCrop>
  <LinksUpToDate>false</LinksUpToDate>
  <CharactersWithSpaces>1426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克东</cp:lastModifiedBy>
  <dcterms:modified xsi:type="dcterms:W3CDTF">2026-07-16T09:25:53Z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eyJoZGlkIjoiMTU0ZTMxN2M5ZThmMGYyNWMwYzlkN2Q2M2YwOWYzZDUiLCJ1c2VySWQiOiI4NDE5Njg3MzkifQ==</vt:lpwstr>
  </property>
  <property fmtid="{D5CDD505-2E9C-101B-9397-08002B2CF9AE}" pid="3" name="KSOProductBuildVer">
    <vt:lpwstr>2052-12.1.0.23125</vt:lpwstr>
  </property>
  <property fmtid="{D5CDD505-2E9C-101B-9397-08002B2CF9AE}" pid="4" name="ICV">
    <vt:lpwstr>8D4CC06DDE7D4BC48744FCFD3EF88765_12</vt:lpwstr>
  </property>
</Properties>
</file>