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9ADEE">
      <w:pPr>
        <w:keepNext/>
        <w:pageBreakBefore/>
        <w:jc w:val="both"/>
      </w:pPr>
      <w:r>
        <w:rPr>
          <w:rFonts w:ascii="Times New Roman" w:hAnsi="Times New Roman" w:eastAsia="Times New Roman"/>
          <w:b/>
          <w:i w:val="0"/>
          <w:sz w:val="24"/>
        </w:rPr>
        <w:t>Appendix A. Technical Appendix: Model Specifications and Exposure–Outcome Timing</w:t>
      </w:r>
    </w:p>
    <w:p w14:paraId="6158BBDF">
      <w:pPr>
        <w:keepNext w:val="0"/>
        <w:jc w:val="both"/>
      </w:pPr>
      <w:r>
        <w:rPr>
          <w:rFonts w:ascii="Times New Roman" w:hAnsi="Times New Roman" w:eastAsia="Times New Roman"/>
        </w:rPr>
        <w:t>This appendix provides the technical details of the fixed-effects panel models used in the study. To improve readability for a broad clinical, nursing, and health-services audience, the main Methods section presents the analytic approach conceptually, whereas the model equations and detailed exposure–outcome timing considerations are provided below.</w:t>
      </w:r>
    </w:p>
    <w:p w14:paraId="6DAAF367">
      <w:pPr>
        <w:keepNext/>
        <w:jc w:val="both"/>
      </w:pPr>
      <w:r>
        <w:rPr>
          <w:rFonts w:ascii="Times New Roman" w:hAnsi="Times New Roman" w:eastAsia="Times New Roman"/>
          <w:b/>
          <w:i w:val="0"/>
          <w:sz w:val="24"/>
        </w:rPr>
        <w:t>Appendix A1. Fixed-effects model specifications</w:t>
      </w:r>
    </w:p>
    <w:p w14:paraId="60AFADDF">
      <w:pPr>
        <w:keepNext w:val="0"/>
        <w:jc w:val="both"/>
      </w:pPr>
      <w:r>
        <w:rPr>
          <w:rFonts w:ascii="Times New Roman" w:hAnsi="Times New Roman" w:eastAsia="Times New Roman"/>
        </w:rPr>
        <w:t>Let y_i,q denote the acute-care use outcome for nursing home i in quarter q. The outcome was defined as either the long-stay unplanned hospitalization rate or the long-stay outpatient emergency department visit rate per 1,000 resident-days.</w:t>
      </w:r>
    </w:p>
    <w:p w14:paraId="0091D9F3">
      <w:pPr>
        <w:keepNext/>
        <w:jc w:val="both"/>
      </w:pPr>
      <w:r>
        <w:rPr>
          <w:rFonts w:ascii="Times New Roman" w:hAnsi="Times New Roman" w:eastAsia="Times New Roman"/>
          <w:b/>
        </w:rPr>
        <w:t>Total nursing hours model</w:t>
      </w:r>
    </w:p>
    <w:p w14:paraId="61AEABB6">
      <w:pPr>
        <w:keepNext w:val="0"/>
        <w:jc w:val="both"/>
      </w:pPr>
      <w:r>
        <w:rPr>
          <w:rFonts w:ascii="Times New Roman" w:hAnsi="Times New Roman" w:eastAsia="Times New Roman"/>
        </w:rPr>
        <w:t>The association between overall nursing staffing and acute-care use was estimated as:</w:t>
      </w:r>
    </w:p>
    <w:p w14:paraId="76723777">
      <w:pPr>
        <w:keepLines/>
        <w:jc w:val="center"/>
      </w:pPr>
      <m:oMathPara>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=αTota</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τ</m:t>
              </m:r>
              <m:ctrlPr>
                <w:rPr>
                  <w:rFonts w:ascii="Cambria Math" w:hAnsi="Cambria Math"/>
                </w:rPr>
              </m:ctrlPr>
            </m:e>
            <m:sub>
              <m:r>
                <m:rPr/>
                <w:rPr>
                  <w:rFonts w:ascii="Cambria Math" w:hAnsi="Cambria Math"/>
                </w:rPr>
                <m:t>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ϵ</m:t>
              </m:r>
              <m:ctrlPr>
                <w:rPr>
                  <w:rFonts w:ascii="Cambria Math" w:hAnsi="Cambria Math"/>
                </w:rPr>
              </m:ctrlPr>
            </m:e>
            <m:sub>
              <m:r>
                <m:rPr/>
                <w:rPr>
                  <w:rFonts w:ascii="Cambria Math" w:hAnsi="Cambria Math"/>
                </w:rPr>
                <m:t>i,q</m:t>
              </m:r>
              <m:ctrlPr>
                <w:rPr>
                  <w:rFonts w:ascii="Cambria Math" w:hAnsi="Cambria Math"/>
                </w:rPr>
              </m:ctrlPr>
            </m:sub>
          </m:sSub>
        </m:oMath>
      </m:oMathPara>
    </w:p>
    <w:p w14:paraId="3C3FDADF">
      <w:pPr>
        <w:keepNext w:val="0"/>
        <w:jc w:val="both"/>
      </w:pPr>
      <w:r>
        <w:rPr>
          <w:rFonts w:ascii="Times New Roman" w:hAnsi="Times New Roman" w:eastAsia="Times New Roman"/>
        </w:rPr>
        <w:t>where Total_i,q is total nursing HPRD, defined as the sum of RN, LPN/LVN, and CNA hours per resident day. The term δ_i denotes nursing home fixed effects, τ_q denotes quarter fixed effects, and ε_i,q is the error term.</w:t>
      </w:r>
    </w:p>
    <w:p w14:paraId="014DFA63">
      <w:pPr>
        <w:keepNext/>
        <w:jc w:val="both"/>
      </w:pPr>
      <w:r>
        <w:rPr>
          <w:rFonts w:ascii="Times New Roman" w:hAnsi="Times New Roman" w:eastAsia="Times New Roman"/>
          <w:b/>
        </w:rPr>
        <w:t>Total nursing hours and RN share model</w:t>
      </w:r>
    </w:p>
    <w:p w14:paraId="2A5336CC">
      <w:pPr>
        <w:keepNext w:val="0"/>
        <w:jc w:val="both"/>
      </w:pPr>
      <w:r>
        <w:rPr>
          <w:rFonts w:ascii="Times New Roman" w:hAnsi="Times New Roman" w:eastAsia="Times New Roman"/>
        </w:rPr>
        <w:t>To assess whether staffing composition was associated with acute-care use independently of total staffing volume, we estimated:</w:t>
      </w:r>
    </w:p>
    <w:p w14:paraId="1C895A8B">
      <w:pPr>
        <w:keepLines/>
        <w:jc w:val="center"/>
      </w:pPr>
      <m:oMathPara>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=αTota</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+θShar</m:t>
          </m:r>
          <m:sSubSup>
            <m:sSubSupPr>
              <m:ctrlPr>
                <w:rPr>
                  <w:rFonts w:ascii="Cambria Math" w:hAnsi="Cambria Math"/>
                </w:rPr>
              </m:ctrlPr>
            </m:sSubSupPr>
            <m:e>
              <m:r>
                <m:rPr/>
                <w:rPr>
                  <w:rFonts w:ascii="Cambria Math" w:hAnsi="Cambria Math"/>
                </w:rPr>
                <m:t>e</m:t>
              </m:r>
              <m:ctrlPr>
                <w:rPr>
                  <w:rFonts w:ascii="Cambria Math" w:hAnsi="Cambria Math"/>
                </w:rPr>
              </m:ctrlPr>
            </m:e>
            <m:sub>
              <m:r>
                <m:rPr/>
                <w:rPr>
                  <w:rFonts w:ascii="Cambria Math" w:hAnsi="Cambria Math"/>
                </w:rPr>
                <m:t>i,q</m:t>
              </m:r>
              <m:ctrlPr>
                <w:rPr>
                  <w:rFonts w:ascii="Cambria Math" w:hAnsi="Cambria Math"/>
                </w:rPr>
              </m:ctrlPr>
            </m:sub>
            <m:sup>
              <m:r>
                <m:rPr/>
                <w:rPr>
                  <w:rFonts w:ascii="Cambria Math" w:hAnsi="Cambria Math"/>
                </w:rPr>
                <m:t>RN</m:t>
              </m:r>
              <m:ctrlPr>
                <w:rPr>
                  <w:rFonts w:ascii="Cambria Math" w:hAnsi="Cambria Math"/>
                </w:rPr>
              </m:ctrlPr>
            </m:sup>
          </m:sSubSup>
          <m:r>
            <m:rPr/>
            <w:rPr>
              <w:rFonts w:ascii="Cambria Math" w:hAnsi="Cambria Math"/>
            </w:rPr>
            <m:t>+</m:t>
          </m:r>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τ</m:t>
              </m:r>
              <m:ctrlPr>
                <w:rPr>
                  <w:rFonts w:ascii="Cambria Math" w:hAnsi="Cambria Math"/>
                </w:rPr>
              </m:ctrlPr>
            </m:e>
            <m:sub>
              <m:r>
                <m:rPr/>
                <w:rPr>
                  <w:rFonts w:ascii="Cambria Math" w:hAnsi="Cambria Math"/>
                </w:rPr>
                <m:t>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ϵ</m:t>
              </m:r>
              <m:ctrlPr>
                <w:rPr>
                  <w:rFonts w:ascii="Cambria Math" w:hAnsi="Cambria Math"/>
                </w:rPr>
              </m:ctrlPr>
            </m:e>
            <m:sub>
              <m:r>
                <m:rPr/>
                <w:rPr>
                  <w:rFonts w:ascii="Cambria Math" w:hAnsi="Cambria Math"/>
                </w:rPr>
                <m:t>i,q</m:t>
              </m:r>
              <m:ctrlPr>
                <w:rPr>
                  <w:rFonts w:ascii="Cambria Math" w:hAnsi="Cambria Math"/>
                </w:rPr>
              </m:ctrlPr>
            </m:sub>
          </m:sSub>
        </m:oMath>
      </m:oMathPara>
    </w:p>
    <w:p w14:paraId="5ED961E3">
      <w:pPr>
        <w:keepNext w:val="0"/>
        <w:jc w:val="both"/>
      </w:pPr>
      <w:r>
        <w:rPr>
          <w:rFonts w:ascii="Times New Roman" w:hAnsi="Times New Roman" w:eastAsia="Times New Roman"/>
        </w:rPr>
        <w:t>where Share_i,q^RN is the proportion of total nursing hours provided by RNs:</w:t>
      </w:r>
    </w:p>
    <w:p w14:paraId="38EDF9CD">
      <w:pPr>
        <w:keepLines/>
        <w:jc w:val="center"/>
      </w:pPr>
      <m:oMathPara>
        <m:oMath>
          <m:r>
            <m:rPr/>
            <w:rPr>
              <w:rFonts w:ascii="Cambria Math" w:hAnsi="Cambria Math"/>
            </w:rPr>
            <m:t>Shar</m:t>
          </m:r>
          <m:sSubSup>
            <m:sSubSupPr>
              <m:ctrlPr>
                <w:rPr>
                  <w:rFonts w:ascii="Cambria Math" w:hAnsi="Cambria Math"/>
                </w:rPr>
              </m:ctrlPr>
            </m:sSubSupPr>
            <m:e>
              <m:r>
                <m:rPr/>
                <w:rPr>
                  <w:rFonts w:ascii="Cambria Math" w:hAnsi="Cambria Math"/>
                </w:rPr>
                <m:t>e</m:t>
              </m:r>
              <m:ctrlPr>
                <w:rPr>
                  <w:rFonts w:ascii="Cambria Math" w:hAnsi="Cambria Math"/>
                </w:rPr>
              </m:ctrlPr>
            </m:e>
            <m:sub>
              <m:r>
                <m:rPr/>
                <w:rPr>
                  <w:rFonts w:ascii="Cambria Math" w:hAnsi="Cambria Math"/>
                </w:rPr>
                <m:t>i,q</m:t>
              </m:r>
              <m:ctrlPr>
                <w:rPr>
                  <w:rFonts w:ascii="Cambria Math" w:hAnsi="Cambria Math"/>
                </w:rPr>
              </m:ctrlPr>
            </m:sub>
            <m:sup>
              <m:r>
                <m:rPr/>
                <w:rPr>
                  <w:rFonts w:ascii="Cambria Math" w:hAnsi="Cambria Math"/>
                </w:rPr>
                <m:t>RN</m:t>
              </m:r>
              <m:ctrlPr>
                <w:rPr>
                  <w:rFonts w:ascii="Cambria Math" w:hAnsi="Cambria Math"/>
                </w:rPr>
              </m:ctrlPr>
            </m:sup>
          </m:sSubSup>
          <m:r>
            <m:rPr/>
            <w:rPr>
              <w:rFonts w:ascii="Cambria Math" w:hAnsi="Cambria Math"/>
            </w:rPr>
            <m:t>=</m:t>
          </m:r>
          <m:f>
            <m:fPr>
              <m:ctrlPr>
                <w:rPr>
                  <w:rFonts w:ascii="Cambria Math" w:hAnsi="Cambria Math"/>
                </w:rPr>
              </m:ctrlPr>
            </m:fPr>
            <m:num>
              <m:r>
                <m:rPr/>
                <w:rPr>
                  <w:rFonts w:ascii="Cambria Math" w:hAnsi="Cambria Math"/>
                </w:rPr>
                <m:t>R</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i,q</m:t>
                  </m:r>
                  <m:ctrlPr>
                    <w:rPr>
                      <w:rFonts w:ascii="Cambria Math" w:hAnsi="Cambria Math"/>
                    </w:rPr>
                  </m:ctrlPr>
                </m:sub>
              </m:sSub>
              <m:ctrlPr>
                <w:rPr>
                  <w:rFonts w:ascii="Cambria Math" w:hAnsi="Cambria Math"/>
                </w:rPr>
              </m:ctrlPr>
            </m:num>
            <m:den>
              <m:r>
                <m:rPr/>
                <w:rPr>
                  <w:rFonts w:ascii="Cambria Math" w:hAnsi="Cambria Math"/>
                </w:rPr>
                <m:t>Tota</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i,q</m:t>
                  </m:r>
                  <m:ctrlPr>
                    <w:rPr>
                      <w:rFonts w:ascii="Cambria Math" w:hAnsi="Cambria Math"/>
                    </w:rPr>
                  </m:ctrlPr>
                </m:sub>
              </m:sSub>
              <m:ctrlPr>
                <w:rPr>
                  <w:rFonts w:ascii="Cambria Math" w:hAnsi="Cambria Math"/>
                </w:rPr>
              </m:ctrlPr>
            </m:den>
          </m:f>
        </m:oMath>
      </m:oMathPara>
    </w:p>
    <w:p w14:paraId="6F9198D0">
      <w:pPr>
        <w:keepNext w:val="0"/>
        <w:jc w:val="both"/>
      </w:pPr>
      <w:r>
        <w:rPr>
          <w:rFonts w:ascii="Times New Roman" w:hAnsi="Times New Roman" w:eastAsia="Times New Roman"/>
        </w:rPr>
        <w:t>For interpretability, RN share was scaled so that its coefficient represents a 10-percentage-point increase.</w:t>
      </w:r>
    </w:p>
    <w:p w14:paraId="2ACCEA81">
      <w:pPr>
        <w:keepNext/>
        <w:jc w:val="both"/>
      </w:pPr>
      <w:r>
        <w:rPr>
          <w:rFonts w:ascii="Times New Roman" w:hAnsi="Times New Roman" w:eastAsia="Times New Roman"/>
          <w:b/>
        </w:rPr>
        <w:t>Type-specific staffing model</w:t>
      </w:r>
    </w:p>
    <w:p w14:paraId="77E88AA2">
      <w:pPr>
        <w:keepNext w:val="0"/>
        <w:jc w:val="both"/>
      </w:pPr>
      <w:r>
        <w:rPr>
          <w:rFonts w:ascii="Times New Roman" w:hAnsi="Times New Roman" w:eastAsia="Times New Roman"/>
        </w:rPr>
        <w:t>The type-specific staffing model was specified as:</w:t>
      </w:r>
    </w:p>
    <w:p w14:paraId="0A822C4E">
      <w:pPr>
        <w:keepLines/>
        <w:jc w:val="center"/>
      </w:pPr>
      <m:oMathPara>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R</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LP</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CN</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τ</m:t>
              </m:r>
              <m:ctrlPr>
                <w:rPr>
                  <w:rFonts w:ascii="Cambria Math" w:hAnsi="Cambria Math"/>
                </w:rPr>
              </m:ctrlPr>
            </m:e>
            <m:sub>
              <m:r>
                <m:rPr/>
                <w:rPr>
                  <w:rFonts w:ascii="Cambria Math" w:hAnsi="Cambria Math"/>
                </w:rPr>
                <m:t>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ϵ</m:t>
              </m:r>
              <m:ctrlPr>
                <w:rPr>
                  <w:rFonts w:ascii="Cambria Math" w:hAnsi="Cambria Math"/>
                </w:rPr>
              </m:ctrlPr>
            </m:e>
            <m:sub>
              <m:r>
                <m:rPr/>
                <w:rPr>
                  <w:rFonts w:ascii="Cambria Math" w:hAnsi="Cambria Math"/>
                </w:rPr>
                <m:t>i,q</m:t>
              </m:r>
              <m:ctrlPr>
                <w:rPr>
                  <w:rFonts w:ascii="Cambria Math" w:hAnsi="Cambria Math"/>
                </w:rPr>
              </m:ctrlPr>
            </m:sub>
          </m:sSub>
        </m:oMath>
      </m:oMathPara>
    </w:p>
    <w:p w14:paraId="29834462">
      <w:pPr>
        <w:keepNext w:val="0"/>
        <w:jc w:val="both"/>
      </w:pPr>
      <w:r>
        <w:rPr>
          <w:rFonts w:ascii="Times New Roman" w:hAnsi="Times New Roman" w:eastAsia="Times New Roman"/>
        </w:rPr>
        <w:t>In this specification, RN, LPN/LVN, and CNA hours were entered simultaneously. Each coefficient therefore represents the within-facility association of a one-hour-per-resident-day increase in the corresponding staffing category while holding the other staffing categories constant.</w:t>
      </w:r>
    </w:p>
    <w:p w14:paraId="138663E2">
      <w:pPr>
        <w:keepNext/>
        <w:jc w:val="both"/>
      </w:pPr>
      <w:r>
        <w:rPr>
          <w:rFonts w:hint="eastAsia" w:ascii="Times New Roman" w:hAnsi="Times New Roman" w:eastAsia="Times New Roman"/>
          <w:b/>
        </w:rPr>
        <w:t>One-quarter-lagged staffing model: temporal sensitivity analysis</w:t>
      </w:r>
    </w:p>
    <w:p w14:paraId="0AB9DB55">
      <w:pPr>
        <w:keepNext w:val="0"/>
        <w:jc w:val="both"/>
      </w:pPr>
      <w:r>
        <w:rPr>
          <w:rFonts w:ascii="Times New Roman" w:hAnsi="Times New Roman" w:eastAsia="Times New Roman"/>
        </w:rPr>
        <w:t xml:space="preserve">To provide temporal separation between staffing and the updated Care Compare outcome and to </w:t>
      </w:r>
      <w:r>
        <w:rPr>
          <w:rFonts w:hint="eastAsia" w:ascii="Times New Roman" w:hAnsi="Times New Roman" w:eastAsia="Times New Roman"/>
        </w:rPr>
        <w:t>assess whether the findings were robust to alternative exposure timing, we estimated a model using staffing measured one quarter earlier</w:t>
      </w:r>
      <w:r>
        <w:rPr>
          <w:rFonts w:ascii="Times New Roman" w:hAnsi="Times New Roman" w:eastAsia="Times New Roman"/>
        </w:rPr>
        <w:t>:</w:t>
      </w:r>
    </w:p>
    <w:p w14:paraId="046234A9">
      <w:pPr>
        <w:keepLines/>
        <w:jc w:val="center"/>
      </w:pPr>
      <m:oMathPara>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R</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i,q−1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LP</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i,q−1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CN</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i,q−1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τ</m:t>
              </m:r>
              <m:ctrlPr>
                <w:rPr>
                  <w:rFonts w:ascii="Cambria Math" w:hAnsi="Cambria Math"/>
                </w:rPr>
              </m:ctrlPr>
            </m:e>
            <m:sub>
              <m:r>
                <m:rPr/>
                <w:rPr>
                  <w:rFonts w:ascii="Cambria Math" w:hAnsi="Cambria Math"/>
                </w:rPr>
                <m:t>q</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ϵ</m:t>
              </m:r>
              <m:ctrlPr>
                <w:rPr>
                  <w:rFonts w:ascii="Cambria Math" w:hAnsi="Cambria Math"/>
                </w:rPr>
              </m:ctrlPr>
            </m:e>
            <m:sub>
              <m:r>
                <m:rPr/>
                <w:rPr>
                  <w:rFonts w:ascii="Cambria Math" w:hAnsi="Cambria Math"/>
                </w:rPr>
                <m:t>i,q</m:t>
              </m:r>
              <m:ctrlPr>
                <w:rPr>
                  <w:rFonts w:ascii="Cambria Math" w:hAnsi="Cambria Math"/>
                </w:rPr>
              </m:ctrlPr>
            </m:sub>
          </m:sSub>
        </m:oMath>
      </m:oMathPara>
    </w:p>
    <w:p w14:paraId="19FC90FA">
      <w:pPr>
        <w:keepNext w:val="0"/>
        <w:jc w:val="both"/>
      </w:pPr>
      <w:r>
        <w:rPr>
          <w:rFonts w:hint="eastAsia" w:ascii="Times New Roman" w:hAnsi="Times New Roman" w:eastAsia="Times New Roman"/>
        </w:rPr>
        <w:t>This specification relates staffing measured in quarter q−1 to the acute-care use rate reported in quarter q. Because quarter q−1 remains part of the rolling 12-month measurement window underlying the outcome, the lagged model is interpreted as a temporal sensitivity analysis rather than as a design that establishes temporal precedence or resolves reverse causality.</w:t>
      </w:r>
    </w:p>
    <w:p w14:paraId="611838AC">
      <w:pPr>
        <w:keepNext/>
        <w:jc w:val="center"/>
      </w:pPr>
      <w:r>
        <w:rPr>
          <w:rFonts w:ascii="Times New Roman" w:hAnsi="Times New Roman" w:eastAsia="Times New Roman"/>
          <w:b/>
        </w:rPr>
        <w:t>Appendix Table A1. Overview of model specifications estimated in the study</w:t>
      </w:r>
    </w:p>
    <w:tbl>
      <w:tblPr>
        <w:tblStyle w:val="2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76"/>
        <w:gridCol w:w="2076"/>
        <w:gridCol w:w="2076"/>
        <w:gridCol w:w="2076"/>
      </w:tblGrid>
      <w:tr w14:paraId="2259E9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728" w:type="dxa"/>
            <w:tcMar>
              <w:top w:w="60" w:type="dxa"/>
              <w:left w:w="70" w:type="dxa"/>
              <w:bottom w:w="60" w:type="dxa"/>
              <w:right w:w="70" w:type="dxa"/>
            </w:tcMar>
            <w:vAlign w:val="center"/>
          </w:tcPr>
          <w:p w14:paraId="4EBCC260">
            <w:pPr>
              <w:spacing w:after="0"/>
              <w:jc w:val="center"/>
            </w:pPr>
            <w:r>
              <w:rPr>
                <w:rFonts w:ascii="Times New Roman" w:hAnsi="Times New Roman" w:eastAsia="Times New Roman"/>
                <w:b/>
                <w:sz w:val="16"/>
              </w:rPr>
              <w:t>Model</w:t>
            </w:r>
          </w:p>
        </w:tc>
        <w:tc>
          <w:tcPr>
            <w:tcW w:w="2088" w:type="dxa"/>
            <w:tcMar>
              <w:top w:w="60" w:type="dxa"/>
              <w:left w:w="70" w:type="dxa"/>
              <w:bottom w:w="60" w:type="dxa"/>
              <w:right w:w="70" w:type="dxa"/>
            </w:tcMar>
            <w:vAlign w:val="center"/>
          </w:tcPr>
          <w:p w14:paraId="780EF0D5">
            <w:pPr>
              <w:spacing w:after="0"/>
              <w:jc w:val="center"/>
            </w:pPr>
            <w:r>
              <w:rPr>
                <w:rFonts w:ascii="Times New Roman" w:hAnsi="Times New Roman" w:eastAsia="Times New Roman"/>
                <w:b/>
                <w:sz w:val="16"/>
              </w:rPr>
              <w:t>Staffing variables</w:t>
            </w:r>
          </w:p>
        </w:tc>
        <w:tc>
          <w:tcPr>
            <w:tcW w:w="1656" w:type="dxa"/>
            <w:tcMar>
              <w:top w:w="60" w:type="dxa"/>
              <w:left w:w="70" w:type="dxa"/>
              <w:bottom w:w="60" w:type="dxa"/>
              <w:right w:w="70" w:type="dxa"/>
            </w:tcMar>
            <w:vAlign w:val="center"/>
          </w:tcPr>
          <w:p w14:paraId="6796C612">
            <w:pPr>
              <w:spacing w:after="0"/>
              <w:jc w:val="center"/>
            </w:pPr>
            <w:r>
              <w:rPr>
                <w:rFonts w:ascii="Times New Roman" w:hAnsi="Times New Roman" w:eastAsia="Times New Roman"/>
                <w:b/>
                <w:sz w:val="16"/>
              </w:rPr>
              <w:t>Timing of staffing exposure</w:t>
            </w:r>
          </w:p>
        </w:tc>
        <w:tc>
          <w:tcPr>
            <w:tcW w:w="2808" w:type="dxa"/>
            <w:tcMar>
              <w:top w:w="60" w:type="dxa"/>
              <w:left w:w="70" w:type="dxa"/>
              <w:bottom w:w="60" w:type="dxa"/>
              <w:right w:w="70" w:type="dxa"/>
            </w:tcMar>
            <w:vAlign w:val="center"/>
          </w:tcPr>
          <w:p w14:paraId="576DAE4E">
            <w:pPr>
              <w:spacing w:after="0"/>
              <w:jc w:val="center"/>
            </w:pPr>
            <w:r>
              <w:rPr>
                <w:rFonts w:ascii="Times New Roman" w:hAnsi="Times New Roman" w:eastAsia="Times New Roman"/>
                <w:b/>
                <w:sz w:val="16"/>
              </w:rPr>
              <w:t>Purpose</w:t>
            </w:r>
          </w:p>
        </w:tc>
      </w:tr>
      <w:tr w14:paraId="345429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28" w:type="dxa"/>
            <w:tcMar>
              <w:top w:w="60" w:type="dxa"/>
              <w:left w:w="70" w:type="dxa"/>
              <w:bottom w:w="60" w:type="dxa"/>
              <w:right w:w="70" w:type="dxa"/>
            </w:tcMar>
            <w:vAlign w:val="center"/>
          </w:tcPr>
          <w:p w14:paraId="2BDD9AAB">
            <w:pPr>
              <w:spacing w:after="0"/>
              <w:jc w:val="left"/>
            </w:pPr>
            <w:r>
              <w:rPr>
                <w:rFonts w:ascii="Times New Roman" w:hAnsi="Times New Roman" w:eastAsia="Times New Roman"/>
                <w:b w:val="0"/>
                <w:sz w:val="16"/>
              </w:rPr>
              <w:t>Total nursing hours model</w:t>
            </w:r>
          </w:p>
        </w:tc>
        <w:tc>
          <w:tcPr>
            <w:tcW w:w="2088" w:type="dxa"/>
            <w:tcMar>
              <w:top w:w="60" w:type="dxa"/>
              <w:left w:w="70" w:type="dxa"/>
              <w:bottom w:w="60" w:type="dxa"/>
              <w:right w:w="70" w:type="dxa"/>
            </w:tcMar>
            <w:vAlign w:val="center"/>
          </w:tcPr>
          <w:p w14:paraId="2BFB0C70">
            <w:pPr>
              <w:spacing w:after="0"/>
              <w:jc w:val="left"/>
            </w:pPr>
            <w:r>
              <w:rPr>
                <w:rFonts w:ascii="Times New Roman" w:hAnsi="Times New Roman" w:eastAsia="Times New Roman"/>
                <w:b w:val="0"/>
                <w:sz w:val="16"/>
              </w:rPr>
              <w:t>Total nursing HPRD</w:t>
            </w:r>
          </w:p>
        </w:tc>
        <w:tc>
          <w:tcPr>
            <w:tcW w:w="1656" w:type="dxa"/>
            <w:tcMar>
              <w:top w:w="60" w:type="dxa"/>
              <w:left w:w="70" w:type="dxa"/>
              <w:bottom w:w="60" w:type="dxa"/>
              <w:right w:w="70" w:type="dxa"/>
            </w:tcMar>
            <w:vAlign w:val="center"/>
          </w:tcPr>
          <w:p w14:paraId="4FB00C14">
            <w:pPr>
              <w:spacing w:after="0"/>
              <w:jc w:val="left"/>
            </w:pPr>
            <w:r>
              <w:rPr>
                <w:rFonts w:ascii="Times New Roman" w:hAnsi="Times New Roman" w:eastAsia="Times New Roman"/>
                <w:b w:val="0"/>
                <w:sz w:val="16"/>
              </w:rPr>
              <w:t>Quarter q</w:t>
            </w:r>
          </w:p>
        </w:tc>
        <w:tc>
          <w:tcPr>
            <w:tcW w:w="2808" w:type="dxa"/>
            <w:tcMar>
              <w:top w:w="60" w:type="dxa"/>
              <w:left w:w="70" w:type="dxa"/>
              <w:bottom w:w="60" w:type="dxa"/>
              <w:right w:w="70" w:type="dxa"/>
            </w:tcMar>
            <w:vAlign w:val="center"/>
          </w:tcPr>
          <w:p w14:paraId="426AC72F">
            <w:pPr>
              <w:spacing w:after="0"/>
              <w:jc w:val="left"/>
            </w:pPr>
            <w:r>
              <w:rPr>
                <w:rFonts w:ascii="Times New Roman" w:hAnsi="Times New Roman" w:eastAsia="Times New Roman"/>
                <w:b w:val="0"/>
                <w:sz w:val="16"/>
              </w:rPr>
              <w:t>Estimates the association between overall nursing staffing volume and acute-care use</w:t>
            </w:r>
          </w:p>
        </w:tc>
      </w:tr>
      <w:tr w14:paraId="78379E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28" w:type="dxa"/>
            <w:tcMar>
              <w:top w:w="60" w:type="dxa"/>
              <w:left w:w="70" w:type="dxa"/>
              <w:bottom w:w="60" w:type="dxa"/>
              <w:right w:w="70" w:type="dxa"/>
            </w:tcMar>
            <w:vAlign w:val="center"/>
          </w:tcPr>
          <w:p w14:paraId="60CD2B01">
            <w:pPr>
              <w:spacing w:after="0"/>
              <w:jc w:val="left"/>
            </w:pPr>
            <w:r>
              <w:rPr>
                <w:rFonts w:ascii="Times New Roman" w:hAnsi="Times New Roman" w:eastAsia="Times New Roman"/>
                <w:b w:val="0"/>
                <w:sz w:val="16"/>
              </w:rPr>
              <w:t>Total nursing hours and RN share model</w:t>
            </w:r>
          </w:p>
        </w:tc>
        <w:tc>
          <w:tcPr>
            <w:tcW w:w="2088" w:type="dxa"/>
            <w:tcMar>
              <w:top w:w="60" w:type="dxa"/>
              <w:left w:w="70" w:type="dxa"/>
              <w:bottom w:w="60" w:type="dxa"/>
              <w:right w:w="70" w:type="dxa"/>
            </w:tcMar>
            <w:vAlign w:val="center"/>
          </w:tcPr>
          <w:p w14:paraId="5CB0BC5D">
            <w:pPr>
              <w:spacing w:after="0"/>
              <w:jc w:val="left"/>
            </w:pPr>
            <w:r>
              <w:rPr>
                <w:rFonts w:ascii="Times New Roman" w:hAnsi="Times New Roman" w:eastAsia="Times New Roman"/>
                <w:b w:val="0"/>
                <w:sz w:val="16"/>
              </w:rPr>
              <w:t>Total nursing HPRD and RN share</w:t>
            </w:r>
          </w:p>
        </w:tc>
        <w:tc>
          <w:tcPr>
            <w:tcW w:w="1656" w:type="dxa"/>
            <w:tcMar>
              <w:top w:w="60" w:type="dxa"/>
              <w:left w:w="70" w:type="dxa"/>
              <w:bottom w:w="60" w:type="dxa"/>
              <w:right w:w="70" w:type="dxa"/>
            </w:tcMar>
            <w:vAlign w:val="center"/>
          </w:tcPr>
          <w:p w14:paraId="53A4CD9F">
            <w:pPr>
              <w:spacing w:after="0"/>
              <w:jc w:val="left"/>
            </w:pPr>
            <w:r>
              <w:rPr>
                <w:rFonts w:ascii="Times New Roman" w:hAnsi="Times New Roman" w:eastAsia="Times New Roman"/>
                <w:b w:val="0"/>
                <w:sz w:val="16"/>
              </w:rPr>
              <w:t>Quarter q</w:t>
            </w:r>
          </w:p>
        </w:tc>
        <w:tc>
          <w:tcPr>
            <w:tcW w:w="2808" w:type="dxa"/>
            <w:tcMar>
              <w:top w:w="60" w:type="dxa"/>
              <w:left w:w="70" w:type="dxa"/>
              <w:bottom w:w="60" w:type="dxa"/>
              <w:right w:w="70" w:type="dxa"/>
            </w:tcMar>
            <w:vAlign w:val="center"/>
          </w:tcPr>
          <w:p w14:paraId="4F139149">
            <w:pPr>
              <w:spacing w:after="0"/>
              <w:jc w:val="left"/>
            </w:pPr>
            <w:r>
              <w:rPr>
                <w:rFonts w:ascii="Times New Roman" w:hAnsi="Times New Roman" w:eastAsia="Times New Roman"/>
                <w:b w:val="0"/>
                <w:sz w:val="16"/>
              </w:rPr>
              <w:t>Examines staffing composition while holding total staffing volume constant</w:t>
            </w:r>
          </w:p>
        </w:tc>
      </w:tr>
      <w:tr w14:paraId="3D5BEE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28" w:type="dxa"/>
            <w:tcMar>
              <w:top w:w="60" w:type="dxa"/>
              <w:left w:w="70" w:type="dxa"/>
              <w:bottom w:w="60" w:type="dxa"/>
              <w:right w:w="70" w:type="dxa"/>
            </w:tcMar>
            <w:vAlign w:val="center"/>
          </w:tcPr>
          <w:p w14:paraId="28D4E576">
            <w:pPr>
              <w:spacing w:after="0"/>
              <w:jc w:val="left"/>
            </w:pPr>
            <w:r>
              <w:rPr>
                <w:rFonts w:ascii="Times New Roman" w:hAnsi="Times New Roman" w:eastAsia="Times New Roman"/>
                <w:b w:val="0"/>
                <w:sz w:val="16"/>
              </w:rPr>
              <w:t>Type-specific staffing model</w:t>
            </w:r>
          </w:p>
        </w:tc>
        <w:tc>
          <w:tcPr>
            <w:tcW w:w="2088" w:type="dxa"/>
            <w:tcMar>
              <w:top w:w="60" w:type="dxa"/>
              <w:left w:w="70" w:type="dxa"/>
              <w:bottom w:w="60" w:type="dxa"/>
              <w:right w:w="70" w:type="dxa"/>
            </w:tcMar>
            <w:vAlign w:val="center"/>
          </w:tcPr>
          <w:p w14:paraId="155DDA65">
            <w:pPr>
              <w:spacing w:after="0"/>
              <w:jc w:val="left"/>
            </w:pPr>
            <w:r>
              <w:rPr>
                <w:rFonts w:ascii="Times New Roman" w:hAnsi="Times New Roman" w:eastAsia="Times New Roman"/>
                <w:b w:val="0"/>
                <w:sz w:val="16"/>
              </w:rPr>
              <w:t>RN, LPN/LVN, and CNA HPRD</w:t>
            </w:r>
          </w:p>
        </w:tc>
        <w:tc>
          <w:tcPr>
            <w:tcW w:w="1656" w:type="dxa"/>
            <w:tcMar>
              <w:top w:w="60" w:type="dxa"/>
              <w:left w:w="70" w:type="dxa"/>
              <w:bottom w:w="60" w:type="dxa"/>
              <w:right w:w="70" w:type="dxa"/>
            </w:tcMar>
            <w:vAlign w:val="center"/>
          </w:tcPr>
          <w:p w14:paraId="01C79939">
            <w:pPr>
              <w:spacing w:after="0"/>
              <w:jc w:val="left"/>
            </w:pPr>
            <w:r>
              <w:rPr>
                <w:rFonts w:ascii="Times New Roman" w:hAnsi="Times New Roman" w:eastAsia="Times New Roman"/>
                <w:b w:val="0"/>
                <w:sz w:val="16"/>
              </w:rPr>
              <w:t>Quarter q</w:t>
            </w:r>
          </w:p>
        </w:tc>
        <w:tc>
          <w:tcPr>
            <w:tcW w:w="2808" w:type="dxa"/>
            <w:tcMar>
              <w:top w:w="60" w:type="dxa"/>
              <w:left w:w="70" w:type="dxa"/>
              <w:bottom w:w="60" w:type="dxa"/>
              <w:right w:w="70" w:type="dxa"/>
            </w:tcMar>
            <w:vAlign w:val="center"/>
          </w:tcPr>
          <w:p w14:paraId="4D30F108">
            <w:pPr>
              <w:spacing w:after="0"/>
              <w:jc w:val="left"/>
            </w:pPr>
            <w:r>
              <w:rPr>
                <w:rFonts w:ascii="Times New Roman" w:hAnsi="Times New Roman" w:eastAsia="Times New Roman"/>
                <w:b w:val="0"/>
                <w:sz w:val="16"/>
              </w:rPr>
              <w:t>Estimates the association of each staffing category while holding the other categories constant</w:t>
            </w:r>
          </w:p>
        </w:tc>
      </w:tr>
      <w:tr w14:paraId="6BA005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728" w:type="dxa"/>
            <w:tcMar>
              <w:top w:w="60" w:type="dxa"/>
              <w:left w:w="70" w:type="dxa"/>
              <w:bottom w:w="60" w:type="dxa"/>
              <w:right w:w="70" w:type="dxa"/>
            </w:tcMar>
            <w:vAlign w:val="center"/>
          </w:tcPr>
          <w:p w14:paraId="161CBD36">
            <w:pPr>
              <w:spacing w:after="0"/>
              <w:jc w:val="left"/>
            </w:pPr>
            <w:r>
              <w:rPr>
                <w:rFonts w:ascii="Times New Roman" w:hAnsi="Times New Roman" w:eastAsia="Times New Roman"/>
                <w:b w:val="0"/>
                <w:sz w:val="16"/>
              </w:rPr>
              <w:t>One-quarter lagged staffing model</w:t>
            </w:r>
          </w:p>
        </w:tc>
        <w:tc>
          <w:tcPr>
            <w:tcW w:w="2088" w:type="dxa"/>
            <w:tcMar>
              <w:top w:w="60" w:type="dxa"/>
              <w:left w:w="70" w:type="dxa"/>
              <w:bottom w:w="60" w:type="dxa"/>
              <w:right w:w="70" w:type="dxa"/>
            </w:tcMar>
            <w:vAlign w:val="center"/>
          </w:tcPr>
          <w:p w14:paraId="2A3FB754">
            <w:pPr>
              <w:spacing w:after="0"/>
              <w:jc w:val="left"/>
            </w:pPr>
            <w:r>
              <w:rPr>
                <w:rFonts w:ascii="Times New Roman" w:hAnsi="Times New Roman" w:eastAsia="Times New Roman"/>
                <w:b w:val="0"/>
                <w:sz w:val="16"/>
              </w:rPr>
              <w:t>RN, LPN/LVN, and CNA HPRD</w:t>
            </w:r>
          </w:p>
        </w:tc>
        <w:tc>
          <w:tcPr>
            <w:tcW w:w="1656" w:type="dxa"/>
            <w:tcMar>
              <w:top w:w="60" w:type="dxa"/>
              <w:left w:w="70" w:type="dxa"/>
              <w:bottom w:w="60" w:type="dxa"/>
              <w:right w:w="70" w:type="dxa"/>
            </w:tcMar>
            <w:vAlign w:val="center"/>
          </w:tcPr>
          <w:p w14:paraId="4EDEEECB">
            <w:pPr>
              <w:spacing w:after="0"/>
              <w:jc w:val="left"/>
            </w:pPr>
            <w:r>
              <w:rPr>
                <w:rFonts w:ascii="Times New Roman" w:hAnsi="Times New Roman" w:eastAsia="Times New Roman"/>
                <w:b w:val="0"/>
                <w:sz w:val="16"/>
              </w:rPr>
              <w:t>Quarter q−1</w:t>
            </w:r>
          </w:p>
        </w:tc>
        <w:tc>
          <w:tcPr>
            <w:tcW w:w="2808" w:type="dxa"/>
            <w:tcMar>
              <w:top w:w="60" w:type="dxa"/>
              <w:left w:w="70" w:type="dxa"/>
              <w:bottom w:w="60" w:type="dxa"/>
              <w:right w:w="70" w:type="dxa"/>
            </w:tcMar>
            <w:vAlign w:val="center"/>
          </w:tcPr>
          <w:p w14:paraId="190B21FF">
            <w:pPr>
              <w:spacing w:after="0"/>
              <w:jc w:val="left"/>
            </w:pPr>
            <w:r>
              <w:rPr>
                <w:rFonts w:ascii="Times New Roman" w:hAnsi="Times New Roman" w:eastAsia="Times New Roman"/>
                <w:b w:val="0"/>
                <w:sz w:val="16"/>
              </w:rPr>
              <w:t>Assesses robustness to alternative exposure timing</w:t>
            </w:r>
          </w:p>
        </w:tc>
      </w:tr>
    </w:tbl>
    <w:p w14:paraId="32DB1F3B">
      <w:pPr>
        <w:keepNext w:val="0"/>
        <w:jc w:val="both"/>
      </w:pPr>
      <w:r>
        <w:rPr>
          <w:rFonts w:ascii="Times New Roman" w:hAnsi="Times New Roman" w:eastAsia="Times New Roman"/>
          <w:sz w:val="15"/>
        </w:rPr>
        <w:t>Note: Each specification was estimated separately for the long-stay unplanned hospitalization rate and the long-stay outpatient ED visit rate. All models included nursing home and quarter fixed effects. Standard errors were clustered at the nursing home level. HPRD indicates hours per resident day; RN, registered nurse; LPN/LVN, licensed practical/vocational nurse; CNA, certified nursing assistant; ED, emergency department.</w:t>
      </w:r>
    </w:p>
    <w:p w14:paraId="2DE51809">
      <w:pPr>
        <w:keepNext/>
        <w:jc w:val="both"/>
        <w:rPr>
          <w:rFonts w:ascii="Times New Roman" w:hAnsi="Times New Roman" w:eastAsia="Times New Roman"/>
          <w:b/>
          <w:i w:val="0"/>
          <w:sz w:val="24"/>
        </w:rPr>
      </w:pPr>
      <w:bookmarkStart w:id="0" w:name="_GoBack"/>
      <w:bookmarkEnd w:id="0"/>
    </w:p>
    <w:p w14:paraId="64A4848A">
      <w:pPr>
        <w:keepNext/>
        <w:jc w:val="both"/>
      </w:pPr>
      <w:r>
        <w:rPr>
          <w:rFonts w:ascii="Times New Roman" w:hAnsi="Times New Roman" w:eastAsia="Times New Roman"/>
          <w:b/>
          <w:i w:val="0"/>
          <w:sz w:val="24"/>
        </w:rPr>
        <w:t>Appendix A2. Exposure–outcome timing considerations</w:t>
      </w:r>
    </w:p>
    <w:p w14:paraId="15BB25DE">
      <w:pPr>
        <w:keepNext w:val="0"/>
        <w:jc w:val="both"/>
      </w:pPr>
      <w:r>
        <w:rPr>
          <w:rFonts w:ascii="Times New Roman" w:hAnsi="Times New Roman" w:eastAsia="Times New Roman"/>
        </w:rPr>
        <w:t>The Care Compare long-stay unplanned hospitalization and outpatient ED visit measures are updated quarterly, but each reported value reflects claims accumulated over a rolling 12-month measurement period. Consequently, the outcome reported for quarter q represents acute-care utilization occurring over multiple quarters rather than events occurring exclusively during quarter q.</w:t>
      </w:r>
    </w:p>
    <w:p w14:paraId="6703DD78">
      <w:pPr>
        <w:keepNext w:val="0"/>
        <w:jc w:val="both"/>
      </w:pPr>
      <w:r>
        <w:rPr>
          <w:rFonts w:ascii="Times New Roman" w:hAnsi="Times New Roman" w:eastAsia="Times New Roman"/>
        </w:rPr>
        <w:t>The contemporaneous models use staffing measured in quarter q. Staffing in that quarter overlaps with part of the claims period contributing to the outcome reported in quarter q, but it does not represent staffing throughout the entire 12-month outcome window. The contemporaneous coefficients should therefore be interpreted as associations between the facility’s current staffing configuration and its updated annualized acute-care use rate.</w:t>
      </w:r>
    </w:p>
    <w:p w14:paraId="347C7661">
      <w:pPr>
        <w:keepNext w:val="0"/>
        <w:jc w:val="both"/>
      </w:pPr>
      <w:r>
        <w:rPr>
          <w:rFonts w:ascii="Times New Roman" w:hAnsi="Times New Roman" w:eastAsia="Times New Roman"/>
        </w:rPr>
        <w:t>We selected contemporaneous-quarter staffing for the main analyses because it represents the staffing configuration observed during the quarter in which the Care Compare measure was updated and is directly relevant to facility operations and public reporting. We additionally estimated one-quarter lagged staffing models to assess whether the findings persisted when staffing was measured before the outcome reporting quarter.</w:t>
      </w:r>
    </w:p>
    <w:p w14:paraId="7798D67F">
      <w:pPr>
        <w:jc w:val="both"/>
        <w:rPr>
          <w:rFonts w:ascii="Times New Roman" w:hAnsi="Times New Roman" w:cs="Times New Roman"/>
          <w:sz w:val="15"/>
          <w:szCs w:val="15"/>
        </w:rPr>
      </w:pPr>
      <w:r>
        <w:rPr>
          <w:rFonts w:ascii="Times New Roman" w:hAnsi="Times New Roman" w:eastAsia="Times New Roman"/>
        </w:rPr>
        <w:t>The one-quarter lag does not completely align staffing with the full rolling measurement window and does not eliminate potential time-varying confounding or staffing endogeneity. The timing structure of the publicly reported outcomes therefore remains an important limitation. Accordingly, all estimates are interpreted as within-facility associations rather than causal effects of staffing changes on individual hospitalization or ED events.</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63"/>
    <w:rsid w:val="00014F18"/>
    <w:rsid w:val="0003792E"/>
    <w:rsid w:val="000407E3"/>
    <w:rsid w:val="00043E0B"/>
    <w:rsid w:val="000478A5"/>
    <w:rsid w:val="000505C2"/>
    <w:rsid w:val="00056637"/>
    <w:rsid w:val="000824C7"/>
    <w:rsid w:val="00096563"/>
    <w:rsid w:val="000C4292"/>
    <w:rsid w:val="000D7C72"/>
    <w:rsid w:val="000E6D76"/>
    <w:rsid w:val="00101889"/>
    <w:rsid w:val="00113FA2"/>
    <w:rsid w:val="00132D57"/>
    <w:rsid w:val="0014061E"/>
    <w:rsid w:val="00174453"/>
    <w:rsid w:val="001773F4"/>
    <w:rsid w:val="00187E67"/>
    <w:rsid w:val="0019123C"/>
    <w:rsid w:val="00195507"/>
    <w:rsid w:val="001976BA"/>
    <w:rsid w:val="00197F43"/>
    <w:rsid w:val="001A42D2"/>
    <w:rsid w:val="001A53B5"/>
    <w:rsid w:val="001B75B6"/>
    <w:rsid w:val="001D347E"/>
    <w:rsid w:val="001D6B72"/>
    <w:rsid w:val="001E673C"/>
    <w:rsid w:val="001F7DC9"/>
    <w:rsid w:val="00202186"/>
    <w:rsid w:val="002114DA"/>
    <w:rsid w:val="002231A5"/>
    <w:rsid w:val="00223BD9"/>
    <w:rsid w:val="00251576"/>
    <w:rsid w:val="00252555"/>
    <w:rsid w:val="002630B0"/>
    <w:rsid w:val="00272AD2"/>
    <w:rsid w:val="0028684D"/>
    <w:rsid w:val="0029462D"/>
    <w:rsid w:val="002B18CF"/>
    <w:rsid w:val="002B4DF9"/>
    <w:rsid w:val="002B5CBA"/>
    <w:rsid w:val="002B6500"/>
    <w:rsid w:val="002F405C"/>
    <w:rsid w:val="00335346"/>
    <w:rsid w:val="00372036"/>
    <w:rsid w:val="003750D3"/>
    <w:rsid w:val="0037785D"/>
    <w:rsid w:val="003862ED"/>
    <w:rsid w:val="00390AEE"/>
    <w:rsid w:val="003944F8"/>
    <w:rsid w:val="003A593D"/>
    <w:rsid w:val="003B2428"/>
    <w:rsid w:val="003C2345"/>
    <w:rsid w:val="003E0BB8"/>
    <w:rsid w:val="003E2915"/>
    <w:rsid w:val="003E473B"/>
    <w:rsid w:val="0040154F"/>
    <w:rsid w:val="00412B61"/>
    <w:rsid w:val="00414DEA"/>
    <w:rsid w:val="004300E4"/>
    <w:rsid w:val="00434E0E"/>
    <w:rsid w:val="00450C85"/>
    <w:rsid w:val="004529F9"/>
    <w:rsid w:val="00466F57"/>
    <w:rsid w:val="00473C28"/>
    <w:rsid w:val="00492E99"/>
    <w:rsid w:val="004A106D"/>
    <w:rsid w:val="004A24FF"/>
    <w:rsid w:val="004A532D"/>
    <w:rsid w:val="004B380A"/>
    <w:rsid w:val="004B4310"/>
    <w:rsid w:val="004B6828"/>
    <w:rsid w:val="004C22CD"/>
    <w:rsid w:val="005024D5"/>
    <w:rsid w:val="00511E47"/>
    <w:rsid w:val="00523271"/>
    <w:rsid w:val="005274B0"/>
    <w:rsid w:val="00534271"/>
    <w:rsid w:val="005342C9"/>
    <w:rsid w:val="00540817"/>
    <w:rsid w:val="00553151"/>
    <w:rsid w:val="005572AB"/>
    <w:rsid w:val="00570072"/>
    <w:rsid w:val="00575838"/>
    <w:rsid w:val="00590E5E"/>
    <w:rsid w:val="005A3596"/>
    <w:rsid w:val="005B6125"/>
    <w:rsid w:val="005D1018"/>
    <w:rsid w:val="005E7672"/>
    <w:rsid w:val="005E7B85"/>
    <w:rsid w:val="005F2E25"/>
    <w:rsid w:val="00600452"/>
    <w:rsid w:val="0061235B"/>
    <w:rsid w:val="00613233"/>
    <w:rsid w:val="00625212"/>
    <w:rsid w:val="00630283"/>
    <w:rsid w:val="006422A8"/>
    <w:rsid w:val="00673090"/>
    <w:rsid w:val="006758A4"/>
    <w:rsid w:val="00682C1D"/>
    <w:rsid w:val="00695E9B"/>
    <w:rsid w:val="006B49F8"/>
    <w:rsid w:val="006B6029"/>
    <w:rsid w:val="006E248D"/>
    <w:rsid w:val="006F1039"/>
    <w:rsid w:val="006F29BF"/>
    <w:rsid w:val="006F3E3F"/>
    <w:rsid w:val="006F6647"/>
    <w:rsid w:val="00727A2D"/>
    <w:rsid w:val="00756D38"/>
    <w:rsid w:val="00770E30"/>
    <w:rsid w:val="00791EDA"/>
    <w:rsid w:val="007B07C5"/>
    <w:rsid w:val="007C43CF"/>
    <w:rsid w:val="007C6CA4"/>
    <w:rsid w:val="007F109C"/>
    <w:rsid w:val="00822473"/>
    <w:rsid w:val="00822DD2"/>
    <w:rsid w:val="00843551"/>
    <w:rsid w:val="00846E30"/>
    <w:rsid w:val="008504A7"/>
    <w:rsid w:val="008521EF"/>
    <w:rsid w:val="008633DE"/>
    <w:rsid w:val="00865956"/>
    <w:rsid w:val="008915A5"/>
    <w:rsid w:val="008B1170"/>
    <w:rsid w:val="008C0A02"/>
    <w:rsid w:val="008D544B"/>
    <w:rsid w:val="008D73D4"/>
    <w:rsid w:val="008E5127"/>
    <w:rsid w:val="0090763A"/>
    <w:rsid w:val="00922CB3"/>
    <w:rsid w:val="009260B9"/>
    <w:rsid w:val="00926B58"/>
    <w:rsid w:val="009416CD"/>
    <w:rsid w:val="009435FC"/>
    <w:rsid w:val="009575D5"/>
    <w:rsid w:val="00984BEE"/>
    <w:rsid w:val="00984CB2"/>
    <w:rsid w:val="00987E37"/>
    <w:rsid w:val="009959DE"/>
    <w:rsid w:val="009B5486"/>
    <w:rsid w:val="009B5781"/>
    <w:rsid w:val="009C0BF3"/>
    <w:rsid w:val="009E31FE"/>
    <w:rsid w:val="009E4B99"/>
    <w:rsid w:val="009E57BC"/>
    <w:rsid w:val="009F08B9"/>
    <w:rsid w:val="009F584A"/>
    <w:rsid w:val="00A06563"/>
    <w:rsid w:val="00A06EEF"/>
    <w:rsid w:val="00A12A59"/>
    <w:rsid w:val="00A172C9"/>
    <w:rsid w:val="00A87238"/>
    <w:rsid w:val="00AB2FDC"/>
    <w:rsid w:val="00AB398B"/>
    <w:rsid w:val="00AC239A"/>
    <w:rsid w:val="00AC380B"/>
    <w:rsid w:val="00AD0B53"/>
    <w:rsid w:val="00AF1C87"/>
    <w:rsid w:val="00B15D71"/>
    <w:rsid w:val="00B26D47"/>
    <w:rsid w:val="00B33D51"/>
    <w:rsid w:val="00B4013F"/>
    <w:rsid w:val="00B52CFD"/>
    <w:rsid w:val="00B55183"/>
    <w:rsid w:val="00B65DB1"/>
    <w:rsid w:val="00BB2E9C"/>
    <w:rsid w:val="00BC1332"/>
    <w:rsid w:val="00BC2D67"/>
    <w:rsid w:val="00BE2BBE"/>
    <w:rsid w:val="00BE562B"/>
    <w:rsid w:val="00C1190F"/>
    <w:rsid w:val="00C27B66"/>
    <w:rsid w:val="00C4207B"/>
    <w:rsid w:val="00C61817"/>
    <w:rsid w:val="00C64351"/>
    <w:rsid w:val="00C73CCE"/>
    <w:rsid w:val="00C85CFD"/>
    <w:rsid w:val="00CA214E"/>
    <w:rsid w:val="00CA4681"/>
    <w:rsid w:val="00CA5D45"/>
    <w:rsid w:val="00CD3370"/>
    <w:rsid w:val="00CF1959"/>
    <w:rsid w:val="00CF19A9"/>
    <w:rsid w:val="00CF483C"/>
    <w:rsid w:val="00D07C29"/>
    <w:rsid w:val="00D12A09"/>
    <w:rsid w:val="00D20D65"/>
    <w:rsid w:val="00DA0BDD"/>
    <w:rsid w:val="00DA13EE"/>
    <w:rsid w:val="00DB4F7C"/>
    <w:rsid w:val="00DC6E38"/>
    <w:rsid w:val="00DD2A92"/>
    <w:rsid w:val="00DE5305"/>
    <w:rsid w:val="00DF158E"/>
    <w:rsid w:val="00DF38AC"/>
    <w:rsid w:val="00E02548"/>
    <w:rsid w:val="00E11A93"/>
    <w:rsid w:val="00E13606"/>
    <w:rsid w:val="00E1696F"/>
    <w:rsid w:val="00E2618E"/>
    <w:rsid w:val="00E27829"/>
    <w:rsid w:val="00E32F8F"/>
    <w:rsid w:val="00E33937"/>
    <w:rsid w:val="00E36EAE"/>
    <w:rsid w:val="00E64690"/>
    <w:rsid w:val="00E723C2"/>
    <w:rsid w:val="00E80C74"/>
    <w:rsid w:val="00E85ABA"/>
    <w:rsid w:val="00EC620C"/>
    <w:rsid w:val="00ED596B"/>
    <w:rsid w:val="00ED7615"/>
    <w:rsid w:val="00EE5172"/>
    <w:rsid w:val="00EE7D03"/>
    <w:rsid w:val="00F540F6"/>
    <w:rsid w:val="00F565DD"/>
    <w:rsid w:val="00F82E61"/>
    <w:rsid w:val="00F857EE"/>
    <w:rsid w:val="00FA6CD7"/>
    <w:rsid w:val="00FC48C0"/>
    <w:rsid w:val="00FC5407"/>
    <w:rsid w:val="00FF4A43"/>
    <w:rsid w:val="025A07C2"/>
    <w:rsid w:val="050F6A1B"/>
    <w:rsid w:val="05AF3B52"/>
    <w:rsid w:val="07FF0326"/>
    <w:rsid w:val="08A13C26"/>
    <w:rsid w:val="0CEC2F96"/>
    <w:rsid w:val="0FA22BCF"/>
    <w:rsid w:val="101C3B92"/>
    <w:rsid w:val="12B4677B"/>
    <w:rsid w:val="138F09C8"/>
    <w:rsid w:val="153E45AB"/>
    <w:rsid w:val="16704C38"/>
    <w:rsid w:val="179606CE"/>
    <w:rsid w:val="18746A55"/>
    <w:rsid w:val="1B6B1E72"/>
    <w:rsid w:val="1BA13E74"/>
    <w:rsid w:val="1D664A12"/>
    <w:rsid w:val="1EC024D4"/>
    <w:rsid w:val="1FB550D8"/>
    <w:rsid w:val="20170100"/>
    <w:rsid w:val="20C938C2"/>
    <w:rsid w:val="214E3DC8"/>
    <w:rsid w:val="27F33C7F"/>
    <w:rsid w:val="280B61C0"/>
    <w:rsid w:val="28AC1C11"/>
    <w:rsid w:val="2B1971F4"/>
    <w:rsid w:val="2B632B65"/>
    <w:rsid w:val="2B955C1A"/>
    <w:rsid w:val="2BAA42F0"/>
    <w:rsid w:val="2BC03B14"/>
    <w:rsid w:val="2C416A03"/>
    <w:rsid w:val="2CDE6947"/>
    <w:rsid w:val="2CF33450"/>
    <w:rsid w:val="2EA25753"/>
    <w:rsid w:val="2EB01C1E"/>
    <w:rsid w:val="314D5E4A"/>
    <w:rsid w:val="32130E41"/>
    <w:rsid w:val="325A3599"/>
    <w:rsid w:val="33A0668A"/>
    <w:rsid w:val="33B43F5E"/>
    <w:rsid w:val="33FD7774"/>
    <w:rsid w:val="342310E4"/>
    <w:rsid w:val="36590DED"/>
    <w:rsid w:val="36B3674F"/>
    <w:rsid w:val="390F1A9A"/>
    <w:rsid w:val="3A7C154E"/>
    <w:rsid w:val="3CFC5061"/>
    <w:rsid w:val="3D804EB1"/>
    <w:rsid w:val="3ED71449"/>
    <w:rsid w:val="3F9B2F92"/>
    <w:rsid w:val="40661CBD"/>
    <w:rsid w:val="43374264"/>
    <w:rsid w:val="43CA597D"/>
    <w:rsid w:val="44C61D43"/>
    <w:rsid w:val="495A0CAC"/>
    <w:rsid w:val="4A4554B8"/>
    <w:rsid w:val="4A4F4589"/>
    <w:rsid w:val="4AFA44F5"/>
    <w:rsid w:val="4B2072B5"/>
    <w:rsid w:val="4BD755DD"/>
    <w:rsid w:val="4BF93791"/>
    <w:rsid w:val="4C8D6FAC"/>
    <w:rsid w:val="4E536867"/>
    <w:rsid w:val="4E8972EB"/>
    <w:rsid w:val="4F2C30EB"/>
    <w:rsid w:val="507A1C34"/>
    <w:rsid w:val="51143E36"/>
    <w:rsid w:val="52140128"/>
    <w:rsid w:val="52816F9E"/>
    <w:rsid w:val="53EB7352"/>
    <w:rsid w:val="548051B1"/>
    <w:rsid w:val="54CA6D0F"/>
    <w:rsid w:val="55A439DB"/>
    <w:rsid w:val="577B4C0F"/>
    <w:rsid w:val="58382B00"/>
    <w:rsid w:val="589870FB"/>
    <w:rsid w:val="58CF5213"/>
    <w:rsid w:val="5979517E"/>
    <w:rsid w:val="59AF294E"/>
    <w:rsid w:val="5A9B2ED2"/>
    <w:rsid w:val="5C473E4D"/>
    <w:rsid w:val="5CFF553C"/>
    <w:rsid w:val="5D0C49FD"/>
    <w:rsid w:val="5DDB1F64"/>
    <w:rsid w:val="5F264979"/>
    <w:rsid w:val="600D03CE"/>
    <w:rsid w:val="63844E4C"/>
    <w:rsid w:val="64D70FAB"/>
    <w:rsid w:val="67A00C46"/>
    <w:rsid w:val="686979DD"/>
    <w:rsid w:val="6AE54422"/>
    <w:rsid w:val="6C7A503E"/>
    <w:rsid w:val="6DF9645B"/>
    <w:rsid w:val="6E3659C8"/>
    <w:rsid w:val="6E5378F4"/>
    <w:rsid w:val="7189187F"/>
    <w:rsid w:val="71C31235"/>
    <w:rsid w:val="72DD3F72"/>
    <w:rsid w:val="72FD42D3"/>
    <w:rsid w:val="73467A28"/>
    <w:rsid w:val="742547BE"/>
    <w:rsid w:val="74785E04"/>
    <w:rsid w:val="751029E3"/>
    <w:rsid w:val="76503B02"/>
    <w:rsid w:val="765E373E"/>
    <w:rsid w:val="76685F07"/>
    <w:rsid w:val="76AB71A8"/>
    <w:rsid w:val="78034139"/>
    <w:rsid w:val="7E843A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9"/>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9"/>
    <w:semiHidden/>
    <w:unhideWhenUsed/>
    <w:qFormat/>
    <w:uiPriority w:val="99"/>
  </w:style>
  <w:style w:type="paragraph" w:styleId="12">
    <w:name w:val="footer"/>
    <w:basedOn w:val="1"/>
    <w:link w:val="46"/>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5"/>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6">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bCs/>
    </w:rPr>
  </w:style>
  <w:style w:type="character" w:styleId="20">
    <w:name w:val="Emphasis"/>
    <w:basedOn w:val="18"/>
    <w:qFormat/>
    <w:uiPriority w:val="20"/>
    <w:rPr>
      <w:i/>
      <w:iCs/>
    </w:rPr>
  </w:style>
  <w:style w:type="character" w:styleId="21">
    <w:name w:val="Hyperlink"/>
    <w:basedOn w:val="18"/>
    <w:unhideWhenUsed/>
    <w:qFormat/>
    <w:uiPriority w:val="99"/>
    <w:rPr>
      <w:color w:val="467886" w:themeColor="hyperlink"/>
      <w:u w:val="single"/>
      <w14:textFill>
        <w14:solidFill>
          <w14:schemeClr w14:val="hlink"/>
        </w14:solidFill>
      </w14:textFill>
    </w:rPr>
  </w:style>
  <w:style w:type="character" w:styleId="22">
    <w:name w:val="annotation reference"/>
    <w:basedOn w:val="18"/>
    <w:qFormat/>
    <w:uiPriority w:val="99"/>
    <w:rPr>
      <w:sz w:val="16"/>
      <w:szCs w:val="16"/>
    </w:rPr>
  </w:style>
  <w:style w:type="table" w:customStyle="1" w:styleId="23">
    <w:name w:val="三线表格"/>
    <w:basedOn w:val="17"/>
    <w:qFormat/>
    <w:uiPriority w:val="99"/>
    <w:pPr>
      <w:spacing w:after="0" w:line="240" w:lineRule="auto"/>
    </w:pPr>
    <w:tblPr>
      <w:tblBorders>
        <w:top w:val="single" w:color="auto" w:sz="12" w:space="0"/>
        <w:bottom w:val="single" w:color="auto" w:sz="12" w:space="0"/>
      </w:tblBorders>
    </w:tblPr>
    <w:tblStylePr w:type="firstRow">
      <w:tcPr>
        <w:tcBorders>
          <w:bottom w:val="single" w:color="auto" w:sz="4" w:space="0"/>
        </w:tcBorders>
      </w:tcPr>
    </w:tblStylePr>
  </w:style>
  <w:style w:type="character" w:customStyle="1" w:styleId="24">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18"/>
    <w:link w:val="5"/>
    <w:semiHidden/>
    <w:qFormat/>
    <w:uiPriority w:val="9"/>
    <w:rPr>
      <w:rFonts w:cstheme="majorBidi"/>
      <w:color w:val="104862" w:themeColor="accent1" w:themeShade="BF"/>
      <w:sz w:val="28"/>
      <w:szCs w:val="28"/>
    </w:rPr>
  </w:style>
  <w:style w:type="character" w:customStyle="1" w:styleId="28">
    <w:name w:val="标题 5 字符"/>
    <w:basedOn w:val="18"/>
    <w:link w:val="6"/>
    <w:semiHidden/>
    <w:qFormat/>
    <w:uiPriority w:val="9"/>
    <w:rPr>
      <w:rFonts w:cstheme="majorBidi"/>
      <w:color w:val="104862" w:themeColor="accent1" w:themeShade="BF"/>
      <w:sz w:val="24"/>
    </w:rPr>
  </w:style>
  <w:style w:type="character" w:customStyle="1" w:styleId="29">
    <w:name w:val="标题 6 字符"/>
    <w:basedOn w:val="18"/>
    <w:link w:val="7"/>
    <w:semiHidden/>
    <w:qFormat/>
    <w:uiPriority w:val="9"/>
    <w:rPr>
      <w:rFonts w:cstheme="majorBidi"/>
      <w:b/>
      <w:bCs/>
      <w:color w:val="104862" w:themeColor="accent1" w:themeShade="BF"/>
    </w:rPr>
  </w:style>
  <w:style w:type="character" w:customStyle="1" w:styleId="30">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18"/>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18"/>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18"/>
    <w:link w:val="39"/>
    <w:qFormat/>
    <w:uiPriority w:val="30"/>
    <w:rPr>
      <w:i/>
      <w:iCs/>
      <w:color w:val="104862" w:themeColor="accent1" w:themeShade="BF"/>
    </w:rPr>
  </w:style>
  <w:style w:type="character" w:customStyle="1" w:styleId="41">
    <w:name w:val="Intense Reference"/>
    <w:basedOn w:val="18"/>
    <w:qFormat/>
    <w:uiPriority w:val="32"/>
    <w:rPr>
      <w:b/>
      <w:bCs/>
      <w:smallCaps/>
      <w:color w:val="104862" w:themeColor="accent1" w:themeShade="BF"/>
      <w:spacing w:val="5"/>
    </w:rPr>
  </w:style>
  <w:style w:type="character" w:customStyle="1" w:styleId="42">
    <w:name w:val="mord"/>
    <w:basedOn w:val="18"/>
    <w:qFormat/>
    <w:uiPriority w:val="0"/>
  </w:style>
  <w:style w:type="character" w:customStyle="1" w:styleId="43">
    <w:name w:val="vlist-s"/>
    <w:basedOn w:val="18"/>
    <w:qFormat/>
    <w:uiPriority w:val="0"/>
  </w:style>
  <w:style w:type="character" w:styleId="44">
    <w:name w:val="Placeholder Text"/>
    <w:basedOn w:val="18"/>
    <w:semiHidden/>
    <w:qFormat/>
    <w:uiPriority w:val="99"/>
    <w:rPr>
      <w:color w:val="666666"/>
    </w:rPr>
  </w:style>
  <w:style w:type="character" w:customStyle="1" w:styleId="45">
    <w:name w:val="页眉 字符"/>
    <w:basedOn w:val="18"/>
    <w:link w:val="13"/>
    <w:qFormat/>
    <w:uiPriority w:val="99"/>
    <w:rPr>
      <w:sz w:val="18"/>
      <w:szCs w:val="18"/>
    </w:rPr>
  </w:style>
  <w:style w:type="character" w:customStyle="1" w:styleId="46">
    <w:name w:val="页脚 字符"/>
    <w:basedOn w:val="18"/>
    <w:link w:val="12"/>
    <w:qFormat/>
    <w:uiPriority w:val="99"/>
    <w:rPr>
      <w:sz w:val="18"/>
      <w:szCs w:val="18"/>
    </w:rPr>
  </w:style>
  <w:style w:type="table" w:customStyle="1" w:styleId="47">
    <w:name w:val="Grid Table Light"/>
    <w:basedOn w:val="17"/>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8">
    <w:name w:val="Plain Table 1"/>
    <w:basedOn w:val="17"/>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49">
    <w:name w:val="批注文字 字符"/>
    <w:basedOn w:val="18"/>
    <w:link w:val="11"/>
    <w:semiHidden/>
    <w:qFormat/>
    <w:uiPriority w:val="99"/>
  </w:style>
  <w:style w:type="paragraph" w:customStyle="1" w:styleId="50">
    <w:name w:val="Revision"/>
    <w:hidden/>
    <w:semiHidden/>
    <w:qFormat/>
    <w:uiPriority w:val="99"/>
    <w:pPr>
      <w:spacing w:after="0" w:line="240"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51">
    <w:name w:val="break-words"/>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52">
    <w:name w:val="Unresolved Mention"/>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B829C-11F0-4131-B1F3-E72B8FDF5B3B}">
  <ds:schemaRefs/>
</ds:datastoreItem>
</file>

<file path=docProps/app.xml><?xml version="1.0" encoding="utf-8"?>
<Properties xmlns="http://schemas.openxmlformats.org/officeDocument/2006/extended-properties" xmlns:vt="http://schemas.openxmlformats.org/officeDocument/2006/docPropsVTypes">
  <Template>Normal</Template>
  <Pages>3</Pages>
  <Words>3339</Words>
  <Characters>20924</Characters>
  <Lines>352</Lines>
  <Paragraphs>99</Paragraphs>
  <TotalTime>17</TotalTime>
  <ScaleCrop>false</ScaleCrop>
  <LinksUpToDate>false</LinksUpToDate>
  <CharactersWithSpaces>24142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2026-02-18T00:42:00Z</dcterms:created>
  <dc:creator>Leila Young</dc:creator>
  <cp:lastModifiedBy>奔跑的蜗牛</cp:lastModifiedBy>
  <dcterms:modified xsi:type="dcterms:W3CDTF">2026-07-16T08:20:58Z</dcterms:modified>
  <dc:title>Nursing Staffing Levels and Long-Stay Resident Hospitalization Rates: A Fixed-Effects Panel Analysis</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2026-02-11T11:29:55Z</vt:filetime>
  </property>
  <property fmtid="{D5CDD505-2E9C-101B-9397-08002B2CF9AE}" pid="3" name="KSOTemplateDocerSaveRecord">
    <vt:lpwstr>eyJoZGlkIjoiZTU5MWZmZTkzMjk3ODk5YWU5MzkxNzlhMTc5MDIwZTIiLCJ1c2VySWQiOiIyNDU5Mzk2ODQifQ==</vt:lpwstr>
  </property>
  <property fmtid="{D5CDD505-2E9C-101B-9397-08002B2CF9AE}" pid="4" name="KSOProductBuildVer">
    <vt:lpwstr>2052-12.1.0.26895</vt:lpwstr>
  </property>
  <property fmtid="{D5CDD505-2E9C-101B-9397-08002B2CF9AE}" pid="5" name="ICV">
    <vt:lpwstr>F377C3DFD123434AB2D21341B88469CD_13</vt:lpwstr>
  </property>
</Properties>
</file>