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51C6" w14:textId="7CF8399B" w:rsidR="00637683" w:rsidRPr="00637683" w:rsidRDefault="00171476" w:rsidP="00171476">
      <w:pPr>
        <w:jc w:val="center"/>
      </w:pPr>
      <w:r w:rsidRPr="00637683">
        <w:rPr>
          <w:b/>
          <w:bCs/>
        </w:rPr>
        <w:t>SPL</w:t>
      </w:r>
      <w:r>
        <w:rPr>
          <w:b/>
          <w:bCs/>
        </w:rPr>
        <w:t>I</w:t>
      </w:r>
      <w:r w:rsidRPr="00637683">
        <w:rPr>
          <w:b/>
          <w:bCs/>
        </w:rPr>
        <w:t>T-SAMPLE CROSS-VAL</w:t>
      </w:r>
      <w:r>
        <w:rPr>
          <w:b/>
          <w:bCs/>
        </w:rPr>
        <w:t>I</w:t>
      </w:r>
      <w:r w:rsidRPr="00637683">
        <w:rPr>
          <w:b/>
          <w:bCs/>
        </w:rPr>
        <w:t>DAT</w:t>
      </w:r>
      <w:r>
        <w:rPr>
          <w:b/>
          <w:bCs/>
        </w:rPr>
        <w:t>I</w:t>
      </w:r>
      <w:r w:rsidRPr="00637683">
        <w:rPr>
          <w:b/>
          <w:bCs/>
        </w:rPr>
        <w:t>ON ANALYS</w:t>
      </w:r>
      <w:r>
        <w:rPr>
          <w:b/>
          <w:bCs/>
        </w:rPr>
        <w:t>I</w:t>
      </w:r>
      <w:r w:rsidRPr="00637683">
        <w:rPr>
          <w:b/>
          <w:bCs/>
        </w:rPr>
        <w:t>S</w:t>
      </w:r>
    </w:p>
    <w:p w14:paraId="4CF46913" w14:textId="77777777" w:rsidR="00115971" w:rsidRPr="00115971" w:rsidRDefault="00115971" w:rsidP="00115971">
      <w:pPr>
        <w:jc w:val="both"/>
        <w:rPr>
          <w:b/>
          <w:bCs/>
        </w:rPr>
      </w:pPr>
      <w:r w:rsidRPr="00115971">
        <w:rPr>
          <w:b/>
          <w:bCs/>
        </w:rPr>
        <w:t xml:space="preserve">Introduction </w:t>
      </w:r>
    </w:p>
    <w:p w14:paraId="11A12912" w14:textId="59668475" w:rsidR="00115971" w:rsidRPr="00115971" w:rsidRDefault="00115971" w:rsidP="00115971">
      <w:pPr>
        <w:jc w:val="both"/>
      </w:pPr>
      <w:r w:rsidRPr="00115971">
        <w:t>To ensure the structural robustness of the scale and mitigate potential sample-specific optimization (overfitting) inherent in single-sample analyses, a split-sample cross-validation approach was conducted. The total dataset (N = 336) was randomly divided into two independent sub-samples (n = 168 each) to independently perform Exploratory Factor Analysis (EFA) and Confirmatory Factor Analysis (CFA).</w:t>
      </w:r>
    </w:p>
    <w:p w14:paraId="6EB15EC9" w14:textId="50201CE0" w:rsidR="00115971" w:rsidRPr="00115971" w:rsidRDefault="00115971" w:rsidP="00115971">
      <w:pPr>
        <w:jc w:val="both"/>
      </w:pPr>
      <w:r w:rsidRPr="00115971">
        <w:t>The adequacy of this divided sample size is firmly supported by established psychometric guidelines, which recommend a minimum subject-to-item ratio ranging from 5:1 to 10:1 for factor analyses (Hair et al., 2019; Kyriazos, 2018). Given the 22-item structure of the revised scale, the minimum required sample size at a 5:1 ratio is 110 participants. Therefore, our sub-samples of 168 participants yield a ratio of approximately 7.6:1, safely exceeding the minimum thresholds to provide sufficient statistical power. Furthermore, maintaining an independent sample size of this magnitude for validation aligns with the methodological framework of the original English ACORN scale development, ensuring consistency in psychometric rigor</w:t>
      </w:r>
      <w:r w:rsidR="00497295">
        <w:t xml:space="preserve"> (Rojo et al., 2023).</w:t>
      </w:r>
    </w:p>
    <w:p w14:paraId="36438B04" w14:textId="77777777" w:rsidR="00637683" w:rsidRPr="00637683" w:rsidRDefault="00637683" w:rsidP="001522A5">
      <w:pPr>
        <w:jc w:val="both"/>
      </w:pPr>
      <w:r w:rsidRPr="00637683">
        <w:rPr>
          <w:b/>
          <w:bCs/>
        </w:rPr>
        <w:t>Part A: Exploratory Factor Analysis (Sub-sample 1, n = 168)</w:t>
      </w:r>
    </w:p>
    <w:p w14:paraId="5838F37D" w14:textId="77777777" w:rsidR="00637683" w:rsidRDefault="00637683" w:rsidP="001522A5">
      <w:pPr>
        <w:jc w:val="both"/>
      </w:pPr>
      <w:r w:rsidRPr="00637683">
        <w:t>An EFA was conducted on the first independent sub-sample. The 22-item structure yielded three factors explaining 74.04% of the total variance. The Kaiser-Meyer-Olkin measure verified sampling adequacy (KMO = .904), and Bartlett’s test of sphericity was significant (p &lt; .001).</w:t>
      </w:r>
    </w:p>
    <w:p w14:paraId="60793CC5" w14:textId="15A92658" w:rsidR="000333E2" w:rsidRDefault="00905DFA" w:rsidP="001522A5">
      <w:pPr>
        <w:jc w:val="both"/>
      </w:pPr>
      <w:r w:rsidRPr="00905DFA">
        <w:rPr>
          <w:b/>
          <w:bCs/>
        </w:rPr>
        <w:t>Table S1.</w:t>
      </w:r>
      <w:r w:rsidRPr="00905DFA">
        <w:t xml:space="preserve"> Factor Loadings, Eigenvalues, and Variance Explained of the ACORN Scale (Sub-sample 1, n = 168)</w:t>
      </w:r>
    </w:p>
    <w:tbl>
      <w:tblPr>
        <w:tblStyle w:val="DzTablo2"/>
        <w:tblW w:w="0" w:type="auto"/>
        <w:tblLook w:val="04A0" w:firstRow="1" w:lastRow="0" w:firstColumn="1" w:lastColumn="0" w:noHBand="0" w:noVBand="1"/>
      </w:tblPr>
      <w:tblGrid>
        <w:gridCol w:w="2626"/>
        <w:gridCol w:w="1494"/>
        <w:gridCol w:w="2409"/>
        <w:gridCol w:w="2759"/>
      </w:tblGrid>
      <w:tr w:rsidR="00B97BDF" w:rsidRPr="00905DFA" w14:paraId="687EBA37" w14:textId="77777777" w:rsidTr="00B97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57DA0734" w14:textId="66284700" w:rsidR="00B97BDF" w:rsidRPr="00905DFA" w:rsidRDefault="00B97BDF" w:rsidP="00B97BDF">
            <w:pPr>
              <w:rPr>
                <w:rFonts w:cs="Times New Roman"/>
                <w:sz w:val="20"/>
                <w:szCs w:val="20"/>
              </w:rPr>
            </w:pPr>
            <w:r w:rsidRPr="00905DFA">
              <w:rPr>
                <w:sz w:val="20"/>
                <w:szCs w:val="20"/>
              </w:rPr>
              <w:t>Items</w:t>
            </w:r>
          </w:p>
        </w:tc>
        <w:tc>
          <w:tcPr>
            <w:tcW w:w="1494" w:type="dxa"/>
            <w:hideMark/>
          </w:tcPr>
          <w:p w14:paraId="62534468" w14:textId="4574171C" w:rsidR="00B97BDF" w:rsidRPr="00905DFA" w:rsidRDefault="00B97BDF" w:rsidP="00B97BDF">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Factor 1 (Attitude)</w:t>
            </w:r>
          </w:p>
        </w:tc>
        <w:tc>
          <w:tcPr>
            <w:tcW w:w="2409" w:type="dxa"/>
            <w:hideMark/>
          </w:tcPr>
          <w:p w14:paraId="2F7446EA" w14:textId="5D67186D" w:rsidR="00B97BDF" w:rsidRPr="00905DFA" w:rsidRDefault="00B97BDF" w:rsidP="00B97BDF">
            <w:pPr>
              <w:cnfStyle w:val="100000000000" w:firstRow="1" w:lastRow="0" w:firstColumn="0" w:lastColumn="0" w:oddVBand="0" w:evenVBand="0" w:oddHBand="0" w:evenHBand="0" w:firstRowFirstColumn="0" w:firstRowLastColumn="0" w:lastRowFirstColumn="0" w:lastRowLastColumn="0"/>
              <w:rPr>
                <w:rFonts w:cs="Times New Roman"/>
                <w:sz w:val="20"/>
                <w:szCs w:val="20"/>
                <w:highlight w:val="yellow"/>
              </w:rPr>
            </w:pPr>
            <w:r w:rsidRPr="00905DFA">
              <w:rPr>
                <w:sz w:val="20"/>
                <w:szCs w:val="20"/>
              </w:rPr>
              <w:t>Factor 2 (Assessment Confidence)</w:t>
            </w:r>
          </w:p>
        </w:tc>
        <w:tc>
          <w:tcPr>
            <w:tcW w:w="2759" w:type="dxa"/>
            <w:hideMark/>
          </w:tcPr>
          <w:p w14:paraId="1AD13F86" w14:textId="256C9913" w:rsidR="00B97BDF" w:rsidRPr="00905DFA" w:rsidRDefault="00B97BDF" w:rsidP="00B97BDF">
            <w:pPr>
              <w:cnfStyle w:val="100000000000" w:firstRow="1" w:lastRow="0" w:firstColumn="0" w:lastColumn="0" w:oddVBand="0" w:evenVBand="0" w:oddHBand="0" w:evenHBand="0" w:firstRowFirstColumn="0" w:firstRowLastColumn="0" w:lastRowFirstColumn="0" w:lastRowLastColumn="0"/>
              <w:rPr>
                <w:rFonts w:cs="Times New Roman"/>
                <w:sz w:val="20"/>
                <w:szCs w:val="20"/>
                <w:highlight w:val="yellow"/>
              </w:rPr>
            </w:pPr>
            <w:r w:rsidRPr="00905DFA">
              <w:rPr>
                <w:sz w:val="20"/>
                <w:szCs w:val="20"/>
              </w:rPr>
              <w:t>Factor 3 (Implementation Confidence)</w:t>
            </w:r>
          </w:p>
        </w:tc>
      </w:tr>
      <w:tr w:rsidR="00B97BDF" w:rsidRPr="00905DFA" w14:paraId="75CF3119"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60BAB535" w14:textId="7943040C" w:rsidR="00B97BDF" w:rsidRPr="00905DFA" w:rsidRDefault="00B97BDF" w:rsidP="00B97BDF">
            <w:pPr>
              <w:rPr>
                <w:rFonts w:cs="Times New Roman"/>
                <w:sz w:val="20"/>
                <w:szCs w:val="20"/>
              </w:rPr>
            </w:pPr>
            <w:r w:rsidRPr="00905DFA">
              <w:rPr>
                <w:sz w:val="20"/>
                <w:szCs w:val="20"/>
              </w:rPr>
              <w:t>Attitude</w:t>
            </w:r>
          </w:p>
        </w:tc>
        <w:tc>
          <w:tcPr>
            <w:tcW w:w="1494" w:type="dxa"/>
            <w:hideMark/>
          </w:tcPr>
          <w:p w14:paraId="75C69B4D"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c>
          <w:tcPr>
            <w:tcW w:w="2409" w:type="dxa"/>
            <w:hideMark/>
          </w:tcPr>
          <w:p w14:paraId="5F40CC23"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c>
          <w:tcPr>
            <w:tcW w:w="2759" w:type="dxa"/>
            <w:hideMark/>
          </w:tcPr>
          <w:p w14:paraId="53E43B99"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r>
      <w:tr w:rsidR="00B97BDF" w:rsidRPr="00905DFA" w14:paraId="72862893"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289B8817" w14:textId="4CDB4BF4" w:rsidR="00B97BDF" w:rsidRPr="00905DFA" w:rsidRDefault="00B97BDF" w:rsidP="00B97BDF">
            <w:pPr>
              <w:rPr>
                <w:rFonts w:cs="Times New Roman"/>
                <w:sz w:val="20"/>
                <w:szCs w:val="20"/>
              </w:rPr>
            </w:pPr>
            <w:r w:rsidRPr="00905DFA">
              <w:rPr>
                <w:sz w:val="20"/>
                <w:szCs w:val="20"/>
              </w:rPr>
              <w:t>Q4</w:t>
            </w:r>
          </w:p>
        </w:tc>
        <w:tc>
          <w:tcPr>
            <w:tcW w:w="1494" w:type="dxa"/>
            <w:hideMark/>
          </w:tcPr>
          <w:p w14:paraId="71C0A581" w14:textId="066CB913"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0.867</w:t>
            </w:r>
          </w:p>
        </w:tc>
        <w:tc>
          <w:tcPr>
            <w:tcW w:w="2409" w:type="dxa"/>
            <w:hideMark/>
          </w:tcPr>
          <w:p w14:paraId="069A4D30"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688FDFB6"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15FE2802"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1FCF78FB" w14:textId="143C6645" w:rsidR="00B97BDF" w:rsidRPr="00905DFA" w:rsidRDefault="00B97BDF" w:rsidP="00B97BDF">
            <w:pPr>
              <w:rPr>
                <w:rFonts w:cs="Times New Roman"/>
                <w:sz w:val="20"/>
                <w:szCs w:val="20"/>
              </w:rPr>
            </w:pPr>
            <w:r w:rsidRPr="00905DFA">
              <w:rPr>
                <w:sz w:val="20"/>
                <w:szCs w:val="20"/>
              </w:rPr>
              <w:t>Q2</w:t>
            </w:r>
          </w:p>
        </w:tc>
        <w:tc>
          <w:tcPr>
            <w:tcW w:w="1494" w:type="dxa"/>
            <w:hideMark/>
          </w:tcPr>
          <w:p w14:paraId="7560E61C" w14:textId="723503FC"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0.846</w:t>
            </w:r>
          </w:p>
        </w:tc>
        <w:tc>
          <w:tcPr>
            <w:tcW w:w="2409" w:type="dxa"/>
            <w:hideMark/>
          </w:tcPr>
          <w:p w14:paraId="2168B177"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486CEE48"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21B62996"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5251A520" w14:textId="10601524" w:rsidR="00B97BDF" w:rsidRPr="00905DFA" w:rsidRDefault="00B97BDF" w:rsidP="00B97BDF">
            <w:pPr>
              <w:rPr>
                <w:rFonts w:cs="Times New Roman"/>
                <w:sz w:val="20"/>
                <w:szCs w:val="20"/>
              </w:rPr>
            </w:pPr>
            <w:r w:rsidRPr="00905DFA">
              <w:rPr>
                <w:sz w:val="20"/>
                <w:szCs w:val="20"/>
              </w:rPr>
              <w:t>Q1</w:t>
            </w:r>
          </w:p>
        </w:tc>
        <w:tc>
          <w:tcPr>
            <w:tcW w:w="1494" w:type="dxa"/>
            <w:hideMark/>
          </w:tcPr>
          <w:p w14:paraId="213892A5" w14:textId="154A98DE"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0.846</w:t>
            </w:r>
          </w:p>
        </w:tc>
        <w:tc>
          <w:tcPr>
            <w:tcW w:w="2409" w:type="dxa"/>
            <w:hideMark/>
          </w:tcPr>
          <w:p w14:paraId="125E8B80"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501A72E2"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6F730593"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64661F08" w14:textId="7E331ABE" w:rsidR="00B97BDF" w:rsidRPr="00905DFA" w:rsidRDefault="00B97BDF" w:rsidP="00B97BDF">
            <w:pPr>
              <w:rPr>
                <w:rFonts w:cs="Times New Roman"/>
                <w:sz w:val="20"/>
                <w:szCs w:val="20"/>
              </w:rPr>
            </w:pPr>
            <w:r w:rsidRPr="00905DFA">
              <w:rPr>
                <w:sz w:val="20"/>
                <w:szCs w:val="20"/>
              </w:rPr>
              <w:t>Q7</w:t>
            </w:r>
          </w:p>
        </w:tc>
        <w:tc>
          <w:tcPr>
            <w:tcW w:w="1494" w:type="dxa"/>
            <w:hideMark/>
          </w:tcPr>
          <w:p w14:paraId="3CC150F2" w14:textId="58599736"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0.834</w:t>
            </w:r>
          </w:p>
        </w:tc>
        <w:tc>
          <w:tcPr>
            <w:tcW w:w="2409" w:type="dxa"/>
            <w:hideMark/>
          </w:tcPr>
          <w:p w14:paraId="5F4B21FD"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6063CB16"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2268C097"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2AA9B889" w14:textId="3B663E40" w:rsidR="00B97BDF" w:rsidRPr="00905DFA" w:rsidRDefault="00B97BDF" w:rsidP="00B97BDF">
            <w:pPr>
              <w:rPr>
                <w:rFonts w:cs="Times New Roman"/>
                <w:sz w:val="20"/>
                <w:szCs w:val="20"/>
              </w:rPr>
            </w:pPr>
            <w:r w:rsidRPr="00905DFA">
              <w:rPr>
                <w:sz w:val="20"/>
                <w:szCs w:val="20"/>
              </w:rPr>
              <w:t>Q3</w:t>
            </w:r>
          </w:p>
        </w:tc>
        <w:tc>
          <w:tcPr>
            <w:tcW w:w="1494" w:type="dxa"/>
            <w:hideMark/>
          </w:tcPr>
          <w:p w14:paraId="4C193B68" w14:textId="28B3A509"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0.814</w:t>
            </w:r>
          </w:p>
        </w:tc>
        <w:tc>
          <w:tcPr>
            <w:tcW w:w="2409" w:type="dxa"/>
            <w:hideMark/>
          </w:tcPr>
          <w:p w14:paraId="7F08E43D"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1328E1BD"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0EDB6D97"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27B12BC9" w14:textId="39FCCB1D" w:rsidR="00B97BDF" w:rsidRPr="00905DFA" w:rsidRDefault="00B97BDF" w:rsidP="00B97BDF">
            <w:pPr>
              <w:rPr>
                <w:rFonts w:cs="Times New Roman"/>
                <w:sz w:val="20"/>
                <w:szCs w:val="20"/>
              </w:rPr>
            </w:pPr>
            <w:r w:rsidRPr="00905DFA">
              <w:rPr>
                <w:sz w:val="20"/>
                <w:szCs w:val="20"/>
              </w:rPr>
              <w:t>Q8</w:t>
            </w:r>
          </w:p>
        </w:tc>
        <w:tc>
          <w:tcPr>
            <w:tcW w:w="1494" w:type="dxa"/>
            <w:hideMark/>
          </w:tcPr>
          <w:p w14:paraId="52E98A12" w14:textId="1C1821F0"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0.793</w:t>
            </w:r>
          </w:p>
        </w:tc>
        <w:tc>
          <w:tcPr>
            <w:tcW w:w="2409" w:type="dxa"/>
            <w:hideMark/>
          </w:tcPr>
          <w:p w14:paraId="6462BC63"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3AE218BA"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17CBBAFC"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1308016A" w14:textId="352801DE" w:rsidR="00B97BDF" w:rsidRPr="00905DFA" w:rsidRDefault="00B97BDF" w:rsidP="00B97BDF">
            <w:pPr>
              <w:rPr>
                <w:rFonts w:cs="Times New Roman"/>
                <w:sz w:val="20"/>
                <w:szCs w:val="20"/>
              </w:rPr>
            </w:pPr>
            <w:r w:rsidRPr="00905DFA">
              <w:rPr>
                <w:sz w:val="20"/>
                <w:szCs w:val="20"/>
              </w:rPr>
              <w:t>Q5</w:t>
            </w:r>
          </w:p>
        </w:tc>
        <w:tc>
          <w:tcPr>
            <w:tcW w:w="1494" w:type="dxa"/>
            <w:hideMark/>
          </w:tcPr>
          <w:p w14:paraId="352B04E4" w14:textId="56F32229"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0.792</w:t>
            </w:r>
          </w:p>
        </w:tc>
        <w:tc>
          <w:tcPr>
            <w:tcW w:w="2409" w:type="dxa"/>
            <w:hideMark/>
          </w:tcPr>
          <w:p w14:paraId="4E67804F"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73B23C99"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3A9669BE"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7DD123B2" w14:textId="65F99382" w:rsidR="00B97BDF" w:rsidRPr="00905DFA" w:rsidRDefault="00B97BDF" w:rsidP="00B97BDF">
            <w:pPr>
              <w:rPr>
                <w:rFonts w:cs="Times New Roman"/>
                <w:sz w:val="20"/>
                <w:szCs w:val="20"/>
              </w:rPr>
            </w:pPr>
            <w:r w:rsidRPr="00905DFA">
              <w:rPr>
                <w:sz w:val="20"/>
                <w:szCs w:val="20"/>
              </w:rPr>
              <w:t>Q6</w:t>
            </w:r>
          </w:p>
        </w:tc>
        <w:tc>
          <w:tcPr>
            <w:tcW w:w="1494" w:type="dxa"/>
            <w:hideMark/>
          </w:tcPr>
          <w:p w14:paraId="5B534ECF" w14:textId="4759CB20"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0.761</w:t>
            </w:r>
          </w:p>
        </w:tc>
        <w:tc>
          <w:tcPr>
            <w:tcW w:w="2409" w:type="dxa"/>
            <w:hideMark/>
          </w:tcPr>
          <w:p w14:paraId="260351D0"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686660A4"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2C1ABF71"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376362A9" w14:textId="53C12246" w:rsidR="00B97BDF" w:rsidRPr="00905DFA" w:rsidRDefault="00B97BDF" w:rsidP="00B97BDF">
            <w:pPr>
              <w:rPr>
                <w:rFonts w:cs="Times New Roman"/>
                <w:sz w:val="20"/>
                <w:szCs w:val="20"/>
              </w:rPr>
            </w:pPr>
            <w:r w:rsidRPr="00905DFA">
              <w:rPr>
                <w:sz w:val="20"/>
                <w:szCs w:val="20"/>
              </w:rPr>
              <w:t>Assessment Confidence</w:t>
            </w:r>
          </w:p>
        </w:tc>
        <w:tc>
          <w:tcPr>
            <w:tcW w:w="1494" w:type="dxa"/>
            <w:hideMark/>
          </w:tcPr>
          <w:p w14:paraId="7ACCAF8E"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hideMark/>
          </w:tcPr>
          <w:p w14:paraId="1977C357"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228D91B0"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5C488981"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192F15DD" w14:textId="20DD4E5E" w:rsidR="00B97BDF" w:rsidRPr="00905DFA" w:rsidRDefault="00B97BDF" w:rsidP="00B97BDF">
            <w:pPr>
              <w:rPr>
                <w:rFonts w:cs="Times New Roman"/>
                <w:sz w:val="20"/>
                <w:szCs w:val="20"/>
              </w:rPr>
            </w:pPr>
            <w:r w:rsidRPr="00905DFA">
              <w:rPr>
                <w:sz w:val="20"/>
                <w:szCs w:val="20"/>
              </w:rPr>
              <w:t>Q24</w:t>
            </w:r>
          </w:p>
        </w:tc>
        <w:tc>
          <w:tcPr>
            <w:tcW w:w="1494" w:type="dxa"/>
            <w:hideMark/>
          </w:tcPr>
          <w:p w14:paraId="3E668186"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hideMark/>
          </w:tcPr>
          <w:p w14:paraId="7D83BB08" w14:textId="55077581"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0.891</w:t>
            </w:r>
          </w:p>
        </w:tc>
        <w:tc>
          <w:tcPr>
            <w:tcW w:w="2759" w:type="dxa"/>
          </w:tcPr>
          <w:p w14:paraId="41AB1B71"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7061D50B"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65CFF054" w14:textId="4E35A38D" w:rsidR="00B97BDF" w:rsidRPr="00905DFA" w:rsidRDefault="00B97BDF" w:rsidP="00B97BDF">
            <w:pPr>
              <w:rPr>
                <w:rFonts w:cs="Times New Roman"/>
                <w:sz w:val="20"/>
                <w:szCs w:val="20"/>
              </w:rPr>
            </w:pPr>
            <w:r w:rsidRPr="00905DFA">
              <w:rPr>
                <w:sz w:val="20"/>
                <w:szCs w:val="20"/>
              </w:rPr>
              <w:t>Q16</w:t>
            </w:r>
          </w:p>
        </w:tc>
        <w:tc>
          <w:tcPr>
            <w:tcW w:w="1494" w:type="dxa"/>
            <w:hideMark/>
          </w:tcPr>
          <w:p w14:paraId="7543B7E1"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hideMark/>
          </w:tcPr>
          <w:p w14:paraId="41F22C1F" w14:textId="1FEC83AF"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0.868</w:t>
            </w:r>
          </w:p>
        </w:tc>
        <w:tc>
          <w:tcPr>
            <w:tcW w:w="2759" w:type="dxa"/>
          </w:tcPr>
          <w:p w14:paraId="029384FF"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4641BA2F"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7436FFDB" w14:textId="2E7C4256" w:rsidR="00B97BDF" w:rsidRPr="00905DFA" w:rsidRDefault="00B97BDF" w:rsidP="00B97BDF">
            <w:pPr>
              <w:rPr>
                <w:rFonts w:cs="Times New Roman"/>
                <w:sz w:val="20"/>
                <w:szCs w:val="20"/>
              </w:rPr>
            </w:pPr>
            <w:r w:rsidRPr="00905DFA">
              <w:rPr>
                <w:sz w:val="20"/>
                <w:szCs w:val="20"/>
              </w:rPr>
              <w:t>Q22</w:t>
            </w:r>
          </w:p>
        </w:tc>
        <w:tc>
          <w:tcPr>
            <w:tcW w:w="1494" w:type="dxa"/>
            <w:hideMark/>
          </w:tcPr>
          <w:p w14:paraId="7D0264DF"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hideMark/>
          </w:tcPr>
          <w:p w14:paraId="5FE4CA01" w14:textId="403FEC9C"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0.868</w:t>
            </w:r>
          </w:p>
        </w:tc>
        <w:tc>
          <w:tcPr>
            <w:tcW w:w="2759" w:type="dxa"/>
          </w:tcPr>
          <w:p w14:paraId="6726601A"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6D1BDAFF"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629076C3" w14:textId="10D8BFAD" w:rsidR="00B97BDF" w:rsidRPr="00905DFA" w:rsidRDefault="00B97BDF" w:rsidP="00B97BDF">
            <w:pPr>
              <w:rPr>
                <w:rFonts w:cs="Times New Roman"/>
                <w:sz w:val="20"/>
                <w:szCs w:val="20"/>
              </w:rPr>
            </w:pPr>
            <w:r w:rsidRPr="00905DFA">
              <w:rPr>
                <w:sz w:val="20"/>
                <w:szCs w:val="20"/>
              </w:rPr>
              <w:t>Q23</w:t>
            </w:r>
          </w:p>
        </w:tc>
        <w:tc>
          <w:tcPr>
            <w:tcW w:w="1494" w:type="dxa"/>
            <w:hideMark/>
          </w:tcPr>
          <w:p w14:paraId="5B2900F0"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hideMark/>
          </w:tcPr>
          <w:p w14:paraId="4F15D8D2" w14:textId="7645BF79"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0.867</w:t>
            </w:r>
          </w:p>
        </w:tc>
        <w:tc>
          <w:tcPr>
            <w:tcW w:w="2759" w:type="dxa"/>
          </w:tcPr>
          <w:p w14:paraId="142BBDC5"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331F7BBA"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60AD5DD3" w14:textId="6FD28C09" w:rsidR="00B97BDF" w:rsidRPr="00905DFA" w:rsidRDefault="00B97BDF" w:rsidP="00B97BDF">
            <w:pPr>
              <w:rPr>
                <w:rFonts w:cs="Times New Roman"/>
                <w:sz w:val="20"/>
                <w:szCs w:val="20"/>
              </w:rPr>
            </w:pPr>
            <w:r w:rsidRPr="00905DFA">
              <w:rPr>
                <w:sz w:val="20"/>
                <w:szCs w:val="20"/>
              </w:rPr>
              <w:t>Q21</w:t>
            </w:r>
          </w:p>
        </w:tc>
        <w:tc>
          <w:tcPr>
            <w:tcW w:w="1494" w:type="dxa"/>
            <w:hideMark/>
          </w:tcPr>
          <w:p w14:paraId="75F544C9"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hideMark/>
          </w:tcPr>
          <w:p w14:paraId="5D5CCAC1" w14:textId="41348058"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0.855</w:t>
            </w:r>
          </w:p>
        </w:tc>
        <w:tc>
          <w:tcPr>
            <w:tcW w:w="2759" w:type="dxa"/>
          </w:tcPr>
          <w:p w14:paraId="4BDB3224"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397A4415"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59DA5095" w14:textId="44C3E67A" w:rsidR="00B97BDF" w:rsidRPr="00905DFA" w:rsidRDefault="00B97BDF" w:rsidP="00B97BDF">
            <w:pPr>
              <w:rPr>
                <w:rFonts w:cs="Times New Roman"/>
                <w:sz w:val="20"/>
                <w:szCs w:val="20"/>
              </w:rPr>
            </w:pPr>
            <w:r w:rsidRPr="00905DFA">
              <w:rPr>
                <w:sz w:val="20"/>
                <w:szCs w:val="20"/>
              </w:rPr>
              <w:t>Q19</w:t>
            </w:r>
          </w:p>
        </w:tc>
        <w:tc>
          <w:tcPr>
            <w:tcW w:w="1494" w:type="dxa"/>
            <w:hideMark/>
          </w:tcPr>
          <w:p w14:paraId="27523EF2"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hideMark/>
          </w:tcPr>
          <w:p w14:paraId="19458316" w14:textId="4BE0F404"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0.846</w:t>
            </w:r>
          </w:p>
        </w:tc>
        <w:tc>
          <w:tcPr>
            <w:tcW w:w="2759" w:type="dxa"/>
          </w:tcPr>
          <w:p w14:paraId="1AC2AD2C"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5D026881"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22929DF7" w14:textId="22BC1F51" w:rsidR="00B97BDF" w:rsidRPr="00905DFA" w:rsidRDefault="00B97BDF" w:rsidP="00B97BDF">
            <w:pPr>
              <w:rPr>
                <w:rFonts w:cs="Times New Roman"/>
                <w:sz w:val="20"/>
                <w:szCs w:val="20"/>
              </w:rPr>
            </w:pPr>
            <w:r w:rsidRPr="00905DFA">
              <w:rPr>
                <w:sz w:val="20"/>
                <w:szCs w:val="20"/>
              </w:rPr>
              <w:t>Q17</w:t>
            </w:r>
          </w:p>
        </w:tc>
        <w:tc>
          <w:tcPr>
            <w:tcW w:w="1494" w:type="dxa"/>
            <w:hideMark/>
          </w:tcPr>
          <w:p w14:paraId="6DC2D961"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hideMark/>
          </w:tcPr>
          <w:p w14:paraId="671A5778" w14:textId="6D98F8B0"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0.844</w:t>
            </w:r>
          </w:p>
        </w:tc>
        <w:tc>
          <w:tcPr>
            <w:tcW w:w="2759" w:type="dxa"/>
          </w:tcPr>
          <w:p w14:paraId="789A92E6"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027828E1"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40700CE2" w14:textId="556E07D7" w:rsidR="00B97BDF" w:rsidRPr="00905DFA" w:rsidRDefault="00B97BDF" w:rsidP="00B97BDF">
            <w:pPr>
              <w:rPr>
                <w:rFonts w:cs="Times New Roman"/>
                <w:sz w:val="20"/>
                <w:szCs w:val="20"/>
              </w:rPr>
            </w:pPr>
            <w:r w:rsidRPr="00905DFA">
              <w:rPr>
                <w:sz w:val="20"/>
                <w:szCs w:val="20"/>
              </w:rPr>
              <w:t>Q20</w:t>
            </w:r>
          </w:p>
        </w:tc>
        <w:tc>
          <w:tcPr>
            <w:tcW w:w="1494" w:type="dxa"/>
            <w:hideMark/>
          </w:tcPr>
          <w:p w14:paraId="25AB02C9"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hideMark/>
          </w:tcPr>
          <w:p w14:paraId="2C9693D7" w14:textId="34C40925"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0.837</w:t>
            </w:r>
          </w:p>
        </w:tc>
        <w:tc>
          <w:tcPr>
            <w:tcW w:w="2759" w:type="dxa"/>
          </w:tcPr>
          <w:p w14:paraId="27B26923"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089613BA"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56C4E5F3" w14:textId="09887286" w:rsidR="00B97BDF" w:rsidRPr="00905DFA" w:rsidRDefault="00B97BDF" w:rsidP="00B97BDF">
            <w:pPr>
              <w:rPr>
                <w:rFonts w:cs="Times New Roman"/>
                <w:sz w:val="20"/>
                <w:szCs w:val="20"/>
              </w:rPr>
            </w:pPr>
            <w:r w:rsidRPr="00905DFA">
              <w:rPr>
                <w:sz w:val="20"/>
                <w:szCs w:val="20"/>
              </w:rPr>
              <w:t>Q18</w:t>
            </w:r>
          </w:p>
        </w:tc>
        <w:tc>
          <w:tcPr>
            <w:tcW w:w="1494" w:type="dxa"/>
            <w:hideMark/>
          </w:tcPr>
          <w:p w14:paraId="5AB68D8B"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hideMark/>
          </w:tcPr>
          <w:p w14:paraId="2860FE6A" w14:textId="1AF9AE91"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0.796</w:t>
            </w:r>
          </w:p>
        </w:tc>
        <w:tc>
          <w:tcPr>
            <w:tcW w:w="2759" w:type="dxa"/>
          </w:tcPr>
          <w:p w14:paraId="2C0CF815"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52DBF9ED"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007F6EBC" w14:textId="6A3FA8A1" w:rsidR="00B97BDF" w:rsidRPr="00905DFA" w:rsidRDefault="00B97BDF" w:rsidP="00B97BDF">
            <w:pPr>
              <w:rPr>
                <w:rFonts w:cs="Times New Roman"/>
                <w:sz w:val="20"/>
                <w:szCs w:val="20"/>
              </w:rPr>
            </w:pPr>
            <w:r w:rsidRPr="00905DFA">
              <w:rPr>
                <w:sz w:val="20"/>
                <w:szCs w:val="20"/>
              </w:rPr>
              <w:t>Q15</w:t>
            </w:r>
          </w:p>
        </w:tc>
        <w:tc>
          <w:tcPr>
            <w:tcW w:w="1494" w:type="dxa"/>
            <w:hideMark/>
          </w:tcPr>
          <w:p w14:paraId="33C7E38F"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hideMark/>
          </w:tcPr>
          <w:p w14:paraId="1671C6CF" w14:textId="39CF095C"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0.789</w:t>
            </w:r>
          </w:p>
        </w:tc>
        <w:tc>
          <w:tcPr>
            <w:tcW w:w="2759" w:type="dxa"/>
          </w:tcPr>
          <w:p w14:paraId="25E4BAB8"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97BDF" w:rsidRPr="00905DFA" w14:paraId="7849D08E"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5C0FC975" w14:textId="58800E2C" w:rsidR="00B97BDF" w:rsidRPr="00905DFA" w:rsidRDefault="00B97BDF" w:rsidP="00B97BDF">
            <w:pPr>
              <w:rPr>
                <w:rFonts w:cs="Times New Roman"/>
                <w:sz w:val="20"/>
                <w:szCs w:val="20"/>
              </w:rPr>
            </w:pPr>
            <w:r w:rsidRPr="00905DFA">
              <w:rPr>
                <w:sz w:val="20"/>
                <w:szCs w:val="20"/>
              </w:rPr>
              <w:t>Implementation Confidence</w:t>
            </w:r>
          </w:p>
        </w:tc>
        <w:tc>
          <w:tcPr>
            <w:tcW w:w="1494" w:type="dxa"/>
            <w:hideMark/>
          </w:tcPr>
          <w:p w14:paraId="64B07341"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hideMark/>
          </w:tcPr>
          <w:p w14:paraId="60427813"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71056D95"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97BDF" w:rsidRPr="00905DFA" w14:paraId="5965E431"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42D2D949" w14:textId="4CEEFACE" w:rsidR="00B97BDF" w:rsidRPr="00905DFA" w:rsidRDefault="00B97BDF" w:rsidP="00B97BDF">
            <w:pPr>
              <w:rPr>
                <w:rFonts w:cs="Times New Roman"/>
                <w:sz w:val="20"/>
                <w:szCs w:val="20"/>
              </w:rPr>
            </w:pPr>
            <w:r w:rsidRPr="00905DFA">
              <w:rPr>
                <w:sz w:val="20"/>
                <w:szCs w:val="20"/>
              </w:rPr>
              <w:t>Q10</w:t>
            </w:r>
          </w:p>
        </w:tc>
        <w:tc>
          <w:tcPr>
            <w:tcW w:w="1494" w:type="dxa"/>
            <w:hideMark/>
          </w:tcPr>
          <w:p w14:paraId="2DE6AF8B"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tcPr>
          <w:p w14:paraId="05E9422A"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609BF07D" w14:textId="56C2FB88"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0.849</w:t>
            </w:r>
          </w:p>
        </w:tc>
      </w:tr>
      <w:tr w:rsidR="00B97BDF" w:rsidRPr="00905DFA" w14:paraId="7BEB618F"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34F02483" w14:textId="3DD7B2F8" w:rsidR="00B97BDF" w:rsidRPr="00905DFA" w:rsidRDefault="00B97BDF" w:rsidP="00B97BDF">
            <w:pPr>
              <w:rPr>
                <w:rFonts w:cs="Times New Roman"/>
                <w:sz w:val="20"/>
                <w:szCs w:val="20"/>
              </w:rPr>
            </w:pPr>
            <w:r w:rsidRPr="00905DFA">
              <w:rPr>
                <w:sz w:val="20"/>
                <w:szCs w:val="20"/>
              </w:rPr>
              <w:t>Q9</w:t>
            </w:r>
          </w:p>
        </w:tc>
        <w:tc>
          <w:tcPr>
            <w:tcW w:w="1494" w:type="dxa"/>
            <w:hideMark/>
          </w:tcPr>
          <w:p w14:paraId="7BB580F7"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tcPr>
          <w:p w14:paraId="7D217997"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08428B6C" w14:textId="05C02269"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0.835</w:t>
            </w:r>
          </w:p>
        </w:tc>
      </w:tr>
      <w:tr w:rsidR="00B97BDF" w:rsidRPr="00905DFA" w14:paraId="00EE9831"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100A950D" w14:textId="68C2209A" w:rsidR="00B97BDF" w:rsidRPr="00905DFA" w:rsidRDefault="00B97BDF" w:rsidP="00B97BDF">
            <w:pPr>
              <w:rPr>
                <w:rFonts w:cs="Times New Roman"/>
                <w:sz w:val="20"/>
                <w:szCs w:val="20"/>
              </w:rPr>
            </w:pPr>
            <w:r w:rsidRPr="00905DFA">
              <w:rPr>
                <w:sz w:val="20"/>
                <w:szCs w:val="20"/>
              </w:rPr>
              <w:lastRenderedPageBreak/>
              <w:t>Q12</w:t>
            </w:r>
          </w:p>
        </w:tc>
        <w:tc>
          <w:tcPr>
            <w:tcW w:w="1494" w:type="dxa"/>
            <w:hideMark/>
          </w:tcPr>
          <w:p w14:paraId="0104CEFF"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tcPr>
          <w:p w14:paraId="3085B3C0"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hideMark/>
          </w:tcPr>
          <w:p w14:paraId="144D9F8D" w14:textId="432E331E"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0.757</w:t>
            </w:r>
          </w:p>
        </w:tc>
      </w:tr>
      <w:tr w:rsidR="00B97BDF" w:rsidRPr="00905DFA" w14:paraId="76210AD4"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5C512EDB" w14:textId="69793E17" w:rsidR="00B97BDF" w:rsidRPr="00905DFA" w:rsidRDefault="00B97BDF" w:rsidP="00B97BDF">
            <w:pPr>
              <w:rPr>
                <w:rFonts w:cs="Times New Roman"/>
                <w:sz w:val="20"/>
                <w:szCs w:val="20"/>
              </w:rPr>
            </w:pPr>
            <w:r w:rsidRPr="00905DFA">
              <w:rPr>
                <w:sz w:val="20"/>
                <w:szCs w:val="20"/>
              </w:rPr>
              <w:t>Q11</w:t>
            </w:r>
          </w:p>
        </w:tc>
        <w:tc>
          <w:tcPr>
            <w:tcW w:w="1494" w:type="dxa"/>
            <w:hideMark/>
          </w:tcPr>
          <w:p w14:paraId="317F7FB5"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409" w:type="dxa"/>
          </w:tcPr>
          <w:p w14:paraId="03531EEB" w14:textId="77777777"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759" w:type="dxa"/>
            <w:hideMark/>
          </w:tcPr>
          <w:p w14:paraId="26D5E0E2" w14:textId="75641E9A"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0.536</w:t>
            </w:r>
          </w:p>
        </w:tc>
      </w:tr>
      <w:tr w:rsidR="00B97BDF" w:rsidRPr="00905DFA" w14:paraId="683BAF11" w14:textId="77777777" w:rsidTr="00B97BDF">
        <w:tc>
          <w:tcPr>
            <w:cnfStyle w:val="001000000000" w:firstRow="0" w:lastRow="0" w:firstColumn="1" w:lastColumn="0" w:oddVBand="0" w:evenVBand="0" w:oddHBand="0" w:evenHBand="0" w:firstRowFirstColumn="0" w:firstRowLastColumn="0" w:lastRowFirstColumn="0" w:lastRowLastColumn="0"/>
            <w:tcW w:w="2626" w:type="dxa"/>
            <w:hideMark/>
          </w:tcPr>
          <w:p w14:paraId="6CA957DB" w14:textId="48B0E385" w:rsidR="00B97BDF" w:rsidRPr="00905DFA" w:rsidRDefault="00B97BDF" w:rsidP="00B97BDF">
            <w:pPr>
              <w:rPr>
                <w:rFonts w:cs="Times New Roman"/>
                <w:sz w:val="20"/>
                <w:szCs w:val="20"/>
              </w:rPr>
            </w:pPr>
            <w:r w:rsidRPr="00905DFA">
              <w:rPr>
                <w:sz w:val="20"/>
                <w:szCs w:val="20"/>
              </w:rPr>
              <w:t>Eigenvalues</w:t>
            </w:r>
          </w:p>
        </w:tc>
        <w:tc>
          <w:tcPr>
            <w:tcW w:w="1494" w:type="dxa"/>
            <w:hideMark/>
          </w:tcPr>
          <w:p w14:paraId="379C5BAE" w14:textId="59D46255"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8.89</w:t>
            </w:r>
          </w:p>
        </w:tc>
        <w:tc>
          <w:tcPr>
            <w:tcW w:w="2409" w:type="dxa"/>
          </w:tcPr>
          <w:p w14:paraId="0475E414" w14:textId="43CD4613"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5.84</w:t>
            </w:r>
          </w:p>
        </w:tc>
        <w:tc>
          <w:tcPr>
            <w:tcW w:w="2759" w:type="dxa"/>
            <w:hideMark/>
          </w:tcPr>
          <w:p w14:paraId="39BB79C8" w14:textId="4493882E"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1.56</w:t>
            </w:r>
          </w:p>
        </w:tc>
      </w:tr>
      <w:tr w:rsidR="00B97BDF" w:rsidRPr="00905DFA" w14:paraId="684DB614" w14:textId="77777777" w:rsidTr="00B97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6" w:type="dxa"/>
            <w:hideMark/>
          </w:tcPr>
          <w:p w14:paraId="54B80EF8" w14:textId="1D82E115" w:rsidR="00B97BDF" w:rsidRPr="00905DFA" w:rsidRDefault="00B97BDF" w:rsidP="00B97BDF">
            <w:pPr>
              <w:rPr>
                <w:rFonts w:cs="Times New Roman"/>
                <w:sz w:val="20"/>
                <w:szCs w:val="20"/>
              </w:rPr>
            </w:pPr>
            <w:r w:rsidRPr="00905DFA">
              <w:rPr>
                <w:sz w:val="20"/>
                <w:szCs w:val="20"/>
              </w:rPr>
              <w:t>Variance Explained (%)</w:t>
            </w:r>
          </w:p>
        </w:tc>
        <w:tc>
          <w:tcPr>
            <w:tcW w:w="1494" w:type="dxa"/>
            <w:hideMark/>
          </w:tcPr>
          <w:p w14:paraId="34231A3C" w14:textId="7824363B"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40.40%</w:t>
            </w:r>
          </w:p>
        </w:tc>
        <w:tc>
          <w:tcPr>
            <w:tcW w:w="2409" w:type="dxa"/>
            <w:hideMark/>
          </w:tcPr>
          <w:p w14:paraId="41B236FB" w14:textId="0A957C9A"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26.54%</w:t>
            </w:r>
          </w:p>
        </w:tc>
        <w:tc>
          <w:tcPr>
            <w:tcW w:w="2759" w:type="dxa"/>
            <w:hideMark/>
          </w:tcPr>
          <w:p w14:paraId="6CF40416" w14:textId="78BB6EF1" w:rsidR="00B97BDF" w:rsidRPr="00905DFA" w:rsidRDefault="00B97BDF" w:rsidP="00B97BD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05DFA">
              <w:rPr>
                <w:sz w:val="20"/>
                <w:szCs w:val="20"/>
              </w:rPr>
              <w:t>7.09%</w:t>
            </w:r>
          </w:p>
        </w:tc>
      </w:tr>
      <w:tr w:rsidR="00B97BDF" w:rsidRPr="00905DFA" w14:paraId="2C8A52ED" w14:textId="77777777" w:rsidTr="00B97BDF">
        <w:trPr>
          <w:trHeight w:val="216"/>
        </w:trPr>
        <w:tc>
          <w:tcPr>
            <w:cnfStyle w:val="001000000000" w:firstRow="0" w:lastRow="0" w:firstColumn="1" w:lastColumn="0" w:oddVBand="0" w:evenVBand="0" w:oddHBand="0" w:evenHBand="0" w:firstRowFirstColumn="0" w:firstRowLastColumn="0" w:lastRowFirstColumn="0" w:lastRowLastColumn="0"/>
            <w:tcW w:w="2626" w:type="dxa"/>
          </w:tcPr>
          <w:p w14:paraId="084F014C" w14:textId="052733FF" w:rsidR="00B97BDF" w:rsidRPr="00905DFA" w:rsidRDefault="00B97BDF" w:rsidP="00B97BDF">
            <w:pPr>
              <w:rPr>
                <w:rFonts w:cs="Times New Roman"/>
                <w:sz w:val="20"/>
                <w:szCs w:val="20"/>
              </w:rPr>
            </w:pPr>
            <w:r w:rsidRPr="00905DFA">
              <w:rPr>
                <w:sz w:val="20"/>
                <w:szCs w:val="20"/>
              </w:rPr>
              <w:t>Cumulative Variance Explained (%)</w:t>
            </w:r>
          </w:p>
        </w:tc>
        <w:tc>
          <w:tcPr>
            <w:tcW w:w="1494" w:type="dxa"/>
          </w:tcPr>
          <w:p w14:paraId="59F186E4"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409" w:type="dxa"/>
          </w:tcPr>
          <w:p w14:paraId="21D0C135" w14:textId="7777777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759" w:type="dxa"/>
          </w:tcPr>
          <w:p w14:paraId="6090C2B4" w14:textId="165544B7" w:rsidR="00B97BDF" w:rsidRPr="00905DFA" w:rsidRDefault="00B97BDF" w:rsidP="00B97BD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05DFA">
              <w:rPr>
                <w:sz w:val="20"/>
                <w:szCs w:val="20"/>
              </w:rPr>
              <w:t>74.04%</w:t>
            </w:r>
          </w:p>
        </w:tc>
      </w:tr>
    </w:tbl>
    <w:p w14:paraId="2F5CC500" w14:textId="29F30112" w:rsidR="00685402" w:rsidRPr="00685402" w:rsidRDefault="00685402" w:rsidP="00685402">
      <w:pPr>
        <w:rPr>
          <w:i/>
          <w:iCs/>
        </w:rPr>
      </w:pPr>
      <w:r w:rsidRPr="00685402">
        <w:rPr>
          <w:i/>
          <w:iCs/>
        </w:rPr>
        <w:t>(Attitude): CR = 0.902, AVE = 0.536; (Implementation): CR = 0.887, AVE = 0.666; (Assessment): CR = 0.943, AVE = 0.625</w:t>
      </w:r>
    </w:p>
    <w:p w14:paraId="7F218F25" w14:textId="77777777" w:rsidR="006B5C54" w:rsidRDefault="006B5C54" w:rsidP="00637683">
      <w:pPr>
        <w:rPr>
          <w:b/>
          <w:bCs/>
        </w:rPr>
      </w:pPr>
    </w:p>
    <w:p w14:paraId="46C7C703" w14:textId="00F2D6A8" w:rsidR="00637683" w:rsidRPr="00551F87" w:rsidRDefault="00637683" w:rsidP="00637683">
      <w:pPr>
        <w:rPr>
          <w:rFonts w:cs="Times New Roman"/>
        </w:rPr>
      </w:pPr>
      <w:r w:rsidRPr="00551F87">
        <w:rPr>
          <w:rFonts w:cs="Times New Roman"/>
          <w:b/>
          <w:bCs/>
        </w:rPr>
        <w:t>Part B: Confirmatory Factor Analysis (Sub-sample 2, n = 168)</w:t>
      </w:r>
    </w:p>
    <w:p w14:paraId="792A924E" w14:textId="77777777" w:rsidR="00637683" w:rsidRPr="00551F87" w:rsidRDefault="00637683" w:rsidP="00637683">
      <w:pPr>
        <w:rPr>
          <w:rFonts w:cs="Times New Roman"/>
        </w:rPr>
      </w:pPr>
      <w:r w:rsidRPr="00551F87">
        <w:rPr>
          <w:rFonts w:cs="Times New Roman"/>
        </w:rPr>
        <w:t>A CFA was performed on the second independent holdout sample to cross-validate the factor structure. The 22-item, three-factor model demonstrated acceptable fit indices, considering the reduced statistical power inherent in utilizing a halved sample for a complex structural model.</w:t>
      </w:r>
    </w:p>
    <w:p w14:paraId="713BC0D4" w14:textId="317045E4" w:rsidR="00637683" w:rsidRPr="00B10D2F" w:rsidRDefault="00637683" w:rsidP="00C142D6">
      <w:pPr>
        <w:rPr>
          <w:rFonts w:ascii="Cambria Math" w:hAnsi="Cambria Math" w:cs="Times New Roman"/>
          <w:i/>
        </w:rPr>
      </w:pPr>
      <w:r w:rsidRPr="00551F87">
        <w:rPr>
          <w:rFonts w:cs="Times New Roman"/>
          <w:b/>
          <w:bCs/>
        </w:rPr>
        <w:t>Fit Indices:</w:t>
      </w:r>
      <w:r w:rsidRPr="00551F87">
        <w:rPr>
          <w:rFonts w:cs="Times New Roman"/>
        </w:rPr>
        <w:t xml:space="preserve">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00B10D2F" w:rsidRPr="00B10D2F">
        <w:rPr>
          <w:rFonts w:ascii="Cambria Math" w:hAnsi="Cambria Math" w:cs="Times New Roman"/>
          <w:i/>
        </w:rPr>
        <w:t xml:space="preserve"> = 490.5, </w:t>
      </w:r>
      <m:oMath>
        <m:r>
          <w:rPr>
            <w:rFonts w:ascii="Cambria Math" w:hAnsi="Cambria Math" w:cs="Times New Roman"/>
          </w:rPr>
          <m:t>df</m:t>
        </m:r>
      </m:oMath>
      <w:r w:rsidR="00B10D2F" w:rsidRPr="00B10D2F">
        <w:rPr>
          <w:rFonts w:ascii="Cambria Math" w:hAnsi="Cambria Math" w:cs="Times New Roman"/>
          <w:i/>
        </w:rPr>
        <w:t xml:space="preserve"> = 200,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/df</m:t>
        </m:r>
      </m:oMath>
      <w:r w:rsidR="00B10D2F" w:rsidRPr="00B10D2F">
        <w:rPr>
          <w:rFonts w:ascii="Cambria Math" w:hAnsi="Cambria Math" w:cs="Times New Roman"/>
          <w:i/>
        </w:rPr>
        <w:t xml:space="preserve"> = 2.45, </w:t>
      </w:r>
      <m:oMath>
        <m:r>
          <w:rPr>
            <w:rFonts w:ascii="Cambria Math" w:hAnsi="Cambria Math" w:cs="Times New Roman"/>
          </w:rPr>
          <m:t>p</m:t>
        </m:r>
      </m:oMath>
      <w:r w:rsidR="00B10D2F" w:rsidRPr="00B10D2F">
        <w:rPr>
          <w:rFonts w:ascii="Cambria Math" w:hAnsi="Cambria Math" w:cs="Times New Roman"/>
          <w:i/>
        </w:rPr>
        <w:t xml:space="preserve"> &lt;.001, CFI = 0.893, TLI = 0.877, GFI = 0.791, RMSEA = 0.093.</w:t>
      </w:r>
    </w:p>
    <w:p w14:paraId="28F5C9E1" w14:textId="55F62CA8" w:rsidR="00A80C9C" w:rsidRPr="00714A73" w:rsidRDefault="00A80C9C" w:rsidP="00A80C9C">
      <w:pPr>
        <w:rPr>
          <w:rFonts w:cs="Times New Roman"/>
          <w:szCs w:val="18"/>
        </w:rPr>
      </w:pPr>
      <w:r w:rsidRPr="00714A73">
        <w:rPr>
          <w:rFonts w:cs="Times New Roman"/>
          <w:b/>
          <w:bCs/>
          <w:szCs w:val="18"/>
        </w:rPr>
        <w:t xml:space="preserve">Figure </w:t>
      </w:r>
      <w:r w:rsidR="00573820">
        <w:rPr>
          <w:rFonts w:cs="Times New Roman"/>
          <w:b/>
          <w:bCs/>
          <w:szCs w:val="18"/>
        </w:rPr>
        <w:t>S</w:t>
      </w:r>
      <w:r w:rsidRPr="00714A73">
        <w:rPr>
          <w:rFonts w:cs="Times New Roman"/>
          <w:b/>
          <w:bCs/>
          <w:szCs w:val="18"/>
        </w:rPr>
        <w:t xml:space="preserve">1. </w:t>
      </w:r>
      <w:r w:rsidRPr="00714A73">
        <w:rPr>
          <w:rFonts w:cs="Times New Roman"/>
          <w:szCs w:val="18"/>
        </w:rPr>
        <w:t>Confirmatory Factor Analysis (CFA) for the Three-Factor Structural Model of the Turkish ACORN Scale (n = 168).</w:t>
      </w:r>
    </w:p>
    <w:p w14:paraId="79B17C2D" w14:textId="77777777" w:rsidR="00A80C9C" w:rsidRPr="00551F87" w:rsidRDefault="00A80C9C" w:rsidP="00A80C9C">
      <w:pPr>
        <w:spacing w:after="100" w:afterAutospacing="1" w:line="240" w:lineRule="auto"/>
        <w:rPr>
          <w:rFonts w:eastAsia="Times New Roman" w:cs="Times New Roman"/>
          <w:color w:val="auto"/>
          <w:kern w:val="0"/>
          <w:szCs w:val="24"/>
          <w:lang w:eastAsia="tr-TR"/>
          <w14:ligatures w14:val="none"/>
        </w:rPr>
      </w:pPr>
    </w:p>
    <w:p w14:paraId="58E54D1F" w14:textId="2AA053B7" w:rsidR="00005B13" w:rsidRDefault="008B1BF3">
      <w:r>
        <w:rPr>
          <w:noProof/>
        </w:rPr>
        <w:drawing>
          <wp:anchor distT="0" distB="0" distL="114300" distR="114300" simplePos="0" relativeHeight="251658240" behindDoc="1" locked="0" layoutInCell="1" allowOverlap="1" wp14:anchorId="63B84D19" wp14:editId="449D8C3E">
            <wp:simplePos x="0" y="0"/>
            <wp:positionH relativeFrom="column">
              <wp:posOffset>-635</wp:posOffset>
            </wp:positionH>
            <wp:positionV relativeFrom="paragraph">
              <wp:posOffset>-635</wp:posOffset>
            </wp:positionV>
            <wp:extent cx="4526280" cy="5866130"/>
            <wp:effectExtent l="0" t="0" r="0" b="0"/>
            <wp:wrapTight wrapText="bothSides">
              <wp:wrapPolygon edited="0">
                <wp:start x="0" y="0"/>
                <wp:lineTo x="0" y="21535"/>
                <wp:lineTo x="21545" y="21535"/>
                <wp:lineTo x="21545" y="0"/>
                <wp:lineTo x="0" y="0"/>
              </wp:wrapPolygon>
            </wp:wrapTight>
            <wp:docPr id="213408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856" name=""/>
                    <pic:cNvPicPr/>
                  </pic:nvPicPr>
                  <pic:blipFill rotWithShape="1">
                    <a:blip r:embed="rId5">
                      <a:extLst>
                        <a:ext uri="{28A0092B-C50C-407E-A947-70E740481C1C}">
                          <a14:useLocalDpi xmlns:a14="http://schemas.microsoft.com/office/drawing/2010/main" val="0"/>
                        </a:ext>
                      </a:extLst>
                    </a:blip>
                    <a:srcRect l="38870" t="6620" r="25557" b="11415"/>
                    <a:stretch>
                      <a:fillRect/>
                    </a:stretch>
                  </pic:blipFill>
                  <pic:spPr bwMode="auto">
                    <a:xfrm>
                      <a:off x="0" y="0"/>
                      <a:ext cx="4526280" cy="5866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005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86EFB"/>
    <w:multiLevelType w:val="multilevel"/>
    <w:tmpl w:val="B5E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100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B16BA"/>
    <w:rsid w:val="00005B13"/>
    <w:rsid w:val="000333E2"/>
    <w:rsid w:val="000D7C5F"/>
    <w:rsid w:val="00115971"/>
    <w:rsid w:val="001522A5"/>
    <w:rsid w:val="00163F07"/>
    <w:rsid w:val="00171476"/>
    <w:rsid w:val="00445031"/>
    <w:rsid w:val="00497295"/>
    <w:rsid w:val="00544E0E"/>
    <w:rsid w:val="00551F87"/>
    <w:rsid w:val="00573820"/>
    <w:rsid w:val="00637683"/>
    <w:rsid w:val="00647359"/>
    <w:rsid w:val="0068259F"/>
    <w:rsid w:val="00685402"/>
    <w:rsid w:val="006B5C54"/>
    <w:rsid w:val="00714A73"/>
    <w:rsid w:val="008B1BF3"/>
    <w:rsid w:val="00905DFA"/>
    <w:rsid w:val="009766C9"/>
    <w:rsid w:val="009B5211"/>
    <w:rsid w:val="00A80C9C"/>
    <w:rsid w:val="00AF6B71"/>
    <w:rsid w:val="00B10D2F"/>
    <w:rsid w:val="00B32057"/>
    <w:rsid w:val="00B97BDF"/>
    <w:rsid w:val="00C142D6"/>
    <w:rsid w:val="00CB16BA"/>
    <w:rsid w:val="00D10339"/>
    <w:rsid w:val="00E227E3"/>
    <w:rsid w:val="00F308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9F7B"/>
  <w15:chartTrackingRefBased/>
  <w15:docId w15:val="{19273B32-CFFF-4EF3-B4EF-C346A977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333333"/>
        <w:kern w:val="2"/>
        <w:sz w:val="24"/>
        <w:szCs w:val="17"/>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B1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B1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B16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B16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CB16BA"/>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CB16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CB16BA"/>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CB16BA"/>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CB16BA"/>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B16B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B16B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B16BA"/>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B16BA"/>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CB16BA"/>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CB16BA"/>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CB16BA"/>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CB16BA"/>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CB16BA"/>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CB16B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KonuBalChar">
    <w:name w:val="Konu Başlığı Char"/>
    <w:basedOn w:val="VarsaylanParagrafYazTipi"/>
    <w:link w:val="KonuBal"/>
    <w:uiPriority w:val="10"/>
    <w:rsid w:val="00CB16BA"/>
    <w:rPr>
      <w:rFonts w:asciiTheme="majorHAnsi" w:eastAsiaTheme="majorEastAsia" w:hAnsiTheme="majorHAnsi" w:cstheme="majorBidi"/>
      <w:color w:val="auto"/>
      <w:spacing w:val="-10"/>
      <w:kern w:val="28"/>
      <w:sz w:val="56"/>
      <w:szCs w:val="56"/>
    </w:rPr>
  </w:style>
  <w:style w:type="paragraph" w:styleId="Altyaz">
    <w:name w:val="Subtitle"/>
    <w:basedOn w:val="Normal"/>
    <w:next w:val="Normal"/>
    <w:link w:val="AltyazChar"/>
    <w:uiPriority w:val="11"/>
    <w:qFormat/>
    <w:rsid w:val="00CB16B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B16BA"/>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CB16B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B16BA"/>
    <w:rPr>
      <w:i/>
      <w:iCs/>
      <w:color w:val="404040" w:themeColor="text1" w:themeTint="BF"/>
    </w:rPr>
  </w:style>
  <w:style w:type="paragraph" w:styleId="ListeParagraf">
    <w:name w:val="List Paragraph"/>
    <w:basedOn w:val="Normal"/>
    <w:uiPriority w:val="34"/>
    <w:qFormat/>
    <w:rsid w:val="00CB16BA"/>
    <w:pPr>
      <w:ind w:left="720"/>
      <w:contextualSpacing/>
    </w:pPr>
  </w:style>
  <w:style w:type="character" w:styleId="GlVurgulama">
    <w:name w:val="Intense Emphasis"/>
    <w:basedOn w:val="VarsaylanParagrafYazTipi"/>
    <w:uiPriority w:val="21"/>
    <w:qFormat/>
    <w:rsid w:val="00CB16BA"/>
    <w:rPr>
      <w:i/>
      <w:iCs/>
      <w:color w:val="0F4761" w:themeColor="accent1" w:themeShade="BF"/>
    </w:rPr>
  </w:style>
  <w:style w:type="paragraph" w:styleId="GlAlnt">
    <w:name w:val="Intense Quote"/>
    <w:basedOn w:val="Normal"/>
    <w:next w:val="Normal"/>
    <w:link w:val="GlAlntChar"/>
    <w:uiPriority w:val="30"/>
    <w:qFormat/>
    <w:rsid w:val="00CB1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B16BA"/>
    <w:rPr>
      <w:i/>
      <w:iCs/>
      <w:color w:val="0F4761" w:themeColor="accent1" w:themeShade="BF"/>
    </w:rPr>
  </w:style>
  <w:style w:type="character" w:styleId="GlBavuru">
    <w:name w:val="Intense Reference"/>
    <w:basedOn w:val="VarsaylanParagrafYazTipi"/>
    <w:uiPriority w:val="32"/>
    <w:qFormat/>
    <w:rsid w:val="00CB16BA"/>
    <w:rPr>
      <w:b/>
      <w:bCs/>
      <w:smallCaps/>
      <w:color w:val="0F4761" w:themeColor="accent1" w:themeShade="BF"/>
      <w:spacing w:val="5"/>
    </w:rPr>
  </w:style>
  <w:style w:type="paragraph" w:styleId="NormalWeb">
    <w:name w:val="Normal (Web)"/>
    <w:basedOn w:val="Normal"/>
    <w:uiPriority w:val="99"/>
    <w:semiHidden/>
    <w:unhideWhenUsed/>
    <w:rsid w:val="00F308AC"/>
    <w:pPr>
      <w:spacing w:before="100" w:beforeAutospacing="1" w:after="100" w:afterAutospacing="1" w:line="240" w:lineRule="auto"/>
    </w:pPr>
    <w:rPr>
      <w:rFonts w:eastAsia="Times New Roman" w:cs="Times New Roman"/>
      <w:color w:val="auto"/>
      <w:kern w:val="0"/>
      <w:szCs w:val="24"/>
      <w:lang w:eastAsia="tr-TR"/>
    </w:rPr>
  </w:style>
  <w:style w:type="character" w:styleId="Gl">
    <w:name w:val="Strong"/>
    <w:basedOn w:val="VarsaylanParagrafYazTipi"/>
    <w:uiPriority w:val="22"/>
    <w:qFormat/>
    <w:rsid w:val="00F308AC"/>
    <w:rPr>
      <w:b/>
      <w:bCs/>
    </w:rPr>
  </w:style>
  <w:style w:type="table" w:styleId="DzTablo2">
    <w:name w:val="Plain Table 2"/>
    <w:basedOn w:val="NormalTablo"/>
    <w:uiPriority w:val="42"/>
    <w:rsid w:val="004450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 Okten</dc:creator>
  <cp:keywords/>
  <dc:description/>
  <cp:lastModifiedBy>Sena Okten</cp:lastModifiedBy>
  <cp:revision>27</cp:revision>
  <dcterms:created xsi:type="dcterms:W3CDTF">2026-07-23T08:27:00Z</dcterms:created>
  <dcterms:modified xsi:type="dcterms:W3CDTF">2026-08-14T11:29:00Z</dcterms:modified>
</cp:coreProperties>
</file>