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STROBE Statement — Checklist of Items That Should Be Included in Reports of Cross-Sectional Studies</w:t>
      </w:r>
    </w:p>
    <w:p>
      <w:pPr>
        <w:spacing w:after="1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Article: "Latent profile analysis of sleep quality among newly employed nurses: a cross-sectional study"</w:t>
      </w:r>
    </w:p>
    <w:p>
      <w:pPr>
        <w:spacing w:after="300"/>
        <w:jc w:val="center"/>
      </w:pPr>
      <w:r>
        <w:rPr>
          <w:rFonts w:ascii="Arial" w:cs="Arial" w:eastAsia="Arial" w:hAnsi="Arial"/>
          <w:sz w:val="20"/>
          <w:szCs w:val="20"/>
        </w:rPr>
        <w:t xml:space="preserve">Journal: BMC Nursing | DOI: 10.1186/s12912-026-05253-z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1800"/>
        <w:gridCol w:w="3800"/>
        <w:gridCol w:w="4400"/>
      </w:tblGrid>
      <w:tr>
        <w:trPr>
          <w:tblHeader/>
        </w:trPr>
        <w:tc>
          <w:tcPr>
            <w:tcW w:type="dxa" w:w="800"/>
            <w:shd w:fill="2E75B6" w:color="auto" w:val="clear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Item No.</w:t>
            </w:r>
          </w:p>
        </w:tc>
        <w:tc>
          <w:tcPr>
            <w:tcW w:type="dxa" w:w="1800"/>
            <w:shd w:fill="2E75B6" w:color="auto" w:val="clear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Topic</w:t>
            </w:r>
          </w:p>
        </w:tc>
        <w:tc>
          <w:tcPr>
            <w:tcW w:type="dxa" w:w="3800"/>
            <w:shd w:fill="2E75B6" w:color="auto" w:val="clear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STROBE Recommendation</w:t>
            </w:r>
          </w:p>
        </w:tc>
        <w:tc>
          <w:tcPr>
            <w:tcW w:type="dxa" w:w="4400"/>
            <w:shd w:fill="2E75B6" w:color="auto" w:val="clear"/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Reported on Page/Section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Title and abstract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(a) Indicate the study's design with a commonly used term in the title or the abstract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Title and Abstract — The title includes "cross-sectional study" and the abstract states "A cross-sectional study was conducted."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(b) Provide in the abstract an informative and balanced summary of what was done and what was found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Abstract — Includes background, methods (study design, sample, instruments, analysis), results (three latent profiles with proportions, OR values with 95% CIs), and conclusions.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Background/rationale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Explain the scientific background and rationale for the investigation being reported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Background section — Paragraphs 1–4 describe the prevalence of sleep problems among nurses, limitations of variable-centered methods, rationale for using LPA, and the theoretical framework.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Objectives</w:t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State specific objectives, including any prespecified hypotheses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Background section, final paragraph — "this study aimed to use LPA to identify latent profiles of sleep quality among Chinese newly employed nurses, examine characteristic differences among profiles, and explore factors associated with profile membership."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Study design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Present key elements of study design early in the paper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Study design — "This cross-sectional study was conducted from July to September 2024 at a tertiary general hospital in China."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Setting</w:t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the setting, locations, and relevant dates, including periods of recruitment, exposure, follow-up, and data collection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Study design and Data collection — Study conducted at a tertiary general hospital in China; data collected from July to September 2024 via Wenjuanxing online platform.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Cross-sectional study: Give the eligibility criteria, and the sources and methods of selection of participants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Participants and sample size — Inclusion criteria (4 items) and exclusion criteria (3 items) are specified; convenience sampling through online recruitment notices.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Variables</w:t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Clearly define all outcomes, exposures, predictors, potential confounders, and effect modifiers. Give diagnostic criteria, if applicable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Research instruments — PSQI (7 components, cutoff &gt;5), DASS-21 (depression, anxiety, stress subscales), demographic questionnaire (personality type, coping style, physical activity, etc.).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Data sources/measurement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Research instruments and Data collection — PSQI (Cronbach's α = 0.84), DASS-21 (α = 0.828–0.897); data collected via standardized online questionnaire with mandatory items.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Bias</w:t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Describe any efforts to address potential sources of bias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Data collection — Each device limited to one response; questionnaires completed in &lt;5 min or with identical responses excluded. Limitations section acknowledges recall bias, social desirability bias, and selection bias.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Study size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Explain how the study size was arrived at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Participants and sample size — LPA requires ≥50 cases per class, with 3–4 anticipated classes requiring 150–200 minimum; target set at 330; 420 distributed, 398 valid returned (94.8%).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Quantitative variables</w:t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Explain how quantitative variables were handled in the analyses. If applicable, describe which groupings were chosen and why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Statistical analysis — Normality assessed via skewness/kurtosis (Kline's criteria); PSQI 7 dimensions used for LPA; DASS-21 subscale raw scores; personality recoded as binary (neurotic vs. non-neurotic) in sensitivity analysis.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12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Statistical methods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(a) Describe all statistical methods, including those used to control for confounding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Statistical analysis — LPA (Mplus 8.3, 500 random starts), chi-square tests, ANOVA with LSD post-hoc, Kruskal-Wallis H test, multinomial logistic regression (healthy sleep group as reference). VIF assessed for multicollinearity.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(b) Describe any methods used to examine subgroups and interactions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Statistical analysis — Univariate analyses (chi-square, ANOVA) compared characteristics across three latent profiles; multinomial logistic regression examined factors associated with profile membership.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(c) Explain how missing data were addressed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Statistical analysis — "All questionnaire items were set as mandatory in the Wenjuanxing online survey platform; therefore, no item-level missing data were present in the final analytic sample (n = 398)."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(d) Cross-sectional study: If applicable, describe analytical methods taking account of sampling strategy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Statistical analysis — Convenience sampling acknowledged; no complex sampling adjustments applied.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(e) Describe any sensitivity analyses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Statistical analysis — Sensitivity analysis conducted by recoding personality into binary variable (neurotic vs. non-neurotic); results consistent with primary analysis. Details in Supplementary Material.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13</w:t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Cross-sectional study: Report numbers of individuals at each stage of study — e.g. numbers potentially eligible, examined for eligibility, confirmed eligible, included in the study, completing follow-up, and analysed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Participants and sample size — 420 distributed, 398 valid (94.8%); 22 excluded (20 incomplete, 2 due to short completion time/abnormal patterns). Results → Table 1.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14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Descriptive data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(a) Give characteristics of study participants (e.g. demographic, clinical, social) and information on exposures and potential confounders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 → General characteristics (Table 1) — Sex, age, family origin, only-child status, prior healthcare experience, nursing errors, physical activity, personality type, coping style.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(b) Indicate number of participants with missing data for each variable of interest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Statistical analysis — All items mandatory; no missing data in the analytic sample (n = 398).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15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Outcome data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Cross-sectional study: Report numbers of outcome events or summary measures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 → PSQI and DASS-21 scores (Table 2) — Mean PSQI total 12.62 ± 5.13; 84.2% scored &gt;5, 80.9% scored &gt;7. Mean scores by profile reported.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16</w:t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Main results</w:t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(a) Give unadjusted estimates and, if applicable, confounder-adjusted estimates and their precision (e.g. 95% confidence interval). Make clear which confounders were adjusted for and why they were included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 → Univariate analysis (Tables 4–5) for unadjusted comparisons; Multinomial logistic regression (Table 7) for adjusted ORs with 95% CIs. Variables with P &lt; 0.05 in univariate analysis included in multivariate model.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(b) Report category boundaries when continuous variables were categorized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Results/Methods — Age categorized as ≤22, 23–24, ≥25 years (Table 1). PSQI cutoffs &gt;5 and &gt;7 reported.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(c) If relevant, consider translating estimates of relative risk into absolute risk for a meaningful time period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applicable — cross-sectional study reporting ORs for profile membership.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17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analyses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Report other analyses done — e.g. analyses of subgroups and interactions, and sensitivity analyses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Methods → Statistical analysis — Sensitivity analysis with binary personality variable reported; all associations remained consistent. LPA model comparison for 1–5 class solutions (Table 3).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18</w:t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Key results</w:t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Summarise key results with reference to study objectives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Discussion, paragraph 1 — Three latent profiles identified; &gt;80% with sleep problems; physical activity, anxiety, personality, and coping style associated with profile membership.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19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Limitations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 limitations of the study, taking into account sources of potential bias or imprecision. Discuss both direction and magnitude of any potential bias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 → Limitations paragraph — Six limitations discussed: cross-sectional design, single-site convenience sampling, uneven cell sizes/wide CIs, single-item personality/coping measures, self-report bias, and pre-shift-work timing.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20</w:t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Interpretation</w:t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 — Results interpreted as associations (not causal); compared with Pan et al., Li et al., Slavish et al.; theoretical framework applied; stepped-care approach recommended with explicit caveat about cross-sectional design.</w:t>
            </w:r>
          </w:p>
        </w:tc>
      </w:tr>
      <w:tr>
        <w:tc>
          <w:tcPr>
            <w:tcW w:type="dxa" w:w="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21</w:t>
            </w:r>
          </w:p>
        </w:tc>
        <w:tc>
          <w:tcPr>
            <w:tcW w:type="dxa" w:w="1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Generalisability</w:t>
            </w:r>
          </w:p>
        </w:tc>
        <w:tc>
          <w:tcPr>
            <w:tcW w:type="dxa" w:w="38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 the generalisability (external validity) of the study results</w:t>
            </w:r>
          </w:p>
        </w:tc>
        <w:tc>
          <w:tcPr>
            <w:tcW w:type="dxa" w:w="4400"/>
            <w:shd w:fill="F2F2F2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Discussion → Limitations — "the use of convenience sampling from a single tertiary hospital in one region may introduce selection bias, and generalizability of results requires careful consideration."</w:t>
            </w:r>
          </w:p>
        </w:tc>
      </w:tr>
      <w:tr>
        <w:tc>
          <w:tcPr>
            <w:tcW w:type="dxa" w:w="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22</w:t>
            </w:r>
          </w:p>
        </w:tc>
        <w:tc>
          <w:tcPr>
            <w:tcW w:type="dxa" w:w="1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Funding</w:t>
            </w:r>
          </w:p>
        </w:tc>
        <w:tc>
          <w:tcPr>
            <w:tcW w:type="dxa" w:w="38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Give the source of funding and the role of the funders for the present study and, if applicable, for the original study on which the present article is based</w:t>
            </w:r>
          </w:p>
        </w:tc>
        <w:tc>
          <w:tcPr>
            <w:tcW w:type="dxa" w:w="4400"/>
            <w:shd w:fill="FFFFFF" w:color="auto" w:val="clea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Funding section — "This study received no specific funding from any organization."</w:t>
            </w:r>
          </w:p>
        </w:tc>
      </w:tr>
    </w:tbl>
    <w:p>
      <w:pPr>
        <w:spacing w:before="30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Reference: von Elm E, Altman DG, Egger M, Pocock SJ, Gøtzsche PC, Vandenbroucke JP; STROBE Initiative. The Strengthening the Reporting of Observational Studies in Epidemiology (STROBE) statement: guidelines for reporting observational studies. Lancet. 2007;370(9596):1453-7.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2026-08-16T03:39:35.898Z</dcterms:created>
  <dcterms:modified xsi:type="dcterms:W3CDTF">2026-08-16T03:39:35.913Z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