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04A16">
      <w:pPr>
        <w:adjustRightInd w:val="0"/>
        <w:snapToGrid w:val="0"/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t>Table S1. Baseline characteristics of the participants</w:t>
      </w:r>
    </w:p>
    <w:tbl>
      <w:tblPr>
        <w:tblStyle w:val="4"/>
        <w:tblW w:w="504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8230"/>
        <w:gridCol w:w="2556"/>
      </w:tblGrid>
      <w:tr w14:paraId="519D2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22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D4453A5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</w:t>
            </w:r>
          </w:p>
        </w:tc>
        <w:tc>
          <w:tcPr>
            <w:tcW w:w="287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2EA75F11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Category</w:t>
            </w:r>
          </w:p>
        </w:tc>
        <w:tc>
          <w:tcPr>
            <w:tcW w:w="89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3E074FC4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 (%) / mean ± SD</w:t>
            </w:r>
          </w:p>
        </w:tc>
      </w:tr>
      <w:tr w14:paraId="06FB6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2D067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Province of origin</w:t>
            </w:r>
          </w:p>
        </w:tc>
        <w:tc>
          <w:tcPr>
            <w:tcW w:w="2879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B23180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Guangdong</w:t>
            </w:r>
          </w:p>
        </w:tc>
        <w:tc>
          <w:tcPr>
            <w:tcW w:w="89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9B00B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 (69.8)</w:t>
            </w:r>
          </w:p>
        </w:tc>
      </w:tr>
      <w:tr w14:paraId="68C37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70E3A">
            <w:pPr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59F31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Other provinces (Guangxi, Chongqing, Yunnan, Anhui, and Jiangxi)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0C061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 (30.2)</w:t>
            </w:r>
          </w:p>
        </w:tc>
      </w:tr>
      <w:tr w14:paraId="534D7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A1DDF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Sex</w:t>
            </w: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7DEDF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0F419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 (4.7)</w:t>
            </w:r>
          </w:p>
        </w:tc>
      </w:tr>
      <w:tr w14:paraId="52267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988CF">
            <w:pPr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D1274A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Female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3C996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 (95.3)</w:t>
            </w:r>
          </w:p>
        </w:tc>
      </w:tr>
      <w:tr w14:paraId="137EA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6B89C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6F066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Range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0CB4C6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26–50</w:t>
            </w:r>
          </w:p>
        </w:tc>
      </w:tr>
      <w:tr w14:paraId="4541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69064">
            <w:pPr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32ACF9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± SD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8C638E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35.65 ± 6.32</w:t>
            </w:r>
          </w:p>
        </w:tc>
      </w:tr>
      <w:tr w14:paraId="2025F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8CFDCD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Educational level</w:t>
            </w: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0052E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Bachelor’s degree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CC1F4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 (93.0)</w:t>
            </w:r>
          </w:p>
        </w:tc>
      </w:tr>
      <w:tr w14:paraId="05568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E314A">
            <w:pPr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30279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Master’s degree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201C1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 (7.0)</w:t>
            </w:r>
          </w:p>
        </w:tc>
      </w:tr>
      <w:tr w14:paraId="3CE40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1EA913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Professional title</w:t>
            </w: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F730F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Junior-level nursing title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989C7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 (27.9)</w:t>
            </w:r>
          </w:p>
        </w:tc>
      </w:tr>
      <w:tr w14:paraId="20534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2E8BB4">
            <w:pPr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DEF88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Intermediate-level nursing title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4ABAD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 (65.1)</w:t>
            </w:r>
          </w:p>
        </w:tc>
      </w:tr>
      <w:tr w14:paraId="113FD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80A33">
            <w:pPr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3BEF6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Associate senior-level nursing title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901C8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 (7.0)</w:t>
            </w:r>
          </w:p>
        </w:tc>
      </w:tr>
      <w:tr w14:paraId="407A4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661940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Years of clinical experience</w:t>
            </w:r>
          </w:p>
        </w:tc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99E70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Range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93CD4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4–34</w:t>
            </w:r>
          </w:p>
        </w:tc>
      </w:tr>
      <w:tr w14:paraId="549E1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22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EFDC8AA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8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30F50FC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± SD</w:t>
            </w:r>
          </w:p>
        </w:tc>
        <w:tc>
          <w:tcPr>
            <w:tcW w:w="89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F345F75">
            <w:pPr>
              <w:keepNext w:val="0"/>
              <w:keepLines w:val="0"/>
              <w:widowControl/>
              <w:suppressLineNumbers w:val="0"/>
              <w:snapToGrid w:val="0"/>
              <w:spacing w:before="0" w:after="0" w:line="480" w:lineRule="auto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13.97 ± 7.44</w:t>
            </w:r>
          </w:p>
        </w:tc>
      </w:tr>
    </w:tbl>
    <w:p w14:paraId="178D3749">
      <w:pPr>
        <w:adjustRightInd w:val="0"/>
        <w:snapToGrid w:val="0"/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Notes: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Data are presented as </w:t>
      </w:r>
      <w:r>
        <w:rPr>
          <w:rStyle w:val="8"/>
          <w:rFonts w:hint="default" w:ascii="Times New Roman" w:hAnsi="Times New Roman" w:eastAsia="Times New Roman" w:cs="Times New Roman"/>
          <w:color w:val="000000"/>
          <w:sz w:val="24"/>
          <w:szCs w:val="24"/>
        </w:rPr>
        <w:t>n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(%) or mean ± standard deviation.</w:t>
      </w:r>
    </w:p>
    <w:p w14:paraId="6223EBDA">
      <w:pPr>
        <w:adjustRightInd/>
        <w:snapToGrid/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  <w:br w:type="page"/>
      </w:r>
    </w:p>
    <w:p w14:paraId="56EAE992">
      <w:pPr>
        <w:adjustRightInd w:val="0"/>
        <w:snapToGrid w:val="0"/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  <w:t>Table S2. Exploratory correlations of changes in overall NCS score (ΔNCS) with participant characteristics and program completion assessment performance (n = 43).</w:t>
      </w: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8"/>
        <w:gridCol w:w="2004"/>
        <w:gridCol w:w="2362"/>
      </w:tblGrid>
      <w:tr w14:paraId="7357E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3460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F674D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Variable</w:t>
            </w:r>
          </w:p>
        </w:tc>
        <w:tc>
          <w:tcPr>
            <w:tcW w:w="707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FA9F9C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r</w:t>
            </w:r>
          </w:p>
        </w:tc>
        <w:tc>
          <w:tcPr>
            <w:tcW w:w="833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9E4B7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/>
                <w:color w:val="000000"/>
                <w:kern w:val="0"/>
                <w:sz w:val="24"/>
                <w:szCs w:val="24"/>
                <w:lang w:eastAsia="zh-CN" w:bidi="ar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 xml:space="preserve"> value</w:t>
            </w:r>
          </w:p>
        </w:tc>
      </w:tr>
      <w:tr w14:paraId="07E62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865EC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Total program completion assessment score</w:t>
            </w:r>
          </w:p>
        </w:tc>
        <w:tc>
          <w:tcPr>
            <w:tcW w:w="707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AD432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0.11</w:t>
            </w:r>
          </w:p>
        </w:tc>
        <w:tc>
          <w:tcPr>
            <w:tcW w:w="833" w:type="pct"/>
            <w:tcBorders>
              <w:top w:val="single" w:color="auto" w:sz="12" w:space="0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2B4441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0.481</w:t>
            </w:r>
          </w:p>
        </w:tc>
      </w:tr>
      <w:tr w14:paraId="411E0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A6752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Theoretical assessment score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A7F58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−0.184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34228B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0.237</w:t>
            </w:r>
          </w:p>
        </w:tc>
      </w:tr>
      <w:tr w14:paraId="5989A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2E362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Specialty skills assessment score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9E7DC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0.158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40EB24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0.312</w:t>
            </w:r>
          </w:p>
        </w:tc>
      </w:tr>
      <w:tr w14:paraId="53F9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9830B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zh-CN" w:bidi="ar"/>
              </w:rPr>
              <w:t>Research assessment score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504B4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0.325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240B6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0.034*</w:t>
            </w:r>
          </w:p>
        </w:tc>
      </w:tr>
      <w:tr w14:paraId="40A07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CC0CB6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Mean satisfaction score (11 items)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0761C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−0.062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001C3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0.692</w:t>
            </w:r>
          </w:p>
        </w:tc>
      </w:tr>
      <w:tr w14:paraId="6B1CA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59F91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Age (years)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775F0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−0.427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04401F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0.004*</w:t>
            </w:r>
          </w:p>
        </w:tc>
      </w:tr>
      <w:tr w14:paraId="176F6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60" w:type="pct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44380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Years of clinical experience</w:t>
            </w:r>
          </w:p>
        </w:tc>
        <w:tc>
          <w:tcPr>
            <w:tcW w:w="707" w:type="pct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E6D6C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−0.493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auto" w:sz="12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8C5F6">
            <w:pPr>
              <w:widowControl/>
              <w:adjustRightInd w:val="0"/>
              <w:snapToGrid w:val="0"/>
              <w:spacing w:before="0" w:after="0" w:line="480" w:lineRule="auto"/>
              <w:jc w:val="both"/>
              <w:textAlignment w:val="center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bidi="ar"/>
              </w:rPr>
              <w:t>&lt;0.001*</w:t>
            </w:r>
          </w:p>
        </w:tc>
      </w:tr>
    </w:tbl>
    <w:p w14:paraId="30BD2EF8">
      <w:pPr>
        <w:adjustRightInd w:val="0"/>
        <w:snapToGrid w:val="0"/>
        <w:spacing w:before="0" w:after="0" w:line="480" w:lineRule="auto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>Notes: ΔNCS was defined as post-training minus pre-training overall NCS score. Correlations were assessed using Pearson’s correlation coefficient (two-tailed). *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</w:rPr>
        <w:t>p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</w:rPr>
        <w:t xml:space="preserve"> &lt; 0.05.</w:t>
      </w:r>
    </w:p>
    <w:sectPr>
      <w:footerReference r:id="rId3" w:type="default"/>
      <w:pgSz w:w="16838" w:h="11906" w:orient="landscape"/>
      <w:pgMar w:top="1440" w:right="1440" w:bottom="144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E9F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5D115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5D115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A28"/>
    <w:rsid w:val="001120C3"/>
    <w:rsid w:val="001A4123"/>
    <w:rsid w:val="002B4D3D"/>
    <w:rsid w:val="00370A56"/>
    <w:rsid w:val="003723F5"/>
    <w:rsid w:val="004355E2"/>
    <w:rsid w:val="004B0CB0"/>
    <w:rsid w:val="005D1A28"/>
    <w:rsid w:val="00655BA1"/>
    <w:rsid w:val="00674E15"/>
    <w:rsid w:val="00857AE6"/>
    <w:rsid w:val="00860711"/>
    <w:rsid w:val="008939A5"/>
    <w:rsid w:val="00935D36"/>
    <w:rsid w:val="009764E8"/>
    <w:rsid w:val="009A44AC"/>
    <w:rsid w:val="009C18BB"/>
    <w:rsid w:val="009D2019"/>
    <w:rsid w:val="00AB19AD"/>
    <w:rsid w:val="00DA0B63"/>
    <w:rsid w:val="00F73B02"/>
    <w:rsid w:val="00FA1DED"/>
    <w:rsid w:val="02EB66C9"/>
    <w:rsid w:val="0A3F1FCB"/>
    <w:rsid w:val="142464F5"/>
    <w:rsid w:val="1F8711FD"/>
    <w:rsid w:val="23957A8C"/>
    <w:rsid w:val="27E930E8"/>
    <w:rsid w:val="28960AB2"/>
    <w:rsid w:val="36145188"/>
    <w:rsid w:val="39DC0959"/>
    <w:rsid w:val="44CC4325"/>
    <w:rsid w:val="5FFB68ED"/>
    <w:rsid w:val="65816A48"/>
    <w:rsid w:val="65CF76D8"/>
    <w:rsid w:val="68F27A5A"/>
    <w:rsid w:val="6AE25451"/>
    <w:rsid w:val="700C3160"/>
    <w:rsid w:val="7359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lin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