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45E98C">
      <w:pPr>
        <w:rPr>
          <w:rFonts w:hint="default" w:ascii="Times New Roman" w:hAnsi="Times New Roman" w:eastAsia="宋体"/>
          <w:sz w:val="21"/>
          <w:szCs w:val="21"/>
          <w:lang w:val="en-US" w:eastAsia="zh-CN"/>
        </w:rPr>
      </w:pPr>
      <w:r>
        <w:rPr>
          <w:rFonts w:ascii="Times New Roman" w:hAnsi="Times New Roman" w:eastAsia="宋体" w:cs="Times New Roman"/>
          <w:b/>
          <w:bCs/>
          <w:sz w:val="21"/>
          <w:szCs w:val="21"/>
        </w:rPr>
        <w:t xml:space="preserve">Supplementary </w:t>
      </w:r>
      <w:r>
        <w:rPr>
          <w:rFonts w:hint="eastAsia" w:ascii="Times New Roman" w:hAnsi="Times New Roman" w:eastAsia="宋体" w:cs="Times New Roman"/>
          <w:b/>
          <w:bCs/>
          <w:sz w:val="21"/>
          <w:szCs w:val="21"/>
        </w:rPr>
        <w:t>materials</w:t>
      </w:r>
    </w:p>
    <w:tbl>
      <w:tblPr>
        <w:tblStyle w:val="3"/>
        <w:tblW w:w="141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20"/>
        <w:gridCol w:w="1755"/>
        <w:gridCol w:w="1755"/>
        <w:gridCol w:w="1755"/>
        <w:gridCol w:w="1516"/>
        <w:gridCol w:w="1516"/>
        <w:gridCol w:w="1519"/>
      </w:tblGrid>
      <w:tr w14:paraId="32D4F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3" w:hRule="atLeast"/>
          <w:jc w:val="center"/>
        </w:trPr>
        <w:tc>
          <w:tcPr>
            <w:tcW w:w="14040" w:type="dxa"/>
            <w:gridSpan w:val="7"/>
            <w:tcBorders>
              <w:top w:val="nil"/>
              <w:left w:val="nil"/>
              <w:bottom w:val="nil"/>
              <w:right w:val="nil"/>
            </w:tcBorders>
            <w:shd w:val="clear" w:color="000000" w:fill="FFFFFF"/>
            <w:noWrap/>
            <w:vAlign w:val="center"/>
          </w:tcPr>
          <w:p w14:paraId="190499BA">
            <w:pPr>
              <w:keepNext w:val="0"/>
              <w:keepLines w:val="0"/>
              <w:widowControl/>
              <w:suppressLineNumbers w:val="0"/>
              <w:jc w:val="center"/>
              <w:textAlignment w:val="bottom"/>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sz w:val="18"/>
                <w:szCs w:val="18"/>
                <w:u w:val="none"/>
              </w:rPr>
              <w:t>Table S1. Descriptive pairwise standardized mean differences in the nine patient safety culture dimensions across the three latent profiles.</w:t>
            </w:r>
          </w:p>
        </w:tc>
      </w:tr>
      <w:tr w14:paraId="41C05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jc w:val="center"/>
        </w:trPr>
        <w:tc>
          <w:tcPr>
            <w:tcW w:w="4291" w:type="dxa"/>
            <w:tcBorders>
              <w:top w:val="single" w:color="auto" w:sz="4" w:space="0"/>
              <w:left w:val="nil"/>
              <w:bottom w:val="single" w:color="auto" w:sz="4" w:space="0"/>
              <w:right w:val="nil"/>
            </w:tcBorders>
            <w:shd w:val="clear" w:color="000000" w:fill="FFFFFF"/>
            <w:vAlign w:val="center"/>
          </w:tcPr>
          <w:p w14:paraId="58C6E75A">
            <w:pPr>
              <w:keepNext w:val="0"/>
              <w:keepLines w:val="0"/>
              <w:widowControl/>
              <w:suppressLineNumbers w:val="0"/>
              <w:jc w:val="center"/>
              <w:textAlignment w:val="center"/>
              <w:rPr>
                <w:rFonts w:hint="default" w:ascii="Times New Roman" w:hAnsi="Times New Roman" w:eastAsia="宋体" w:cs="Times New Roman"/>
                <w:b w:val="0"/>
                <w:bCs w:val="0"/>
                <w:i w:val="0"/>
                <w:iCs w:val="0"/>
                <w:color w:val="1F1F1F"/>
                <w:sz w:val="18"/>
                <w:szCs w:val="18"/>
                <w:u w:val="none"/>
              </w:rPr>
            </w:pPr>
            <w:r>
              <w:rPr>
                <w:rFonts w:hint="default" w:ascii="Times New Roman" w:hAnsi="Times New Roman" w:eastAsia="宋体" w:cs="Times New Roman"/>
                <w:b w:val="0"/>
                <w:bCs w:val="0"/>
                <w:i w:val="0"/>
                <w:iCs w:val="0"/>
                <w:color w:val="1F1F1F"/>
                <w:kern w:val="0"/>
                <w:sz w:val="18"/>
                <w:szCs w:val="18"/>
                <w:u w:val="none"/>
                <w:lang w:val="en-US" w:eastAsia="zh-CN" w:bidi="ar"/>
              </w:rPr>
              <w:t>Patient safety culture dimension</w:t>
            </w:r>
          </w:p>
        </w:tc>
        <w:tc>
          <w:tcPr>
            <w:tcW w:w="1743" w:type="dxa"/>
            <w:tcBorders>
              <w:top w:val="single" w:color="auto" w:sz="4" w:space="0"/>
              <w:left w:val="nil"/>
              <w:bottom w:val="single" w:color="auto" w:sz="4" w:space="0"/>
              <w:right w:val="nil"/>
            </w:tcBorders>
            <w:shd w:val="clear" w:color="000000" w:fill="FFFFFF"/>
            <w:vAlign w:val="center"/>
          </w:tcPr>
          <w:p w14:paraId="69D77AF5">
            <w:pPr>
              <w:keepNext w:val="0"/>
              <w:keepLines w:val="0"/>
              <w:widowControl/>
              <w:suppressLineNumbers w:val="0"/>
              <w:jc w:val="center"/>
              <w:textAlignment w:val="center"/>
              <w:rPr>
                <w:rFonts w:hint="default" w:ascii="Times New Roman" w:hAnsi="Times New Roman" w:eastAsia="宋体" w:cs="Times New Roman"/>
                <w:b w:val="0"/>
                <w:bCs w:val="0"/>
                <w:i w:val="0"/>
                <w:iCs w:val="0"/>
                <w:color w:val="1F1F1F"/>
                <w:sz w:val="18"/>
                <w:szCs w:val="18"/>
                <w:u w:val="none"/>
              </w:rPr>
            </w:pPr>
            <w:r>
              <w:rPr>
                <w:rFonts w:hint="default" w:ascii="Times New Roman" w:hAnsi="Times New Roman" w:eastAsia="宋体" w:cs="Times New Roman"/>
                <w:b w:val="0"/>
                <w:bCs w:val="0"/>
                <w:i w:val="0"/>
                <w:iCs w:val="0"/>
                <w:color w:val="1F1F1F"/>
                <w:kern w:val="0"/>
                <w:sz w:val="18"/>
                <w:szCs w:val="18"/>
                <w:u w:val="none"/>
                <w:lang w:val="en-US" w:eastAsia="zh-CN" w:bidi="ar"/>
              </w:rPr>
              <w:t>Low profile (n = 778), mean (SD)</w:t>
            </w:r>
          </w:p>
        </w:tc>
        <w:tc>
          <w:tcPr>
            <w:tcW w:w="1743" w:type="dxa"/>
            <w:tcBorders>
              <w:top w:val="single" w:color="auto" w:sz="4" w:space="0"/>
              <w:left w:val="nil"/>
              <w:bottom w:val="single" w:color="auto" w:sz="4" w:space="0"/>
              <w:right w:val="nil"/>
            </w:tcBorders>
            <w:shd w:val="clear" w:color="000000" w:fill="FFFFFF"/>
            <w:vAlign w:val="center"/>
          </w:tcPr>
          <w:p w14:paraId="7A0D08A5">
            <w:pPr>
              <w:keepNext w:val="0"/>
              <w:keepLines w:val="0"/>
              <w:widowControl/>
              <w:suppressLineNumbers w:val="0"/>
              <w:jc w:val="center"/>
              <w:textAlignment w:val="center"/>
              <w:rPr>
                <w:rFonts w:hint="default" w:ascii="Times New Roman" w:hAnsi="Times New Roman" w:eastAsia="宋体" w:cs="Times New Roman"/>
                <w:b w:val="0"/>
                <w:bCs w:val="0"/>
                <w:i w:val="0"/>
                <w:iCs w:val="0"/>
                <w:color w:val="1F1F1F"/>
                <w:sz w:val="18"/>
                <w:szCs w:val="18"/>
                <w:u w:val="none"/>
              </w:rPr>
            </w:pPr>
            <w:r>
              <w:rPr>
                <w:rFonts w:hint="default" w:ascii="Times New Roman" w:hAnsi="Times New Roman" w:eastAsia="宋体" w:cs="Times New Roman"/>
                <w:b w:val="0"/>
                <w:bCs w:val="0"/>
                <w:i w:val="0"/>
                <w:iCs w:val="0"/>
                <w:color w:val="1F1F1F"/>
                <w:kern w:val="0"/>
                <w:sz w:val="18"/>
                <w:szCs w:val="18"/>
                <w:u w:val="none"/>
                <w:lang w:val="en-US" w:eastAsia="zh-CN" w:bidi="ar"/>
              </w:rPr>
              <w:t>Moderate profile (n = 1,192), mean (SD)</w:t>
            </w:r>
          </w:p>
        </w:tc>
        <w:tc>
          <w:tcPr>
            <w:tcW w:w="1743" w:type="dxa"/>
            <w:tcBorders>
              <w:top w:val="single" w:color="auto" w:sz="4" w:space="0"/>
              <w:left w:val="nil"/>
              <w:bottom w:val="single" w:color="auto" w:sz="4" w:space="0"/>
              <w:right w:val="nil"/>
            </w:tcBorders>
            <w:shd w:val="clear" w:color="000000" w:fill="FFFFFF"/>
            <w:vAlign w:val="center"/>
          </w:tcPr>
          <w:p w14:paraId="016ECDDD">
            <w:pPr>
              <w:keepNext w:val="0"/>
              <w:keepLines w:val="0"/>
              <w:widowControl/>
              <w:suppressLineNumbers w:val="0"/>
              <w:jc w:val="center"/>
              <w:textAlignment w:val="center"/>
              <w:rPr>
                <w:rFonts w:hint="default" w:ascii="Times New Roman" w:hAnsi="Times New Roman" w:eastAsia="宋体" w:cs="Times New Roman"/>
                <w:b w:val="0"/>
                <w:bCs w:val="0"/>
                <w:i w:val="0"/>
                <w:iCs w:val="0"/>
                <w:color w:val="1F1F1F"/>
                <w:sz w:val="18"/>
                <w:szCs w:val="18"/>
                <w:u w:val="none"/>
              </w:rPr>
            </w:pPr>
            <w:r>
              <w:rPr>
                <w:rFonts w:hint="default" w:ascii="Times New Roman" w:hAnsi="Times New Roman" w:eastAsia="宋体" w:cs="Times New Roman"/>
                <w:b w:val="0"/>
                <w:bCs w:val="0"/>
                <w:i w:val="0"/>
                <w:iCs w:val="0"/>
                <w:color w:val="1F1F1F"/>
                <w:kern w:val="0"/>
                <w:sz w:val="18"/>
                <w:szCs w:val="18"/>
                <w:u w:val="none"/>
                <w:lang w:val="en-US" w:eastAsia="zh-CN" w:bidi="ar"/>
              </w:rPr>
              <w:t>High profile (n = 1,381), mean (SD)</w:t>
            </w:r>
          </w:p>
        </w:tc>
        <w:tc>
          <w:tcPr>
            <w:tcW w:w="1506" w:type="dxa"/>
            <w:tcBorders>
              <w:top w:val="single" w:color="auto" w:sz="4" w:space="0"/>
              <w:left w:val="nil"/>
              <w:bottom w:val="single" w:color="auto" w:sz="4" w:space="0"/>
              <w:right w:val="nil"/>
            </w:tcBorders>
            <w:shd w:val="clear" w:color="000000" w:fill="FFFFFF"/>
            <w:vAlign w:val="center"/>
          </w:tcPr>
          <w:p w14:paraId="23D5CFDD">
            <w:pPr>
              <w:keepNext w:val="0"/>
              <w:keepLines w:val="0"/>
              <w:widowControl/>
              <w:suppressLineNumbers w:val="0"/>
              <w:jc w:val="center"/>
              <w:textAlignment w:val="center"/>
              <w:rPr>
                <w:rFonts w:hint="default" w:ascii="Times New Roman" w:hAnsi="Times New Roman" w:eastAsia="宋体" w:cs="Times New Roman"/>
                <w:b w:val="0"/>
                <w:bCs w:val="0"/>
                <w:i w:val="0"/>
                <w:iCs w:val="0"/>
                <w:color w:val="1F1F1F"/>
                <w:kern w:val="0"/>
                <w:sz w:val="18"/>
                <w:szCs w:val="18"/>
                <w:u w:val="none"/>
                <w:lang w:val="en-US" w:eastAsia="zh-CN" w:bidi="ar"/>
              </w:rPr>
            </w:pPr>
            <w:r>
              <w:rPr>
                <w:rFonts w:hint="default" w:ascii="Times New Roman" w:hAnsi="Times New Roman" w:eastAsia="宋体" w:cs="Times New Roman"/>
                <w:b w:val="0"/>
                <w:bCs w:val="0"/>
                <w:i w:val="0"/>
                <w:iCs w:val="0"/>
                <w:color w:val="1F1F1F"/>
                <w:kern w:val="0"/>
                <w:sz w:val="18"/>
                <w:szCs w:val="18"/>
                <w:u w:val="none"/>
                <w:lang w:val="en-US" w:eastAsia="zh-CN" w:bidi="ar"/>
              </w:rPr>
              <w:t>Low–moderate</w:t>
            </w:r>
          </w:p>
          <w:p w14:paraId="4BEBF8F4">
            <w:pPr>
              <w:keepNext w:val="0"/>
              <w:keepLines w:val="0"/>
              <w:widowControl/>
              <w:suppressLineNumbers w:val="0"/>
              <w:jc w:val="center"/>
              <w:textAlignment w:val="center"/>
              <w:rPr>
                <w:rFonts w:hint="default" w:ascii="Times New Roman" w:hAnsi="Times New Roman" w:eastAsia="宋体" w:cs="Times New Roman"/>
                <w:b w:val="0"/>
                <w:bCs w:val="0"/>
                <w:i w:val="0"/>
                <w:iCs w:val="0"/>
                <w:color w:val="1F1F1F"/>
                <w:sz w:val="18"/>
                <w:szCs w:val="18"/>
                <w:u w:val="none"/>
              </w:rPr>
            </w:pPr>
            <w:r>
              <w:rPr>
                <w:rFonts w:hint="default" w:ascii="Times New Roman" w:hAnsi="Times New Roman" w:eastAsia="宋体" w:cs="Times New Roman"/>
                <w:b w:val="0"/>
                <w:bCs w:val="0"/>
                <w:i w:val="0"/>
                <w:iCs w:val="0"/>
                <w:color w:val="1F1F1F"/>
                <w:kern w:val="0"/>
                <w:sz w:val="18"/>
                <w:szCs w:val="18"/>
                <w:u w:val="none"/>
                <w:lang w:val="en-US" w:eastAsia="zh-CN" w:bidi="ar"/>
              </w:rPr>
              <w:t>comparison, Cohen’s d</w:t>
            </w:r>
          </w:p>
        </w:tc>
        <w:tc>
          <w:tcPr>
            <w:tcW w:w="1506" w:type="dxa"/>
            <w:tcBorders>
              <w:top w:val="single" w:color="auto" w:sz="4" w:space="0"/>
              <w:left w:val="nil"/>
              <w:bottom w:val="single" w:color="auto" w:sz="4" w:space="0"/>
              <w:right w:val="nil"/>
            </w:tcBorders>
            <w:shd w:val="clear" w:color="000000" w:fill="FFFFFF"/>
            <w:vAlign w:val="center"/>
          </w:tcPr>
          <w:p w14:paraId="4A47209F">
            <w:pPr>
              <w:keepNext w:val="0"/>
              <w:keepLines w:val="0"/>
              <w:widowControl/>
              <w:suppressLineNumbers w:val="0"/>
              <w:jc w:val="center"/>
              <w:textAlignment w:val="center"/>
              <w:rPr>
                <w:rFonts w:hint="default" w:ascii="Times New Roman" w:hAnsi="Times New Roman" w:eastAsia="宋体" w:cs="Times New Roman"/>
                <w:b w:val="0"/>
                <w:bCs w:val="0"/>
                <w:i w:val="0"/>
                <w:iCs w:val="0"/>
                <w:color w:val="1F1F1F"/>
                <w:kern w:val="0"/>
                <w:sz w:val="18"/>
                <w:szCs w:val="18"/>
                <w:u w:val="none"/>
                <w:lang w:val="en-US" w:eastAsia="zh-CN" w:bidi="ar"/>
              </w:rPr>
            </w:pPr>
            <w:r>
              <w:rPr>
                <w:rFonts w:hint="default" w:ascii="Times New Roman" w:hAnsi="Times New Roman" w:eastAsia="宋体" w:cs="Times New Roman"/>
                <w:b w:val="0"/>
                <w:bCs w:val="0"/>
                <w:i w:val="0"/>
                <w:iCs w:val="0"/>
                <w:color w:val="1F1F1F"/>
                <w:kern w:val="0"/>
                <w:sz w:val="18"/>
                <w:szCs w:val="18"/>
                <w:u w:val="none"/>
                <w:lang w:val="en-US" w:eastAsia="zh-CN" w:bidi="ar"/>
              </w:rPr>
              <w:t>Moderate–high</w:t>
            </w:r>
          </w:p>
          <w:p w14:paraId="75EF1267">
            <w:pPr>
              <w:keepNext w:val="0"/>
              <w:keepLines w:val="0"/>
              <w:widowControl/>
              <w:suppressLineNumbers w:val="0"/>
              <w:jc w:val="center"/>
              <w:textAlignment w:val="center"/>
              <w:rPr>
                <w:rFonts w:hint="default" w:ascii="Times New Roman" w:hAnsi="Times New Roman" w:eastAsia="宋体" w:cs="Times New Roman"/>
                <w:b w:val="0"/>
                <w:bCs w:val="0"/>
                <w:i w:val="0"/>
                <w:iCs w:val="0"/>
                <w:color w:val="1F1F1F"/>
                <w:sz w:val="18"/>
                <w:szCs w:val="18"/>
                <w:u w:val="none"/>
              </w:rPr>
            </w:pPr>
            <w:r>
              <w:rPr>
                <w:rFonts w:hint="default" w:ascii="Times New Roman" w:hAnsi="Times New Roman" w:eastAsia="宋体" w:cs="Times New Roman"/>
                <w:b w:val="0"/>
                <w:bCs w:val="0"/>
                <w:i w:val="0"/>
                <w:iCs w:val="0"/>
                <w:color w:val="1F1F1F"/>
                <w:kern w:val="0"/>
                <w:sz w:val="18"/>
                <w:szCs w:val="18"/>
                <w:u w:val="none"/>
                <w:lang w:val="en-US" w:eastAsia="zh-CN" w:bidi="ar"/>
              </w:rPr>
              <w:t>comparison, Cohen’s d</w:t>
            </w:r>
          </w:p>
        </w:tc>
        <w:tc>
          <w:tcPr>
            <w:tcW w:w="1508" w:type="dxa"/>
            <w:tcBorders>
              <w:top w:val="single" w:color="auto" w:sz="4" w:space="0"/>
              <w:left w:val="nil"/>
              <w:bottom w:val="single" w:color="auto" w:sz="4" w:space="0"/>
              <w:right w:val="nil"/>
            </w:tcBorders>
            <w:shd w:val="clear" w:color="000000" w:fill="FFFFFF"/>
            <w:vAlign w:val="center"/>
          </w:tcPr>
          <w:p w14:paraId="65D34C83">
            <w:pPr>
              <w:keepNext w:val="0"/>
              <w:keepLines w:val="0"/>
              <w:widowControl/>
              <w:suppressLineNumbers w:val="0"/>
              <w:jc w:val="center"/>
              <w:textAlignment w:val="center"/>
              <w:rPr>
                <w:rFonts w:hint="default" w:ascii="Times New Roman" w:hAnsi="Times New Roman" w:eastAsia="宋体" w:cs="Times New Roman"/>
                <w:b w:val="0"/>
                <w:bCs w:val="0"/>
                <w:i w:val="0"/>
                <w:iCs w:val="0"/>
                <w:color w:val="1F1F1F"/>
                <w:sz w:val="18"/>
                <w:szCs w:val="18"/>
                <w:u w:val="none"/>
              </w:rPr>
            </w:pPr>
            <w:r>
              <w:rPr>
                <w:rFonts w:hint="default" w:ascii="Times New Roman" w:hAnsi="Times New Roman" w:eastAsia="宋体" w:cs="Times New Roman"/>
                <w:b w:val="0"/>
                <w:bCs w:val="0"/>
                <w:i w:val="0"/>
                <w:iCs w:val="0"/>
                <w:color w:val="1F1F1F"/>
                <w:kern w:val="0"/>
                <w:sz w:val="18"/>
                <w:szCs w:val="18"/>
                <w:u w:val="none"/>
                <w:lang w:val="en-US" w:eastAsia="zh-CN" w:bidi="ar"/>
              </w:rPr>
              <w:t>Low–high</w:t>
            </w:r>
            <w:r>
              <w:rPr>
                <w:rFonts w:hint="eastAsia" w:ascii="Times New Roman" w:hAnsi="Times New Roman" w:eastAsia="宋体" w:cs="Times New Roman"/>
                <w:b w:val="0"/>
                <w:bCs w:val="0"/>
                <w:i w:val="0"/>
                <w:iCs w:val="0"/>
                <w:color w:val="1F1F1F"/>
                <w:kern w:val="0"/>
                <w:sz w:val="18"/>
                <w:szCs w:val="18"/>
                <w:u w:val="none"/>
                <w:lang w:val="en-US" w:eastAsia="zh-CN" w:bidi="ar"/>
              </w:rPr>
              <w:t xml:space="preserve"> </w:t>
            </w:r>
            <w:r>
              <w:rPr>
                <w:rFonts w:hint="default" w:ascii="Times New Roman" w:hAnsi="Times New Roman" w:eastAsia="宋体" w:cs="Times New Roman"/>
                <w:b w:val="0"/>
                <w:bCs w:val="0"/>
                <w:i w:val="0"/>
                <w:iCs w:val="0"/>
                <w:color w:val="1F1F1F"/>
                <w:kern w:val="0"/>
                <w:sz w:val="18"/>
                <w:szCs w:val="18"/>
                <w:u w:val="none"/>
                <w:lang w:val="en-US" w:eastAsia="zh-CN" w:bidi="ar"/>
              </w:rPr>
              <w:t>comparison, Cohen’s d</w:t>
            </w:r>
          </w:p>
        </w:tc>
      </w:tr>
      <w:tr w14:paraId="1F5A6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291" w:type="dxa"/>
            <w:tcBorders>
              <w:top w:val="nil"/>
              <w:left w:val="nil"/>
              <w:bottom w:val="nil"/>
              <w:right w:val="nil"/>
            </w:tcBorders>
            <w:shd w:val="clear" w:color="000000" w:fill="FFFFFF"/>
            <w:noWrap/>
            <w:vAlign w:val="center"/>
          </w:tcPr>
          <w:p w14:paraId="3586E38F">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Patient Safety Support</w:t>
            </w:r>
          </w:p>
        </w:tc>
        <w:tc>
          <w:tcPr>
            <w:tcW w:w="1743" w:type="dxa"/>
            <w:tcBorders>
              <w:top w:val="nil"/>
              <w:left w:val="nil"/>
              <w:bottom w:val="nil"/>
              <w:right w:val="nil"/>
            </w:tcBorders>
            <w:shd w:val="clear" w:color="000000" w:fill="FFFFFF"/>
            <w:noWrap/>
            <w:vAlign w:val="center"/>
          </w:tcPr>
          <w:p w14:paraId="2077024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20.01 (4.04)</w:t>
            </w:r>
          </w:p>
        </w:tc>
        <w:tc>
          <w:tcPr>
            <w:tcW w:w="1743" w:type="dxa"/>
            <w:tcBorders>
              <w:top w:val="nil"/>
              <w:left w:val="nil"/>
              <w:bottom w:val="nil"/>
              <w:right w:val="nil"/>
            </w:tcBorders>
            <w:shd w:val="clear" w:color="000000" w:fill="FFFFFF"/>
            <w:noWrap/>
            <w:vAlign w:val="center"/>
          </w:tcPr>
          <w:p w14:paraId="51D037C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25.01 (3.44)</w:t>
            </w:r>
          </w:p>
        </w:tc>
        <w:tc>
          <w:tcPr>
            <w:tcW w:w="1743" w:type="dxa"/>
            <w:tcBorders>
              <w:top w:val="nil"/>
              <w:left w:val="nil"/>
              <w:bottom w:val="nil"/>
              <w:right w:val="nil"/>
            </w:tcBorders>
            <w:shd w:val="clear" w:color="000000" w:fill="FFFFFF"/>
            <w:noWrap/>
            <w:vAlign w:val="center"/>
          </w:tcPr>
          <w:p w14:paraId="370CF60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28.67 (2.71)</w:t>
            </w:r>
          </w:p>
        </w:tc>
        <w:tc>
          <w:tcPr>
            <w:tcW w:w="1506" w:type="dxa"/>
            <w:tcBorders>
              <w:top w:val="nil"/>
              <w:left w:val="nil"/>
              <w:bottom w:val="nil"/>
              <w:right w:val="nil"/>
            </w:tcBorders>
            <w:shd w:val="clear" w:color="000000" w:fill="FFFFFF"/>
            <w:noWrap/>
            <w:vAlign w:val="center"/>
          </w:tcPr>
          <w:p w14:paraId="46701AB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1.36</w:t>
            </w:r>
          </w:p>
        </w:tc>
        <w:tc>
          <w:tcPr>
            <w:tcW w:w="1506" w:type="dxa"/>
            <w:tcBorders>
              <w:top w:val="nil"/>
              <w:left w:val="nil"/>
              <w:bottom w:val="nil"/>
              <w:right w:val="nil"/>
            </w:tcBorders>
            <w:shd w:val="clear" w:color="000000" w:fill="FFFFFF"/>
            <w:noWrap/>
            <w:vAlign w:val="center"/>
          </w:tcPr>
          <w:p w14:paraId="10ACEC6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1.19</w:t>
            </w:r>
          </w:p>
        </w:tc>
        <w:tc>
          <w:tcPr>
            <w:tcW w:w="1508" w:type="dxa"/>
            <w:tcBorders>
              <w:top w:val="nil"/>
              <w:left w:val="nil"/>
              <w:bottom w:val="nil"/>
              <w:right w:val="nil"/>
            </w:tcBorders>
            <w:shd w:val="clear" w:color="000000" w:fill="FFFFFF"/>
            <w:noWrap/>
            <w:vAlign w:val="center"/>
          </w:tcPr>
          <w:p w14:paraId="64B5A92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2.66</w:t>
            </w:r>
          </w:p>
        </w:tc>
      </w:tr>
      <w:tr w14:paraId="220C8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291" w:type="dxa"/>
            <w:tcBorders>
              <w:top w:val="nil"/>
              <w:left w:val="nil"/>
              <w:bottom w:val="nil"/>
              <w:right w:val="nil"/>
            </w:tcBorders>
            <w:shd w:val="clear" w:color="000000" w:fill="FFFFFF"/>
            <w:noWrap/>
            <w:vAlign w:val="center"/>
          </w:tcPr>
          <w:p w14:paraId="00BE498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Staffing and Work Pace</w:t>
            </w:r>
          </w:p>
        </w:tc>
        <w:tc>
          <w:tcPr>
            <w:tcW w:w="1743" w:type="dxa"/>
            <w:tcBorders>
              <w:top w:val="nil"/>
              <w:left w:val="nil"/>
              <w:bottom w:val="nil"/>
              <w:right w:val="nil"/>
            </w:tcBorders>
            <w:shd w:val="clear" w:color="000000" w:fill="FFFFFF"/>
            <w:noWrap/>
            <w:vAlign w:val="center"/>
          </w:tcPr>
          <w:p w14:paraId="7607913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12.47 (2.81)</w:t>
            </w:r>
          </w:p>
        </w:tc>
        <w:tc>
          <w:tcPr>
            <w:tcW w:w="1743" w:type="dxa"/>
            <w:tcBorders>
              <w:top w:val="nil"/>
              <w:left w:val="nil"/>
              <w:bottom w:val="nil"/>
              <w:right w:val="nil"/>
            </w:tcBorders>
            <w:shd w:val="clear" w:color="000000" w:fill="FFFFFF"/>
            <w:noWrap/>
            <w:vAlign w:val="center"/>
          </w:tcPr>
          <w:p w14:paraId="2CFE3FC6">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14.44 (2.54)</w:t>
            </w:r>
          </w:p>
        </w:tc>
        <w:tc>
          <w:tcPr>
            <w:tcW w:w="1743" w:type="dxa"/>
            <w:tcBorders>
              <w:top w:val="nil"/>
              <w:left w:val="nil"/>
              <w:bottom w:val="nil"/>
              <w:right w:val="nil"/>
            </w:tcBorders>
            <w:shd w:val="clear" w:color="000000" w:fill="FFFFFF"/>
            <w:noWrap/>
            <w:vAlign w:val="center"/>
          </w:tcPr>
          <w:p w14:paraId="41E2F199">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17.79 (2.32)</w:t>
            </w:r>
          </w:p>
        </w:tc>
        <w:tc>
          <w:tcPr>
            <w:tcW w:w="1506" w:type="dxa"/>
            <w:tcBorders>
              <w:top w:val="nil"/>
              <w:left w:val="nil"/>
              <w:bottom w:val="nil"/>
              <w:right w:val="nil"/>
            </w:tcBorders>
            <w:shd w:val="clear" w:color="000000" w:fill="FFFFFF"/>
            <w:noWrap/>
            <w:vAlign w:val="center"/>
          </w:tcPr>
          <w:p w14:paraId="02CD010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0.74</w:t>
            </w:r>
          </w:p>
        </w:tc>
        <w:tc>
          <w:tcPr>
            <w:tcW w:w="1506" w:type="dxa"/>
            <w:tcBorders>
              <w:top w:val="nil"/>
              <w:left w:val="nil"/>
              <w:bottom w:val="nil"/>
              <w:right w:val="nil"/>
            </w:tcBorders>
            <w:shd w:val="clear" w:color="000000" w:fill="FFFFFF"/>
            <w:noWrap/>
            <w:vAlign w:val="center"/>
          </w:tcPr>
          <w:p w14:paraId="5EEFA85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1.38</w:t>
            </w:r>
          </w:p>
        </w:tc>
        <w:tc>
          <w:tcPr>
            <w:tcW w:w="1508" w:type="dxa"/>
            <w:tcBorders>
              <w:top w:val="nil"/>
              <w:left w:val="nil"/>
              <w:bottom w:val="nil"/>
              <w:right w:val="nil"/>
            </w:tcBorders>
            <w:shd w:val="clear" w:color="000000" w:fill="FFFFFF"/>
            <w:noWrap/>
            <w:vAlign w:val="center"/>
          </w:tcPr>
          <w:p w14:paraId="0B3CB50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2.12</w:t>
            </w:r>
          </w:p>
        </w:tc>
      </w:tr>
      <w:tr w14:paraId="7709A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291" w:type="dxa"/>
            <w:tcBorders>
              <w:top w:val="nil"/>
              <w:left w:val="nil"/>
              <w:bottom w:val="nil"/>
              <w:right w:val="nil"/>
            </w:tcBorders>
            <w:shd w:val="clear" w:color="000000" w:fill="FFFFFF"/>
            <w:noWrap/>
            <w:vAlign w:val="center"/>
          </w:tcPr>
          <w:p w14:paraId="69B3FEB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Response to Errors</w:t>
            </w:r>
          </w:p>
        </w:tc>
        <w:tc>
          <w:tcPr>
            <w:tcW w:w="1743" w:type="dxa"/>
            <w:tcBorders>
              <w:top w:val="nil"/>
              <w:left w:val="nil"/>
              <w:bottom w:val="nil"/>
              <w:right w:val="nil"/>
            </w:tcBorders>
            <w:shd w:val="clear" w:color="000000" w:fill="FFFFFF"/>
            <w:noWrap/>
            <w:vAlign w:val="center"/>
          </w:tcPr>
          <w:p w14:paraId="7BDCD2C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12.39 (2.82)</w:t>
            </w:r>
          </w:p>
        </w:tc>
        <w:tc>
          <w:tcPr>
            <w:tcW w:w="1743" w:type="dxa"/>
            <w:tcBorders>
              <w:top w:val="nil"/>
              <w:left w:val="nil"/>
              <w:bottom w:val="nil"/>
              <w:right w:val="nil"/>
            </w:tcBorders>
            <w:shd w:val="clear" w:color="000000" w:fill="FFFFFF"/>
            <w:noWrap/>
            <w:vAlign w:val="center"/>
          </w:tcPr>
          <w:p w14:paraId="22B1C87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14.91 (2.67)</w:t>
            </w:r>
          </w:p>
        </w:tc>
        <w:tc>
          <w:tcPr>
            <w:tcW w:w="1743" w:type="dxa"/>
            <w:tcBorders>
              <w:top w:val="nil"/>
              <w:left w:val="nil"/>
              <w:bottom w:val="nil"/>
              <w:right w:val="nil"/>
            </w:tcBorders>
            <w:shd w:val="clear" w:color="000000" w:fill="FFFFFF"/>
            <w:noWrap/>
            <w:vAlign w:val="center"/>
          </w:tcPr>
          <w:p w14:paraId="49CD8B2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18.41 (1.91)</w:t>
            </w:r>
          </w:p>
        </w:tc>
        <w:tc>
          <w:tcPr>
            <w:tcW w:w="1506" w:type="dxa"/>
            <w:tcBorders>
              <w:top w:val="nil"/>
              <w:left w:val="nil"/>
              <w:bottom w:val="nil"/>
              <w:right w:val="nil"/>
            </w:tcBorders>
            <w:shd w:val="clear" w:color="000000" w:fill="FFFFFF"/>
            <w:noWrap/>
            <w:vAlign w:val="center"/>
          </w:tcPr>
          <w:p w14:paraId="370B28D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0.92</w:t>
            </w:r>
          </w:p>
        </w:tc>
        <w:tc>
          <w:tcPr>
            <w:tcW w:w="1506" w:type="dxa"/>
            <w:tcBorders>
              <w:top w:val="nil"/>
              <w:left w:val="nil"/>
              <w:bottom w:val="nil"/>
              <w:right w:val="nil"/>
            </w:tcBorders>
            <w:shd w:val="clear" w:color="000000" w:fill="FFFFFF"/>
            <w:noWrap/>
            <w:vAlign w:val="center"/>
          </w:tcPr>
          <w:p w14:paraId="43555A1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1.53</w:t>
            </w:r>
          </w:p>
        </w:tc>
        <w:tc>
          <w:tcPr>
            <w:tcW w:w="1508" w:type="dxa"/>
            <w:tcBorders>
              <w:top w:val="nil"/>
              <w:left w:val="nil"/>
              <w:bottom w:val="nil"/>
              <w:right w:val="nil"/>
            </w:tcBorders>
            <w:shd w:val="clear" w:color="000000" w:fill="FFFFFF"/>
            <w:noWrap/>
            <w:vAlign w:val="center"/>
          </w:tcPr>
          <w:p w14:paraId="78A0A86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2.64</w:t>
            </w:r>
          </w:p>
        </w:tc>
      </w:tr>
      <w:tr w14:paraId="2BA28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291" w:type="dxa"/>
            <w:tcBorders>
              <w:top w:val="nil"/>
              <w:left w:val="nil"/>
              <w:bottom w:val="nil"/>
              <w:right w:val="nil"/>
            </w:tcBorders>
            <w:shd w:val="clear" w:color="000000" w:fill="FFFFFF"/>
            <w:noWrap/>
            <w:vAlign w:val="center"/>
          </w:tcPr>
          <w:p w14:paraId="53AC08F1">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Communication About Errors</w:t>
            </w:r>
          </w:p>
        </w:tc>
        <w:tc>
          <w:tcPr>
            <w:tcW w:w="1743" w:type="dxa"/>
            <w:tcBorders>
              <w:top w:val="nil"/>
              <w:left w:val="nil"/>
              <w:bottom w:val="nil"/>
              <w:right w:val="nil"/>
            </w:tcBorders>
            <w:shd w:val="clear" w:color="000000" w:fill="FFFFFF"/>
            <w:noWrap/>
            <w:vAlign w:val="center"/>
          </w:tcPr>
          <w:p w14:paraId="405D0FA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9.37 (3.48)</w:t>
            </w:r>
          </w:p>
        </w:tc>
        <w:tc>
          <w:tcPr>
            <w:tcW w:w="1743" w:type="dxa"/>
            <w:tcBorders>
              <w:top w:val="nil"/>
              <w:left w:val="nil"/>
              <w:bottom w:val="nil"/>
              <w:right w:val="nil"/>
            </w:tcBorders>
            <w:shd w:val="clear" w:color="000000" w:fill="FFFFFF"/>
            <w:noWrap/>
            <w:vAlign w:val="center"/>
          </w:tcPr>
          <w:p w14:paraId="4B3D8B8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11.64 (2.70)</w:t>
            </w:r>
          </w:p>
        </w:tc>
        <w:tc>
          <w:tcPr>
            <w:tcW w:w="1743" w:type="dxa"/>
            <w:tcBorders>
              <w:top w:val="nil"/>
              <w:left w:val="nil"/>
              <w:bottom w:val="nil"/>
              <w:right w:val="nil"/>
            </w:tcBorders>
            <w:shd w:val="clear" w:color="000000" w:fill="FFFFFF"/>
            <w:noWrap/>
            <w:vAlign w:val="center"/>
          </w:tcPr>
          <w:p w14:paraId="63E66E2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14.04 (1.97)</w:t>
            </w:r>
          </w:p>
        </w:tc>
        <w:tc>
          <w:tcPr>
            <w:tcW w:w="1506" w:type="dxa"/>
            <w:tcBorders>
              <w:top w:val="nil"/>
              <w:left w:val="nil"/>
              <w:bottom w:val="nil"/>
              <w:right w:val="nil"/>
            </w:tcBorders>
            <w:shd w:val="clear" w:color="000000" w:fill="FFFFFF"/>
            <w:noWrap/>
            <w:vAlign w:val="center"/>
          </w:tcPr>
          <w:p w14:paraId="0BFC9A0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0.75</w:t>
            </w:r>
          </w:p>
        </w:tc>
        <w:tc>
          <w:tcPr>
            <w:tcW w:w="1506" w:type="dxa"/>
            <w:tcBorders>
              <w:top w:val="nil"/>
              <w:left w:val="nil"/>
              <w:bottom w:val="nil"/>
              <w:right w:val="nil"/>
            </w:tcBorders>
            <w:shd w:val="clear" w:color="000000" w:fill="FFFFFF"/>
            <w:noWrap/>
            <w:vAlign w:val="center"/>
          </w:tcPr>
          <w:p w14:paraId="63A8F18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1.02</w:t>
            </w:r>
          </w:p>
        </w:tc>
        <w:tc>
          <w:tcPr>
            <w:tcW w:w="1508" w:type="dxa"/>
            <w:tcBorders>
              <w:top w:val="nil"/>
              <w:left w:val="nil"/>
              <w:bottom w:val="nil"/>
              <w:right w:val="nil"/>
            </w:tcBorders>
            <w:shd w:val="clear" w:color="000000" w:fill="FFFFFF"/>
            <w:noWrap/>
            <w:vAlign w:val="center"/>
          </w:tcPr>
          <w:p w14:paraId="32FB14E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1.79</w:t>
            </w:r>
          </w:p>
        </w:tc>
      </w:tr>
      <w:tr w14:paraId="34848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291" w:type="dxa"/>
            <w:tcBorders>
              <w:top w:val="nil"/>
              <w:left w:val="nil"/>
              <w:bottom w:val="nil"/>
              <w:right w:val="nil"/>
            </w:tcBorders>
            <w:shd w:val="clear" w:color="000000" w:fill="FFFFFF"/>
            <w:noWrap/>
            <w:vAlign w:val="center"/>
          </w:tcPr>
          <w:p w14:paraId="2C027020">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Communication Openness</w:t>
            </w:r>
          </w:p>
        </w:tc>
        <w:tc>
          <w:tcPr>
            <w:tcW w:w="1743" w:type="dxa"/>
            <w:tcBorders>
              <w:top w:val="nil"/>
              <w:left w:val="nil"/>
              <w:bottom w:val="nil"/>
              <w:right w:val="nil"/>
            </w:tcBorders>
            <w:shd w:val="clear" w:color="000000" w:fill="FFFFFF"/>
            <w:noWrap/>
            <w:vAlign w:val="center"/>
          </w:tcPr>
          <w:p w14:paraId="3BC7D6A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12.18 (2.51)</w:t>
            </w:r>
          </w:p>
        </w:tc>
        <w:tc>
          <w:tcPr>
            <w:tcW w:w="1743" w:type="dxa"/>
            <w:tcBorders>
              <w:top w:val="nil"/>
              <w:left w:val="nil"/>
              <w:bottom w:val="nil"/>
              <w:right w:val="nil"/>
            </w:tcBorders>
            <w:shd w:val="clear" w:color="000000" w:fill="FFFFFF"/>
            <w:noWrap/>
            <w:vAlign w:val="center"/>
          </w:tcPr>
          <w:p w14:paraId="243BF143">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14.70 (2.44)</w:t>
            </w:r>
          </w:p>
        </w:tc>
        <w:tc>
          <w:tcPr>
            <w:tcW w:w="1743" w:type="dxa"/>
            <w:tcBorders>
              <w:top w:val="nil"/>
              <w:left w:val="nil"/>
              <w:bottom w:val="nil"/>
              <w:right w:val="nil"/>
            </w:tcBorders>
            <w:shd w:val="clear" w:color="000000" w:fill="FFFFFF"/>
            <w:noWrap/>
            <w:vAlign w:val="center"/>
          </w:tcPr>
          <w:p w14:paraId="4F84976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18.38 (2.14)</w:t>
            </w:r>
          </w:p>
        </w:tc>
        <w:tc>
          <w:tcPr>
            <w:tcW w:w="1506" w:type="dxa"/>
            <w:tcBorders>
              <w:top w:val="nil"/>
              <w:left w:val="nil"/>
              <w:bottom w:val="nil"/>
              <w:right w:val="nil"/>
            </w:tcBorders>
            <w:shd w:val="clear" w:color="000000" w:fill="FFFFFF"/>
            <w:noWrap/>
            <w:vAlign w:val="center"/>
          </w:tcPr>
          <w:p w14:paraId="14E3C6F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1.02</w:t>
            </w:r>
          </w:p>
        </w:tc>
        <w:tc>
          <w:tcPr>
            <w:tcW w:w="1506" w:type="dxa"/>
            <w:tcBorders>
              <w:top w:val="nil"/>
              <w:left w:val="nil"/>
              <w:bottom w:val="nil"/>
              <w:right w:val="nil"/>
            </w:tcBorders>
            <w:shd w:val="clear" w:color="000000" w:fill="FFFFFF"/>
            <w:noWrap/>
            <w:vAlign w:val="center"/>
          </w:tcPr>
          <w:p w14:paraId="404A5CC5">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1.61</w:t>
            </w:r>
          </w:p>
        </w:tc>
        <w:tc>
          <w:tcPr>
            <w:tcW w:w="1508" w:type="dxa"/>
            <w:tcBorders>
              <w:top w:val="nil"/>
              <w:left w:val="nil"/>
              <w:bottom w:val="nil"/>
              <w:right w:val="nil"/>
            </w:tcBorders>
            <w:shd w:val="clear" w:color="000000" w:fill="FFFFFF"/>
            <w:noWrap/>
            <w:vAlign w:val="center"/>
          </w:tcPr>
          <w:p w14:paraId="4061D16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2.72</w:t>
            </w:r>
          </w:p>
        </w:tc>
      </w:tr>
      <w:tr w14:paraId="752B4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291" w:type="dxa"/>
            <w:tcBorders>
              <w:top w:val="nil"/>
              <w:left w:val="nil"/>
              <w:bottom w:val="nil"/>
              <w:right w:val="nil"/>
            </w:tcBorders>
            <w:shd w:val="clear" w:color="000000" w:fill="FFFFFF"/>
            <w:noWrap/>
            <w:vAlign w:val="center"/>
          </w:tcPr>
          <w:p w14:paraId="07E1D62E">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Handoffs and Information Exchange</w:t>
            </w:r>
          </w:p>
        </w:tc>
        <w:tc>
          <w:tcPr>
            <w:tcW w:w="1743" w:type="dxa"/>
            <w:tcBorders>
              <w:top w:val="nil"/>
              <w:left w:val="nil"/>
              <w:bottom w:val="nil"/>
              <w:right w:val="nil"/>
            </w:tcBorders>
            <w:shd w:val="clear" w:color="000000" w:fill="FFFFFF"/>
            <w:noWrap/>
            <w:vAlign w:val="center"/>
          </w:tcPr>
          <w:p w14:paraId="002B910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9.45 (1.47)</w:t>
            </w:r>
          </w:p>
        </w:tc>
        <w:tc>
          <w:tcPr>
            <w:tcW w:w="1743" w:type="dxa"/>
            <w:tcBorders>
              <w:top w:val="nil"/>
              <w:left w:val="nil"/>
              <w:bottom w:val="nil"/>
              <w:right w:val="nil"/>
            </w:tcBorders>
            <w:shd w:val="clear" w:color="000000" w:fill="FFFFFF"/>
            <w:noWrap/>
            <w:vAlign w:val="center"/>
          </w:tcPr>
          <w:p w14:paraId="0E99B99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12.32 (1.71)</w:t>
            </w:r>
          </w:p>
        </w:tc>
        <w:tc>
          <w:tcPr>
            <w:tcW w:w="1743" w:type="dxa"/>
            <w:tcBorders>
              <w:top w:val="nil"/>
              <w:left w:val="nil"/>
              <w:bottom w:val="nil"/>
              <w:right w:val="nil"/>
            </w:tcBorders>
            <w:shd w:val="clear" w:color="000000" w:fill="FFFFFF"/>
            <w:noWrap/>
            <w:vAlign w:val="center"/>
          </w:tcPr>
          <w:p w14:paraId="56BFB3A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14.45 (1.19)</w:t>
            </w:r>
          </w:p>
        </w:tc>
        <w:tc>
          <w:tcPr>
            <w:tcW w:w="1506" w:type="dxa"/>
            <w:tcBorders>
              <w:top w:val="nil"/>
              <w:left w:val="nil"/>
              <w:bottom w:val="nil"/>
              <w:right w:val="nil"/>
            </w:tcBorders>
            <w:shd w:val="clear" w:color="000000" w:fill="FFFFFF"/>
            <w:noWrap/>
            <w:vAlign w:val="center"/>
          </w:tcPr>
          <w:p w14:paraId="00FBFE6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1.78</w:t>
            </w:r>
          </w:p>
        </w:tc>
        <w:tc>
          <w:tcPr>
            <w:tcW w:w="1506" w:type="dxa"/>
            <w:tcBorders>
              <w:top w:val="nil"/>
              <w:left w:val="nil"/>
              <w:bottom w:val="nil"/>
              <w:right w:val="nil"/>
            </w:tcBorders>
            <w:shd w:val="clear" w:color="000000" w:fill="FFFFFF"/>
            <w:noWrap/>
            <w:vAlign w:val="center"/>
          </w:tcPr>
          <w:p w14:paraId="012CB7F0">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1.46</w:t>
            </w:r>
          </w:p>
        </w:tc>
        <w:tc>
          <w:tcPr>
            <w:tcW w:w="1508" w:type="dxa"/>
            <w:tcBorders>
              <w:top w:val="nil"/>
              <w:left w:val="nil"/>
              <w:bottom w:val="nil"/>
              <w:right w:val="nil"/>
            </w:tcBorders>
            <w:shd w:val="clear" w:color="000000" w:fill="FFFFFF"/>
            <w:noWrap/>
            <w:vAlign w:val="center"/>
          </w:tcPr>
          <w:p w14:paraId="21B0AB5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3.85</w:t>
            </w:r>
          </w:p>
        </w:tc>
      </w:tr>
      <w:tr w14:paraId="4D409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291" w:type="dxa"/>
            <w:tcBorders>
              <w:top w:val="nil"/>
              <w:left w:val="nil"/>
              <w:bottom w:val="nil"/>
              <w:right w:val="nil"/>
            </w:tcBorders>
            <w:shd w:val="clear" w:color="000000" w:fill="FFFFFF"/>
            <w:noWrap/>
            <w:vAlign w:val="center"/>
          </w:tcPr>
          <w:p w14:paraId="3D94B89C">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Organizational Learning and Continuous Improvement</w:t>
            </w:r>
          </w:p>
        </w:tc>
        <w:tc>
          <w:tcPr>
            <w:tcW w:w="1743" w:type="dxa"/>
            <w:tcBorders>
              <w:top w:val="nil"/>
              <w:left w:val="nil"/>
              <w:bottom w:val="nil"/>
              <w:right w:val="nil"/>
            </w:tcBorders>
            <w:shd w:val="clear" w:color="000000" w:fill="FFFFFF"/>
            <w:noWrap/>
            <w:vAlign w:val="center"/>
          </w:tcPr>
          <w:p w14:paraId="047E34A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9.23 (1.43)</w:t>
            </w:r>
          </w:p>
        </w:tc>
        <w:tc>
          <w:tcPr>
            <w:tcW w:w="1743" w:type="dxa"/>
            <w:tcBorders>
              <w:top w:val="nil"/>
              <w:left w:val="nil"/>
              <w:bottom w:val="nil"/>
              <w:right w:val="nil"/>
            </w:tcBorders>
            <w:shd w:val="clear" w:color="000000" w:fill="FFFFFF"/>
            <w:noWrap/>
            <w:vAlign w:val="center"/>
          </w:tcPr>
          <w:p w14:paraId="50EEA34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12.10 (1.64)</w:t>
            </w:r>
          </w:p>
        </w:tc>
        <w:tc>
          <w:tcPr>
            <w:tcW w:w="1743" w:type="dxa"/>
            <w:tcBorders>
              <w:top w:val="nil"/>
              <w:left w:val="nil"/>
              <w:bottom w:val="nil"/>
              <w:right w:val="nil"/>
            </w:tcBorders>
            <w:shd w:val="clear" w:color="000000" w:fill="FFFFFF"/>
            <w:noWrap/>
            <w:vAlign w:val="center"/>
          </w:tcPr>
          <w:p w14:paraId="6DA0163D">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14.40 (1.24)</w:t>
            </w:r>
          </w:p>
        </w:tc>
        <w:tc>
          <w:tcPr>
            <w:tcW w:w="1506" w:type="dxa"/>
            <w:tcBorders>
              <w:top w:val="nil"/>
              <w:left w:val="nil"/>
              <w:bottom w:val="nil"/>
              <w:right w:val="nil"/>
            </w:tcBorders>
            <w:shd w:val="clear" w:color="000000" w:fill="FFFFFF"/>
            <w:noWrap/>
            <w:vAlign w:val="center"/>
          </w:tcPr>
          <w:p w14:paraId="369D8C91">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1.84</w:t>
            </w:r>
          </w:p>
        </w:tc>
        <w:tc>
          <w:tcPr>
            <w:tcW w:w="1506" w:type="dxa"/>
            <w:tcBorders>
              <w:top w:val="nil"/>
              <w:left w:val="nil"/>
              <w:bottom w:val="nil"/>
              <w:right w:val="nil"/>
            </w:tcBorders>
            <w:shd w:val="clear" w:color="000000" w:fill="FFFFFF"/>
            <w:noWrap/>
            <w:vAlign w:val="center"/>
          </w:tcPr>
          <w:p w14:paraId="088241AA">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1.60</w:t>
            </w:r>
          </w:p>
        </w:tc>
        <w:tc>
          <w:tcPr>
            <w:tcW w:w="1508" w:type="dxa"/>
            <w:tcBorders>
              <w:top w:val="nil"/>
              <w:left w:val="nil"/>
              <w:bottom w:val="nil"/>
              <w:right w:val="nil"/>
            </w:tcBorders>
            <w:shd w:val="clear" w:color="000000" w:fill="FFFFFF"/>
            <w:noWrap/>
            <w:vAlign w:val="center"/>
          </w:tcPr>
          <w:p w14:paraId="69A4FCC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3.95</w:t>
            </w:r>
          </w:p>
        </w:tc>
      </w:tr>
      <w:tr w14:paraId="61B33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4291" w:type="dxa"/>
            <w:tcBorders>
              <w:top w:val="nil"/>
              <w:left w:val="nil"/>
              <w:bottom w:val="nil"/>
              <w:right w:val="nil"/>
            </w:tcBorders>
            <w:shd w:val="clear" w:color="000000" w:fill="FFFFFF"/>
            <w:noWrap/>
            <w:vAlign w:val="center"/>
          </w:tcPr>
          <w:p w14:paraId="3E017DA6">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Teamwork</w:t>
            </w:r>
          </w:p>
        </w:tc>
        <w:tc>
          <w:tcPr>
            <w:tcW w:w="1743" w:type="dxa"/>
            <w:tcBorders>
              <w:top w:val="nil"/>
              <w:left w:val="nil"/>
              <w:bottom w:val="nil"/>
              <w:right w:val="nil"/>
            </w:tcBorders>
            <w:shd w:val="clear" w:color="000000" w:fill="FFFFFF"/>
            <w:noWrap/>
            <w:vAlign w:val="center"/>
          </w:tcPr>
          <w:p w14:paraId="61F3C1A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9.56 (1.61)</w:t>
            </w:r>
          </w:p>
        </w:tc>
        <w:tc>
          <w:tcPr>
            <w:tcW w:w="1743" w:type="dxa"/>
            <w:tcBorders>
              <w:top w:val="nil"/>
              <w:left w:val="nil"/>
              <w:bottom w:val="nil"/>
              <w:right w:val="nil"/>
            </w:tcBorders>
            <w:shd w:val="clear" w:color="000000" w:fill="FFFFFF"/>
            <w:noWrap/>
            <w:vAlign w:val="center"/>
          </w:tcPr>
          <w:p w14:paraId="38BCF65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12.41 (1.57)</w:t>
            </w:r>
          </w:p>
        </w:tc>
        <w:tc>
          <w:tcPr>
            <w:tcW w:w="1743" w:type="dxa"/>
            <w:tcBorders>
              <w:top w:val="nil"/>
              <w:left w:val="nil"/>
              <w:bottom w:val="nil"/>
              <w:right w:val="nil"/>
            </w:tcBorders>
            <w:shd w:val="clear" w:color="000000" w:fill="FFFFFF"/>
            <w:noWrap/>
            <w:vAlign w:val="center"/>
          </w:tcPr>
          <w:p w14:paraId="4F5226A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14.41 (1.26)</w:t>
            </w:r>
          </w:p>
        </w:tc>
        <w:tc>
          <w:tcPr>
            <w:tcW w:w="1506" w:type="dxa"/>
            <w:tcBorders>
              <w:top w:val="nil"/>
              <w:left w:val="nil"/>
              <w:bottom w:val="nil"/>
              <w:right w:val="nil"/>
            </w:tcBorders>
            <w:shd w:val="clear" w:color="000000" w:fill="FFFFFF"/>
            <w:noWrap/>
            <w:vAlign w:val="center"/>
          </w:tcPr>
          <w:p w14:paraId="5A08792E">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1.80</w:t>
            </w:r>
          </w:p>
        </w:tc>
        <w:tc>
          <w:tcPr>
            <w:tcW w:w="1506" w:type="dxa"/>
            <w:tcBorders>
              <w:top w:val="nil"/>
              <w:left w:val="nil"/>
              <w:bottom w:val="nil"/>
              <w:right w:val="nil"/>
            </w:tcBorders>
            <w:shd w:val="clear" w:color="000000" w:fill="FFFFFF"/>
            <w:noWrap/>
            <w:vAlign w:val="center"/>
          </w:tcPr>
          <w:p w14:paraId="3A63675F">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1.42</w:t>
            </w:r>
          </w:p>
        </w:tc>
        <w:tc>
          <w:tcPr>
            <w:tcW w:w="1508" w:type="dxa"/>
            <w:tcBorders>
              <w:top w:val="nil"/>
              <w:left w:val="nil"/>
              <w:bottom w:val="nil"/>
              <w:right w:val="nil"/>
            </w:tcBorders>
            <w:shd w:val="clear" w:color="000000" w:fill="FFFFFF"/>
            <w:noWrap/>
            <w:vAlign w:val="center"/>
          </w:tcPr>
          <w:p w14:paraId="5937C52B">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3.47</w:t>
            </w:r>
          </w:p>
        </w:tc>
      </w:tr>
      <w:tr w14:paraId="23EAD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291" w:type="dxa"/>
            <w:tcBorders>
              <w:top w:val="nil"/>
              <w:left w:val="nil"/>
              <w:bottom w:val="nil"/>
              <w:right w:val="nil"/>
            </w:tcBorders>
            <w:shd w:val="clear" w:color="000000" w:fill="FFFFFF"/>
            <w:noWrap/>
            <w:vAlign w:val="center"/>
          </w:tcPr>
          <w:p w14:paraId="597F2AD9">
            <w:pPr>
              <w:keepNext w:val="0"/>
              <w:keepLines w:val="0"/>
              <w:widowControl/>
              <w:suppressLineNumbers w:val="0"/>
              <w:jc w:val="lef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Reporting Patient Safety Events</w:t>
            </w:r>
          </w:p>
        </w:tc>
        <w:tc>
          <w:tcPr>
            <w:tcW w:w="1743" w:type="dxa"/>
            <w:tcBorders>
              <w:top w:val="nil"/>
              <w:left w:val="nil"/>
              <w:bottom w:val="nil"/>
              <w:right w:val="nil"/>
            </w:tcBorders>
            <w:shd w:val="clear" w:color="000000" w:fill="FFFFFF"/>
            <w:noWrap/>
            <w:vAlign w:val="center"/>
          </w:tcPr>
          <w:p w14:paraId="499097F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6.28 (2.39)</w:t>
            </w:r>
          </w:p>
        </w:tc>
        <w:tc>
          <w:tcPr>
            <w:tcW w:w="1743" w:type="dxa"/>
            <w:tcBorders>
              <w:top w:val="nil"/>
              <w:left w:val="nil"/>
              <w:bottom w:val="nil"/>
              <w:right w:val="nil"/>
            </w:tcBorders>
            <w:shd w:val="clear" w:color="000000" w:fill="FFFFFF"/>
            <w:noWrap/>
            <w:vAlign w:val="center"/>
          </w:tcPr>
          <w:p w14:paraId="1AB597B7">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6.87 (2.22)</w:t>
            </w:r>
          </w:p>
        </w:tc>
        <w:tc>
          <w:tcPr>
            <w:tcW w:w="1743" w:type="dxa"/>
            <w:tcBorders>
              <w:top w:val="nil"/>
              <w:left w:val="nil"/>
              <w:bottom w:val="nil"/>
              <w:right w:val="nil"/>
            </w:tcBorders>
            <w:shd w:val="clear" w:color="000000" w:fill="FFFFFF"/>
            <w:noWrap/>
            <w:vAlign w:val="center"/>
          </w:tcPr>
          <w:p w14:paraId="36BEF95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7.86 (2.61)</w:t>
            </w:r>
          </w:p>
        </w:tc>
        <w:tc>
          <w:tcPr>
            <w:tcW w:w="1506" w:type="dxa"/>
            <w:tcBorders>
              <w:top w:val="nil"/>
              <w:left w:val="nil"/>
              <w:bottom w:val="nil"/>
              <w:right w:val="nil"/>
            </w:tcBorders>
            <w:shd w:val="clear" w:color="000000" w:fill="FFFFFF"/>
            <w:noWrap/>
            <w:vAlign w:val="center"/>
          </w:tcPr>
          <w:p w14:paraId="07BDC66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0.26</w:t>
            </w:r>
          </w:p>
        </w:tc>
        <w:tc>
          <w:tcPr>
            <w:tcW w:w="1506" w:type="dxa"/>
            <w:tcBorders>
              <w:top w:val="nil"/>
              <w:left w:val="nil"/>
              <w:bottom w:val="nil"/>
              <w:right w:val="nil"/>
            </w:tcBorders>
            <w:shd w:val="clear" w:color="000000" w:fill="FFFFFF"/>
            <w:noWrap/>
            <w:vAlign w:val="center"/>
          </w:tcPr>
          <w:p w14:paraId="37F8633C">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0.41</w:t>
            </w:r>
          </w:p>
        </w:tc>
        <w:tc>
          <w:tcPr>
            <w:tcW w:w="1508" w:type="dxa"/>
            <w:tcBorders>
              <w:top w:val="nil"/>
              <w:left w:val="nil"/>
              <w:bottom w:val="nil"/>
              <w:right w:val="nil"/>
            </w:tcBorders>
            <w:shd w:val="clear" w:color="000000" w:fill="FFFFFF"/>
            <w:noWrap/>
            <w:vAlign w:val="center"/>
          </w:tcPr>
          <w:p w14:paraId="7FD907D4">
            <w:pPr>
              <w:keepNext w:val="0"/>
              <w:keepLines w:val="0"/>
              <w:widowControl/>
              <w:suppressLineNumbers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0.62</w:t>
            </w:r>
          </w:p>
        </w:tc>
      </w:tr>
      <w:tr w14:paraId="0FB5A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jc w:val="center"/>
        </w:trPr>
        <w:tc>
          <w:tcPr>
            <w:tcW w:w="14040" w:type="dxa"/>
            <w:gridSpan w:val="7"/>
            <w:tcBorders>
              <w:top w:val="single" w:color="auto" w:sz="4" w:space="0"/>
              <w:left w:val="single" w:color="E7E6E6" w:sz="4" w:space="0"/>
              <w:bottom w:val="single" w:color="E7E6E6" w:sz="4" w:space="0"/>
              <w:right w:val="single" w:color="E7E6E6" w:sz="4" w:space="0"/>
            </w:tcBorders>
            <w:shd w:val="clear" w:color="000000" w:fill="FFFFFF"/>
            <w:vAlign w:val="top"/>
          </w:tcPr>
          <w:p w14:paraId="1A948F51">
            <w:pPr>
              <w:keepNext w:val="0"/>
              <w:keepLines w:val="0"/>
              <w:widowControl/>
              <w:suppressLineNumbers w:val="0"/>
              <w:jc w:val="left"/>
              <w:textAlignment w:val="top"/>
              <w:rPr>
                <w:rFonts w:hint="default" w:ascii="Times New Roman" w:hAnsi="Times New Roman" w:eastAsia="宋体" w:cs="Times New Roman"/>
                <w:i w:val="0"/>
                <w:iCs w:val="0"/>
                <w:color w:val="666666"/>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Note:</w:t>
            </w:r>
            <w:r>
              <w:rPr>
                <w:rFonts w:hint="eastAsia" w:ascii="Times New Roman" w:hAnsi="Times New Roman" w:eastAsia="宋体" w:cs="Times New Roman"/>
                <w:i w:val="0"/>
                <w:iCs w:val="0"/>
                <w:color w:val="auto"/>
                <w:kern w:val="0"/>
                <w:sz w:val="18"/>
                <w:szCs w:val="18"/>
                <w:u w:val="none"/>
                <w:lang w:val="en-US" w:eastAsia="zh-CN" w:bidi="ar"/>
              </w:rPr>
              <w:t xml:space="preserve"> </w:t>
            </w:r>
            <w:r>
              <w:rPr>
                <w:rFonts w:hint="default" w:ascii="Times New Roman" w:hAnsi="Times New Roman" w:eastAsia="宋体" w:cs="Times New Roman"/>
                <w:i w:val="0"/>
                <w:iCs w:val="0"/>
                <w:color w:val="auto"/>
                <w:kern w:val="0"/>
                <w:sz w:val="18"/>
                <w:szCs w:val="18"/>
                <w:u w:val="none"/>
                <w:lang w:val="en-US" w:eastAsia="zh-CN" w:bidi="ar"/>
              </w:rPr>
              <w:t>Cohen’s d was calculated as the difference between the mean of the higher-level profile and that of the lower-level profile, divided by the pooled within-profile standard deviation. Positive values indicate higher dimension scores in the higher-level profile. Estimates are descriptive and based on most-likely profile assignments. SD = standard deviation.</w:t>
            </w:r>
          </w:p>
        </w:tc>
      </w:tr>
    </w:tbl>
    <w:p w14:paraId="37F561B8">
      <w:pPr>
        <w:rPr>
          <w:rFonts w:ascii="Times New Roman" w:hAnsi="Times New Roman" w:eastAsia="宋体"/>
        </w:rPr>
      </w:pPr>
    </w:p>
    <w:p w14:paraId="0E590B97">
      <w:pPr>
        <w:rPr>
          <w:rFonts w:ascii="Times New Roman" w:hAnsi="Times New Roman" w:eastAsia="宋体"/>
        </w:rPr>
      </w:pPr>
    </w:p>
    <w:p w14:paraId="2A446E13">
      <w:pPr>
        <w:rPr>
          <w:rFonts w:ascii="Times New Roman" w:hAnsi="Times New Roman" w:eastAsia="宋体"/>
        </w:rPr>
      </w:pPr>
    </w:p>
    <w:tbl>
      <w:tblPr>
        <w:tblStyle w:val="3"/>
        <w:tblW w:w="1368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33"/>
        <w:gridCol w:w="4830"/>
        <w:gridCol w:w="2501"/>
        <w:gridCol w:w="1142"/>
        <w:gridCol w:w="630"/>
        <w:gridCol w:w="1710"/>
        <w:gridCol w:w="734"/>
      </w:tblGrid>
      <w:tr w14:paraId="4CE38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3680" w:type="dxa"/>
            <w:gridSpan w:val="7"/>
            <w:tcBorders>
              <w:bottom w:val="single" w:color="auto" w:sz="4" w:space="0"/>
            </w:tcBorders>
            <w:shd w:val="clear" w:color="auto" w:fill="auto"/>
            <w:vAlign w:val="center"/>
          </w:tcPr>
          <w:p w14:paraId="73CD4D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Table S2. Complete R3STEP multinomial logistic regression results for perceived patient safety culture profile membership.</w:t>
            </w:r>
          </w:p>
        </w:tc>
      </w:tr>
      <w:tr w14:paraId="517B0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tcBorders>
              <w:top w:val="single" w:color="auto" w:sz="4" w:space="0"/>
              <w:bottom w:val="single" w:color="auto" w:sz="4" w:space="0"/>
            </w:tcBorders>
            <w:shd w:val="clear" w:color="auto" w:fill="auto"/>
            <w:vAlign w:val="center"/>
          </w:tcPr>
          <w:p w14:paraId="3AF250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Profile comparison</w:t>
            </w:r>
          </w:p>
        </w:tc>
        <w:tc>
          <w:tcPr>
            <w:tcW w:w="4761" w:type="dxa"/>
            <w:tcBorders>
              <w:top w:val="single" w:color="auto" w:sz="4" w:space="0"/>
              <w:bottom w:val="single" w:color="auto" w:sz="4" w:space="0"/>
            </w:tcBorders>
            <w:shd w:val="clear" w:color="auto" w:fill="auto"/>
            <w:vAlign w:val="center"/>
          </w:tcPr>
          <w:p w14:paraId="62CB5B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Variable</w:t>
            </w:r>
          </w:p>
        </w:tc>
        <w:tc>
          <w:tcPr>
            <w:tcW w:w="2465" w:type="dxa"/>
            <w:tcBorders>
              <w:top w:val="single" w:color="auto" w:sz="4" w:space="0"/>
              <w:bottom w:val="single" w:color="auto" w:sz="4" w:space="0"/>
            </w:tcBorders>
            <w:shd w:val="clear" w:color="auto" w:fill="auto"/>
            <w:vAlign w:val="center"/>
          </w:tcPr>
          <w:p w14:paraId="660633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Category</w:t>
            </w:r>
          </w:p>
        </w:tc>
        <w:tc>
          <w:tcPr>
            <w:tcW w:w="1125" w:type="dxa"/>
            <w:tcBorders>
              <w:top w:val="single" w:color="auto" w:sz="4" w:space="0"/>
              <w:bottom w:val="single" w:color="auto" w:sz="4" w:space="0"/>
            </w:tcBorders>
            <w:shd w:val="clear" w:color="auto" w:fill="auto"/>
            <w:noWrap/>
            <w:vAlign w:val="center"/>
          </w:tcPr>
          <w:p w14:paraId="67E17E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w:t>
            </w:r>
          </w:p>
        </w:tc>
        <w:tc>
          <w:tcPr>
            <w:tcW w:w="0" w:type="auto"/>
            <w:tcBorders>
              <w:top w:val="single" w:color="auto" w:sz="4" w:space="0"/>
              <w:bottom w:val="single" w:color="auto" w:sz="4" w:space="0"/>
            </w:tcBorders>
            <w:shd w:val="clear" w:color="auto" w:fill="auto"/>
            <w:noWrap/>
            <w:vAlign w:val="center"/>
          </w:tcPr>
          <w:p w14:paraId="7D9BCB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SE</w:t>
            </w:r>
          </w:p>
        </w:tc>
        <w:tc>
          <w:tcPr>
            <w:tcW w:w="0" w:type="auto"/>
            <w:tcBorders>
              <w:top w:val="single" w:color="auto" w:sz="4" w:space="0"/>
              <w:bottom w:val="single" w:color="auto" w:sz="4" w:space="0"/>
            </w:tcBorders>
            <w:shd w:val="clear" w:color="auto" w:fill="auto"/>
            <w:noWrap/>
            <w:vAlign w:val="center"/>
          </w:tcPr>
          <w:p w14:paraId="6DE05B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OR (95% CI)</w:t>
            </w:r>
          </w:p>
        </w:tc>
        <w:tc>
          <w:tcPr>
            <w:tcW w:w="0" w:type="auto"/>
            <w:tcBorders>
              <w:top w:val="single" w:color="auto" w:sz="4" w:space="0"/>
              <w:bottom w:val="single" w:color="auto" w:sz="4" w:space="0"/>
            </w:tcBorders>
            <w:shd w:val="clear" w:color="auto" w:fill="auto"/>
            <w:noWrap/>
            <w:vAlign w:val="center"/>
          </w:tcPr>
          <w:p w14:paraId="7BDFBF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iCs/>
                <w:color w:val="000000"/>
                <w:kern w:val="0"/>
                <w:sz w:val="18"/>
                <w:szCs w:val="18"/>
                <w:u w:val="none"/>
                <w:lang w:val="en-US" w:eastAsia="zh-CN" w:bidi="ar"/>
              </w:rPr>
              <w:t>p</w:t>
            </w:r>
          </w:p>
        </w:tc>
      </w:tr>
      <w:tr w14:paraId="4A3B4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restart"/>
            <w:tcBorders>
              <w:top w:val="single" w:color="auto" w:sz="4" w:space="0"/>
            </w:tcBorders>
            <w:shd w:val="clear" w:color="auto" w:fill="auto"/>
            <w:vAlign w:val="center"/>
          </w:tcPr>
          <w:p w14:paraId="0DF4894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Low profile vs. </w:t>
            </w:r>
          </w:p>
          <w:p w14:paraId="7761B5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high profile</w:t>
            </w:r>
          </w:p>
        </w:tc>
        <w:tc>
          <w:tcPr>
            <w:tcW w:w="4761" w:type="dxa"/>
            <w:tcBorders>
              <w:top w:val="single" w:color="auto" w:sz="4" w:space="0"/>
            </w:tcBorders>
            <w:shd w:val="clear" w:color="auto" w:fill="auto"/>
            <w:vAlign w:val="center"/>
          </w:tcPr>
          <w:p w14:paraId="32D9C3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Gender (reference: Female)</w:t>
            </w:r>
          </w:p>
        </w:tc>
        <w:tc>
          <w:tcPr>
            <w:tcW w:w="2465" w:type="dxa"/>
            <w:tcBorders>
              <w:top w:val="single" w:color="auto" w:sz="4" w:space="0"/>
            </w:tcBorders>
            <w:shd w:val="clear" w:color="auto" w:fill="auto"/>
            <w:vAlign w:val="center"/>
          </w:tcPr>
          <w:p w14:paraId="602F31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Male</w:t>
            </w:r>
          </w:p>
        </w:tc>
        <w:tc>
          <w:tcPr>
            <w:tcW w:w="1125" w:type="dxa"/>
            <w:tcBorders>
              <w:top w:val="single" w:color="auto" w:sz="4" w:space="0"/>
            </w:tcBorders>
            <w:shd w:val="clear" w:color="auto" w:fill="auto"/>
            <w:noWrap/>
            <w:vAlign w:val="center"/>
          </w:tcPr>
          <w:p w14:paraId="5CDFAC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0.112 </w:t>
            </w:r>
          </w:p>
        </w:tc>
        <w:tc>
          <w:tcPr>
            <w:tcW w:w="0" w:type="auto"/>
            <w:tcBorders>
              <w:top w:val="single" w:color="auto" w:sz="4" w:space="0"/>
            </w:tcBorders>
            <w:shd w:val="clear" w:color="auto" w:fill="auto"/>
            <w:noWrap/>
            <w:vAlign w:val="center"/>
          </w:tcPr>
          <w:p w14:paraId="1CB120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0.180 </w:t>
            </w:r>
          </w:p>
        </w:tc>
        <w:tc>
          <w:tcPr>
            <w:tcW w:w="0" w:type="auto"/>
            <w:tcBorders>
              <w:top w:val="single" w:color="auto" w:sz="4" w:space="0"/>
            </w:tcBorders>
            <w:shd w:val="clear" w:color="auto" w:fill="auto"/>
            <w:noWrap/>
            <w:vAlign w:val="center"/>
          </w:tcPr>
          <w:p w14:paraId="7F1301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1.119 (0.786–1.592)</w:t>
            </w:r>
          </w:p>
        </w:tc>
        <w:tc>
          <w:tcPr>
            <w:tcW w:w="0" w:type="auto"/>
            <w:tcBorders>
              <w:top w:val="single" w:color="auto" w:sz="4" w:space="0"/>
            </w:tcBorders>
            <w:shd w:val="clear" w:color="auto" w:fill="auto"/>
            <w:noWrap/>
            <w:vAlign w:val="center"/>
          </w:tcPr>
          <w:p w14:paraId="777050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0.534 </w:t>
            </w:r>
          </w:p>
        </w:tc>
      </w:tr>
      <w:tr w14:paraId="7CC8F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4E13EB06">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386C7F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Age (years) (reference: ≤25)</w:t>
            </w:r>
          </w:p>
        </w:tc>
        <w:tc>
          <w:tcPr>
            <w:tcW w:w="2465" w:type="dxa"/>
            <w:shd w:val="clear" w:color="auto" w:fill="auto"/>
            <w:vAlign w:val="center"/>
          </w:tcPr>
          <w:p w14:paraId="0382B8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26–35</w:t>
            </w:r>
          </w:p>
        </w:tc>
        <w:tc>
          <w:tcPr>
            <w:tcW w:w="1125" w:type="dxa"/>
            <w:shd w:val="clear" w:color="auto" w:fill="auto"/>
            <w:noWrap/>
            <w:vAlign w:val="center"/>
          </w:tcPr>
          <w:p w14:paraId="18F0A3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-0.126 </w:t>
            </w:r>
          </w:p>
        </w:tc>
        <w:tc>
          <w:tcPr>
            <w:tcW w:w="0" w:type="auto"/>
            <w:shd w:val="clear" w:color="auto" w:fill="auto"/>
            <w:noWrap/>
            <w:vAlign w:val="center"/>
          </w:tcPr>
          <w:p w14:paraId="6BAD93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0.150 </w:t>
            </w:r>
          </w:p>
        </w:tc>
        <w:tc>
          <w:tcPr>
            <w:tcW w:w="0" w:type="auto"/>
            <w:shd w:val="clear" w:color="auto" w:fill="auto"/>
            <w:noWrap/>
            <w:vAlign w:val="center"/>
          </w:tcPr>
          <w:p w14:paraId="5899AF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0.882 (0.657–1.183)</w:t>
            </w:r>
          </w:p>
        </w:tc>
        <w:tc>
          <w:tcPr>
            <w:tcW w:w="0" w:type="auto"/>
            <w:shd w:val="clear" w:color="auto" w:fill="auto"/>
            <w:noWrap/>
            <w:vAlign w:val="center"/>
          </w:tcPr>
          <w:p w14:paraId="7DBEB8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0.401 </w:t>
            </w:r>
          </w:p>
        </w:tc>
      </w:tr>
      <w:tr w14:paraId="638F3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71C4BC03">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5D2C37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Age (years) (reference: ≤25)</w:t>
            </w:r>
          </w:p>
        </w:tc>
        <w:tc>
          <w:tcPr>
            <w:tcW w:w="2465" w:type="dxa"/>
            <w:shd w:val="clear" w:color="auto" w:fill="auto"/>
            <w:vAlign w:val="center"/>
          </w:tcPr>
          <w:p w14:paraId="735828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36–45</w:t>
            </w:r>
          </w:p>
        </w:tc>
        <w:tc>
          <w:tcPr>
            <w:tcW w:w="1125" w:type="dxa"/>
            <w:shd w:val="clear" w:color="auto" w:fill="auto"/>
            <w:noWrap/>
            <w:vAlign w:val="center"/>
          </w:tcPr>
          <w:p w14:paraId="3DD335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0.222 </w:t>
            </w:r>
          </w:p>
        </w:tc>
        <w:tc>
          <w:tcPr>
            <w:tcW w:w="0" w:type="auto"/>
            <w:shd w:val="clear" w:color="auto" w:fill="auto"/>
            <w:noWrap/>
            <w:vAlign w:val="center"/>
          </w:tcPr>
          <w:p w14:paraId="76709E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0.200 </w:t>
            </w:r>
          </w:p>
        </w:tc>
        <w:tc>
          <w:tcPr>
            <w:tcW w:w="0" w:type="auto"/>
            <w:shd w:val="clear" w:color="auto" w:fill="auto"/>
            <w:noWrap/>
            <w:vAlign w:val="center"/>
          </w:tcPr>
          <w:p w14:paraId="3B9564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1.249 (0.844–1.848)</w:t>
            </w:r>
          </w:p>
        </w:tc>
        <w:tc>
          <w:tcPr>
            <w:tcW w:w="0" w:type="auto"/>
            <w:shd w:val="clear" w:color="auto" w:fill="auto"/>
            <w:noWrap/>
            <w:vAlign w:val="center"/>
          </w:tcPr>
          <w:p w14:paraId="4AA1A2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0.267 </w:t>
            </w:r>
          </w:p>
        </w:tc>
      </w:tr>
      <w:tr w14:paraId="3BE91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7BE6D054">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22869F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Age (years) (reference: ≤25)</w:t>
            </w:r>
          </w:p>
        </w:tc>
        <w:tc>
          <w:tcPr>
            <w:tcW w:w="2465" w:type="dxa"/>
            <w:shd w:val="clear" w:color="auto" w:fill="auto"/>
            <w:vAlign w:val="center"/>
          </w:tcPr>
          <w:p w14:paraId="79D6A5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w:t>
            </w:r>
          </w:p>
        </w:tc>
        <w:tc>
          <w:tcPr>
            <w:tcW w:w="1125" w:type="dxa"/>
            <w:shd w:val="clear" w:color="auto" w:fill="auto"/>
            <w:noWrap/>
            <w:vAlign w:val="center"/>
          </w:tcPr>
          <w:p w14:paraId="71BFD7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-0.384 </w:t>
            </w:r>
          </w:p>
        </w:tc>
        <w:tc>
          <w:tcPr>
            <w:tcW w:w="0" w:type="auto"/>
            <w:shd w:val="clear" w:color="auto" w:fill="auto"/>
            <w:noWrap/>
            <w:vAlign w:val="center"/>
          </w:tcPr>
          <w:p w14:paraId="29F61F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0.280 </w:t>
            </w:r>
          </w:p>
        </w:tc>
        <w:tc>
          <w:tcPr>
            <w:tcW w:w="0" w:type="auto"/>
            <w:shd w:val="clear" w:color="auto" w:fill="auto"/>
            <w:noWrap/>
            <w:vAlign w:val="center"/>
          </w:tcPr>
          <w:p w14:paraId="786782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0.681 (0.393–1.179)</w:t>
            </w:r>
          </w:p>
        </w:tc>
        <w:tc>
          <w:tcPr>
            <w:tcW w:w="0" w:type="auto"/>
            <w:shd w:val="clear" w:color="auto" w:fill="auto"/>
            <w:noWrap/>
            <w:vAlign w:val="center"/>
          </w:tcPr>
          <w:p w14:paraId="0FE3AB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0.170 </w:t>
            </w:r>
          </w:p>
        </w:tc>
      </w:tr>
      <w:tr w14:paraId="0539D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141CCB8C">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13C9DA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Work experience (years) (reference: ≤5)</w:t>
            </w:r>
          </w:p>
        </w:tc>
        <w:tc>
          <w:tcPr>
            <w:tcW w:w="2465" w:type="dxa"/>
            <w:shd w:val="clear" w:color="auto" w:fill="auto"/>
            <w:vAlign w:val="center"/>
          </w:tcPr>
          <w:p w14:paraId="4D090C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6–10</w:t>
            </w:r>
          </w:p>
        </w:tc>
        <w:tc>
          <w:tcPr>
            <w:tcW w:w="1125" w:type="dxa"/>
            <w:shd w:val="clear" w:color="auto" w:fill="auto"/>
            <w:noWrap/>
            <w:vAlign w:val="center"/>
          </w:tcPr>
          <w:p w14:paraId="5D9A5A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0.072 </w:t>
            </w:r>
          </w:p>
        </w:tc>
        <w:tc>
          <w:tcPr>
            <w:tcW w:w="0" w:type="auto"/>
            <w:shd w:val="clear" w:color="auto" w:fill="auto"/>
            <w:noWrap/>
            <w:vAlign w:val="center"/>
          </w:tcPr>
          <w:p w14:paraId="7F48A6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0.160 </w:t>
            </w:r>
          </w:p>
        </w:tc>
        <w:tc>
          <w:tcPr>
            <w:tcW w:w="0" w:type="auto"/>
            <w:shd w:val="clear" w:color="auto" w:fill="auto"/>
            <w:noWrap/>
            <w:vAlign w:val="center"/>
          </w:tcPr>
          <w:p w14:paraId="5EB25C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1.075 (0.785–1.470)</w:t>
            </w:r>
          </w:p>
        </w:tc>
        <w:tc>
          <w:tcPr>
            <w:tcW w:w="0" w:type="auto"/>
            <w:shd w:val="clear" w:color="auto" w:fill="auto"/>
            <w:noWrap/>
            <w:vAlign w:val="center"/>
          </w:tcPr>
          <w:p w14:paraId="5B1758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0.653 </w:t>
            </w:r>
          </w:p>
        </w:tc>
      </w:tr>
      <w:tr w14:paraId="46CC0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19623681">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7E1C59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Work experience (years) (reference: ≤5)</w:t>
            </w:r>
          </w:p>
        </w:tc>
        <w:tc>
          <w:tcPr>
            <w:tcW w:w="2465" w:type="dxa"/>
            <w:shd w:val="clear" w:color="auto" w:fill="auto"/>
            <w:vAlign w:val="center"/>
          </w:tcPr>
          <w:p w14:paraId="2F8E27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11–15</w:t>
            </w:r>
          </w:p>
        </w:tc>
        <w:tc>
          <w:tcPr>
            <w:tcW w:w="1125" w:type="dxa"/>
            <w:shd w:val="clear" w:color="auto" w:fill="auto"/>
            <w:noWrap/>
            <w:vAlign w:val="center"/>
          </w:tcPr>
          <w:p w14:paraId="4CB687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0.293 </w:t>
            </w:r>
          </w:p>
        </w:tc>
        <w:tc>
          <w:tcPr>
            <w:tcW w:w="0" w:type="auto"/>
            <w:shd w:val="clear" w:color="auto" w:fill="auto"/>
            <w:noWrap/>
            <w:vAlign w:val="center"/>
          </w:tcPr>
          <w:p w14:paraId="02CF9F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0.190 </w:t>
            </w:r>
          </w:p>
        </w:tc>
        <w:tc>
          <w:tcPr>
            <w:tcW w:w="0" w:type="auto"/>
            <w:shd w:val="clear" w:color="auto" w:fill="auto"/>
            <w:noWrap/>
            <w:vAlign w:val="center"/>
          </w:tcPr>
          <w:p w14:paraId="42284E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1.340 (0.924–1.945)</w:t>
            </w:r>
          </w:p>
        </w:tc>
        <w:tc>
          <w:tcPr>
            <w:tcW w:w="0" w:type="auto"/>
            <w:shd w:val="clear" w:color="auto" w:fill="auto"/>
            <w:noWrap/>
            <w:vAlign w:val="center"/>
          </w:tcPr>
          <w:p w14:paraId="430C00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0.123 </w:t>
            </w:r>
          </w:p>
        </w:tc>
      </w:tr>
      <w:tr w14:paraId="47DA0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3843A7B5">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10B173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Work experience (years) (reference: ≤5)</w:t>
            </w:r>
          </w:p>
        </w:tc>
        <w:tc>
          <w:tcPr>
            <w:tcW w:w="2465" w:type="dxa"/>
            <w:shd w:val="clear" w:color="auto" w:fill="auto"/>
            <w:vAlign w:val="center"/>
          </w:tcPr>
          <w:p w14:paraId="748753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16–20</w:t>
            </w:r>
          </w:p>
        </w:tc>
        <w:tc>
          <w:tcPr>
            <w:tcW w:w="1125" w:type="dxa"/>
            <w:shd w:val="clear" w:color="auto" w:fill="auto"/>
            <w:noWrap/>
            <w:vAlign w:val="center"/>
          </w:tcPr>
          <w:p w14:paraId="24292F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-0.166 </w:t>
            </w:r>
          </w:p>
        </w:tc>
        <w:tc>
          <w:tcPr>
            <w:tcW w:w="0" w:type="auto"/>
            <w:shd w:val="clear" w:color="auto" w:fill="auto"/>
            <w:noWrap/>
            <w:vAlign w:val="center"/>
          </w:tcPr>
          <w:p w14:paraId="4CB73E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0.240 </w:t>
            </w:r>
          </w:p>
        </w:tc>
        <w:tc>
          <w:tcPr>
            <w:tcW w:w="0" w:type="auto"/>
            <w:shd w:val="clear" w:color="auto" w:fill="auto"/>
            <w:noWrap/>
            <w:vAlign w:val="center"/>
          </w:tcPr>
          <w:p w14:paraId="150929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0.847 (0.529–1.356)</w:t>
            </w:r>
          </w:p>
        </w:tc>
        <w:tc>
          <w:tcPr>
            <w:tcW w:w="0" w:type="auto"/>
            <w:shd w:val="clear" w:color="auto" w:fill="auto"/>
            <w:noWrap/>
            <w:vAlign w:val="center"/>
          </w:tcPr>
          <w:p w14:paraId="7D5928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0.489 </w:t>
            </w:r>
          </w:p>
        </w:tc>
      </w:tr>
      <w:tr w14:paraId="7BD0E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24725C1C">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553736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Work experience (years) (reference: ≤5)</w:t>
            </w:r>
          </w:p>
        </w:tc>
        <w:tc>
          <w:tcPr>
            <w:tcW w:w="2465" w:type="dxa"/>
            <w:shd w:val="clear" w:color="auto" w:fill="auto"/>
            <w:vAlign w:val="center"/>
          </w:tcPr>
          <w:p w14:paraId="4D8287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1125" w:type="dxa"/>
            <w:shd w:val="clear" w:color="auto" w:fill="auto"/>
            <w:noWrap/>
            <w:vAlign w:val="center"/>
          </w:tcPr>
          <w:p w14:paraId="5A7D03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0.315 </w:t>
            </w:r>
          </w:p>
        </w:tc>
        <w:tc>
          <w:tcPr>
            <w:tcW w:w="0" w:type="auto"/>
            <w:shd w:val="clear" w:color="auto" w:fill="auto"/>
            <w:noWrap/>
            <w:vAlign w:val="center"/>
          </w:tcPr>
          <w:p w14:paraId="6978CD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0.260 </w:t>
            </w:r>
          </w:p>
        </w:tc>
        <w:tc>
          <w:tcPr>
            <w:tcW w:w="0" w:type="auto"/>
            <w:shd w:val="clear" w:color="auto" w:fill="auto"/>
            <w:noWrap/>
            <w:vAlign w:val="center"/>
          </w:tcPr>
          <w:p w14:paraId="34B600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1.370 (0.823–2.281)</w:t>
            </w:r>
          </w:p>
        </w:tc>
        <w:tc>
          <w:tcPr>
            <w:tcW w:w="0" w:type="auto"/>
            <w:shd w:val="clear" w:color="auto" w:fill="auto"/>
            <w:noWrap/>
            <w:vAlign w:val="center"/>
          </w:tcPr>
          <w:p w14:paraId="17CAB4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0.226 </w:t>
            </w:r>
          </w:p>
        </w:tc>
      </w:tr>
      <w:tr w14:paraId="2D900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1627E3F9">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5B652C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Marital status (reference: Unmarried)</w:t>
            </w:r>
          </w:p>
        </w:tc>
        <w:tc>
          <w:tcPr>
            <w:tcW w:w="2465" w:type="dxa"/>
            <w:shd w:val="clear" w:color="auto" w:fill="auto"/>
            <w:vAlign w:val="center"/>
          </w:tcPr>
          <w:p w14:paraId="2695F8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Married</w:t>
            </w:r>
          </w:p>
        </w:tc>
        <w:tc>
          <w:tcPr>
            <w:tcW w:w="1125" w:type="dxa"/>
            <w:shd w:val="clear" w:color="auto" w:fill="auto"/>
            <w:noWrap/>
            <w:vAlign w:val="center"/>
          </w:tcPr>
          <w:p w14:paraId="6444EE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-0.259 </w:t>
            </w:r>
          </w:p>
        </w:tc>
        <w:tc>
          <w:tcPr>
            <w:tcW w:w="0" w:type="auto"/>
            <w:shd w:val="clear" w:color="auto" w:fill="auto"/>
            <w:noWrap/>
            <w:vAlign w:val="center"/>
          </w:tcPr>
          <w:p w14:paraId="11F430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0.160 </w:t>
            </w:r>
          </w:p>
        </w:tc>
        <w:tc>
          <w:tcPr>
            <w:tcW w:w="0" w:type="auto"/>
            <w:shd w:val="clear" w:color="auto" w:fill="auto"/>
            <w:noWrap/>
            <w:vAlign w:val="center"/>
          </w:tcPr>
          <w:p w14:paraId="37700D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0.772 (0.564–1.056)</w:t>
            </w:r>
          </w:p>
        </w:tc>
        <w:tc>
          <w:tcPr>
            <w:tcW w:w="0" w:type="auto"/>
            <w:shd w:val="clear" w:color="auto" w:fill="auto"/>
            <w:noWrap/>
            <w:vAlign w:val="center"/>
          </w:tcPr>
          <w:p w14:paraId="7DCAD7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0.106 </w:t>
            </w:r>
          </w:p>
        </w:tc>
      </w:tr>
      <w:tr w14:paraId="0DC73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68BB1DC8">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1F738F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Marital status (reference: Unmarried)</w:t>
            </w:r>
          </w:p>
        </w:tc>
        <w:tc>
          <w:tcPr>
            <w:tcW w:w="2465" w:type="dxa"/>
            <w:shd w:val="clear" w:color="auto" w:fill="auto"/>
            <w:vAlign w:val="center"/>
          </w:tcPr>
          <w:p w14:paraId="446FCC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Divorced or widowed</w:t>
            </w:r>
          </w:p>
        </w:tc>
        <w:tc>
          <w:tcPr>
            <w:tcW w:w="1125" w:type="dxa"/>
            <w:shd w:val="clear" w:color="auto" w:fill="auto"/>
            <w:noWrap/>
            <w:vAlign w:val="center"/>
          </w:tcPr>
          <w:p w14:paraId="6AB6B8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0.399 </w:t>
            </w:r>
          </w:p>
        </w:tc>
        <w:tc>
          <w:tcPr>
            <w:tcW w:w="0" w:type="auto"/>
            <w:shd w:val="clear" w:color="auto" w:fill="auto"/>
            <w:noWrap/>
            <w:vAlign w:val="center"/>
          </w:tcPr>
          <w:p w14:paraId="5A4360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0.420 </w:t>
            </w:r>
          </w:p>
        </w:tc>
        <w:tc>
          <w:tcPr>
            <w:tcW w:w="0" w:type="auto"/>
            <w:shd w:val="clear" w:color="auto" w:fill="auto"/>
            <w:noWrap/>
            <w:vAlign w:val="center"/>
          </w:tcPr>
          <w:p w14:paraId="63E9A6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1.490 (0.654–3.395)</w:t>
            </w:r>
          </w:p>
        </w:tc>
        <w:tc>
          <w:tcPr>
            <w:tcW w:w="0" w:type="auto"/>
            <w:shd w:val="clear" w:color="auto" w:fill="auto"/>
            <w:noWrap/>
            <w:vAlign w:val="center"/>
          </w:tcPr>
          <w:p w14:paraId="5EC31B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0.342 </w:t>
            </w:r>
          </w:p>
        </w:tc>
      </w:tr>
      <w:tr w14:paraId="45C28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6388705F">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2986FA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Professional title (reference: Junior level)</w:t>
            </w:r>
          </w:p>
        </w:tc>
        <w:tc>
          <w:tcPr>
            <w:tcW w:w="2465" w:type="dxa"/>
            <w:shd w:val="clear" w:color="auto" w:fill="auto"/>
            <w:vAlign w:val="center"/>
          </w:tcPr>
          <w:p w14:paraId="72398B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Intermediate level</w:t>
            </w:r>
          </w:p>
        </w:tc>
        <w:tc>
          <w:tcPr>
            <w:tcW w:w="1125" w:type="dxa"/>
            <w:shd w:val="clear" w:color="auto" w:fill="auto"/>
            <w:noWrap/>
            <w:vAlign w:val="center"/>
          </w:tcPr>
          <w:p w14:paraId="5474C8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0.027 </w:t>
            </w:r>
          </w:p>
        </w:tc>
        <w:tc>
          <w:tcPr>
            <w:tcW w:w="0" w:type="auto"/>
            <w:shd w:val="clear" w:color="auto" w:fill="auto"/>
            <w:noWrap/>
            <w:vAlign w:val="center"/>
          </w:tcPr>
          <w:p w14:paraId="1EB5F5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0.150 </w:t>
            </w:r>
          </w:p>
        </w:tc>
        <w:tc>
          <w:tcPr>
            <w:tcW w:w="0" w:type="auto"/>
            <w:shd w:val="clear" w:color="auto" w:fill="auto"/>
            <w:noWrap/>
            <w:vAlign w:val="center"/>
          </w:tcPr>
          <w:p w14:paraId="78AC72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1.027 (0.766–1.379)</w:t>
            </w:r>
          </w:p>
        </w:tc>
        <w:tc>
          <w:tcPr>
            <w:tcW w:w="0" w:type="auto"/>
            <w:shd w:val="clear" w:color="auto" w:fill="auto"/>
            <w:noWrap/>
            <w:vAlign w:val="center"/>
          </w:tcPr>
          <w:p w14:paraId="2C9F88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0.857 </w:t>
            </w:r>
          </w:p>
        </w:tc>
      </w:tr>
      <w:tr w14:paraId="1585C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3284140A">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09A664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Professional title (reference: Junior level)</w:t>
            </w:r>
          </w:p>
        </w:tc>
        <w:tc>
          <w:tcPr>
            <w:tcW w:w="2465" w:type="dxa"/>
            <w:shd w:val="clear" w:color="auto" w:fill="auto"/>
            <w:vAlign w:val="center"/>
          </w:tcPr>
          <w:p w14:paraId="64FF04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Associate senior title or above</w:t>
            </w:r>
          </w:p>
        </w:tc>
        <w:tc>
          <w:tcPr>
            <w:tcW w:w="1125" w:type="dxa"/>
            <w:shd w:val="clear" w:color="auto" w:fill="auto"/>
            <w:noWrap/>
            <w:vAlign w:val="center"/>
          </w:tcPr>
          <w:p w14:paraId="55477A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-0.307 </w:t>
            </w:r>
          </w:p>
        </w:tc>
        <w:tc>
          <w:tcPr>
            <w:tcW w:w="0" w:type="auto"/>
            <w:shd w:val="clear" w:color="auto" w:fill="auto"/>
            <w:noWrap/>
            <w:vAlign w:val="center"/>
          </w:tcPr>
          <w:p w14:paraId="4E4164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0.240 </w:t>
            </w:r>
          </w:p>
        </w:tc>
        <w:tc>
          <w:tcPr>
            <w:tcW w:w="0" w:type="auto"/>
            <w:shd w:val="clear" w:color="auto" w:fill="auto"/>
            <w:noWrap/>
            <w:vAlign w:val="center"/>
          </w:tcPr>
          <w:p w14:paraId="6AD3E9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0.736 (0.460–1.178)</w:t>
            </w:r>
          </w:p>
        </w:tc>
        <w:tc>
          <w:tcPr>
            <w:tcW w:w="0" w:type="auto"/>
            <w:shd w:val="clear" w:color="auto" w:fill="auto"/>
            <w:noWrap/>
            <w:vAlign w:val="center"/>
          </w:tcPr>
          <w:p w14:paraId="6CFECA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0.201 </w:t>
            </w:r>
          </w:p>
        </w:tc>
      </w:tr>
      <w:tr w14:paraId="233EC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2904CD69">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2DE8D6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Education (reference: Junior college degree and below)</w:t>
            </w:r>
          </w:p>
        </w:tc>
        <w:tc>
          <w:tcPr>
            <w:tcW w:w="2465" w:type="dxa"/>
            <w:shd w:val="clear" w:color="auto" w:fill="auto"/>
            <w:vAlign w:val="center"/>
          </w:tcPr>
          <w:p w14:paraId="75F236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Bachelor's degree</w:t>
            </w:r>
          </w:p>
        </w:tc>
        <w:tc>
          <w:tcPr>
            <w:tcW w:w="1125" w:type="dxa"/>
            <w:shd w:val="clear" w:color="auto" w:fill="auto"/>
            <w:noWrap/>
            <w:vAlign w:val="center"/>
          </w:tcPr>
          <w:p w14:paraId="3D076F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0.227 </w:t>
            </w:r>
          </w:p>
        </w:tc>
        <w:tc>
          <w:tcPr>
            <w:tcW w:w="0" w:type="auto"/>
            <w:shd w:val="clear" w:color="auto" w:fill="auto"/>
            <w:noWrap/>
            <w:vAlign w:val="center"/>
          </w:tcPr>
          <w:p w14:paraId="370CB0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0.160 </w:t>
            </w:r>
          </w:p>
        </w:tc>
        <w:tc>
          <w:tcPr>
            <w:tcW w:w="0" w:type="auto"/>
            <w:shd w:val="clear" w:color="auto" w:fill="auto"/>
            <w:noWrap/>
            <w:vAlign w:val="center"/>
          </w:tcPr>
          <w:p w14:paraId="5BC749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1.255 (0.917–1.717)</w:t>
            </w:r>
          </w:p>
        </w:tc>
        <w:tc>
          <w:tcPr>
            <w:tcW w:w="0" w:type="auto"/>
            <w:shd w:val="clear" w:color="auto" w:fill="auto"/>
            <w:noWrap/>
            <w:vAlign w:val="center"/>
          </w:tcPr>
          <w:p w14:paraId="26E7FD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0.156 </w:t>
            </w:r>
          </w:p>
        </w:tc>
      </w:tr>
      <w:tr w14:paraId="589AF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07A0C10E">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490079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Education (reference: Junior college degree and below)</w:t>
            </w:r>
          </w:p>
        </w:tc>
        <w:tc>
          <w:tcPr>
            <w:tcW w:w="2465" w:type="dxa"/>
            <w:shd w:val="clear" w:color="auto" w:fill="auto"/>
            <w:vAlign w:val="center"/>
          </w:tcPr>
          <w:p w14:paraId="262583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Master's degree and above</w:t>
            </w:r>
          </w:p>
        </w:tc>
        <w:tc>
          <w:tcPr>
            <w:tcW w:w="1125" w:type="dxa"/>
            <w:shd w:val="clear" w:color="auto" w:fill="auto"/>
            <w:noWrap/>
            <w:vAlign w:val="center"/>
          </w:tcPr>
          <w:p w14:paraId="769221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-0.174 </w:t>
            </w:r>
          </w:p>
        </w:tc>
        <w:tc>
          <w:tcPr>
            <w:tcW w:w="0" w:type="auto"/>
            <w:shd w:val="clear" w:color="auto" w:fill="auto"/>
            <w:noWrap/>
            <w:vAlign w:val="center"/>
          </w:tcPr>
          <w:p w14:paraId="4F30C6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0.310 </w:t>
            </w:r>
          </w:p>
        </w:tc>
        <w:tc>
          <w:tcPr>
            <w:tcW w:w="0" w:type="auto"/>
            <w:shd w:val="clear" w:color="auto" w:fill="auto"/>
            <w:noWrap/>
            <w:vAlign w:val="center"/>
          </w:tcPr>
          <w:p w14:paraId="58C2E4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0.840 (0.458–1.543)</w:t>
            </w:r>
          </w:p>
        </w:tc>
        <w:tc>
          <w:tcPr>
            <w:tcW w:w="0" w:type="auto"/>
            <w:shd w:val="clear" w:color="auto" w:fill="auto"/>
            <w:noWrap/>
            <w:vAlign w:val="center"/>
          </w:tcPr>
          <w:p w14:paraId="466C20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0.575 </w:t>
            </w:r>
          </w:p>
        </w:tc>
      </w:tr>
      <w:tr w14:paraId="40172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66D37BB0">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525E25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quality during the past week (reference: Poor)</w:t>
            </w:r>
          </w:p>
        </w:tc>
        <w:tc>
          <w:tcPr>
            <w:tcW w:w="2465" w:type="dxa"/>
            <w:shd w:val="clear" w:color="auto" w:fill="auto"/>
            <w:vAlign w:val="center"/>
          </w:tcPr>
          <w:p w14:paraId="47DCF5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Fair</w:t>
            </w:r>
          </w:p>
        </w:tc>
        <w:tc>
          <w:tcPr>
            <w:tcW w:w="1125" w:type="dxa"/>
            <w:shd w:val="clear" w:color="auto" w:fill="auto"/>
            <w:noWrap/>
            <w:vAlign w:val="center"/>
          </w:tcPr>
          <w:p w14:paraId="7C6952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-0.646 </w:t>
            </w:r>
          </w:p>
        </w:tc>
        <w:tc>
          <w:tcPr>
            <w:tcW w:w="0" w:type="auto"/>
            <w:shd w:val="clear" w:color="auto" w:fill="auto"/>
            <w:noWrap/>
            <w:vAlign w:val="center"/>
          </w:tcPr>
          <w:p w14:paraId="089CA6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0.139 </w:t>
            </w:r>
          </w:p>
        </w:tc>
        <w:tc>
          <w:tcPr>
            <w:tcW w:w="0" w:type="auto"/>
            <w:shd w:val="clear" w:color="auto" w:fill="auto"/>
            <w:noWrap/>
            <w:vAlign w:val="center"/>
          </w:tcPr>
          <w:p w14:paraId="542F7A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0.524 (0.399–0.688)</w:t>
            </w:r>
          </w:p>
        </w:tc>
        <w:tc>
          <w:tcPr>
            <w:tcW w:w="0" w:type="auto"/>
            <w:shd w:val="clear" w:color="auto" w:fill="auto"/>
            <w:noWrap/>
            <w:vAlign w:val="center"/>
          </w:tcPr>
          <w:p w14:paraId="238945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14:paraId="445F8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717CF5CE">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450FAB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quality during the past week (reference: Poor)</w:t>
            </w:r>
          </w:p>
        </w:tc>
        <w:tc>
          <w:tcPr>
            <w:tcW w:w="2465" w:type="dxa"/>
            <w:shd w:val="clear" w:color="auto" w:fill="auto"/>
            <w:vAlign w:val="center"/>
          </w:tcPr>
          <w:p w14:paraId="08E9A7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Good</w:t>
            </w:r>
          </w:p>
        </w:tc>
        <w:tc>
          <w:tcPr>
            <w:tcW w:w="1125" w:type="dxa"/>
            <w:shd w:val="clear" w:color="auto" w:fill="auto"/>
            <w:noWrap/>
            <w:vAlign w:val="center"/>
          </w:tcPr>
          <w:p w14:paraId="6B2AC4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-1.134 </w:t>
            </w:r>
          </w:p>
        </w:tc>
        <w:tc>
          <w:tcPr>
            <w:tcW w:w="0" w:type="auto"/>
            <w:shd w:val="clear" w:color="auto" w:fill="auto"/>
            <w:noWrap/>
            <w:vAlign w:val="center"/>
          </w:tcPr>
          <w:p w14:paraId="30DD5D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0.198 </w:t>
            </w:r>
          </w:p>
        </w:tc>
        <w:tc>
          <w:tcPr>
            <w:tcW w:w="0" w:type="auto"/>
            <w:shd w:val="clear" w:color="auto" w:fill="auto"/>
            <w:noWrap/>
            <w:vAlign w:val="center"/>
          </w:tcPr>
          <w:p w14:paraId="10F275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0.322 (0.218–0.474)</w:t>
            </w:r>
          </w:p>
        </w:tc>
        <w:tc>
          <w:tcPr>
            <w:tcW w:w="0" w:type="auto"/>
            <w:shd w:val="clear" w:color="auto" w:fill="auto"/>
            <w:noWrap/>
            <w:vAlign w:val="center"/>
          </w:tcPr>
          <w:p w14:paraId="1416A1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14:paraId="69442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7805E660">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1C0387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Frequency of workplace violence (reference: 0)</w:t>
            </w:r>
          </w:p>
        </w:tc>
        <w:tc>
          <w:tcPr>
            <w:tcW w:w="2465" w:type="dxa"/>
            <w:shd w:val="clear" w:color="auto" w:fill="auto"/>
            <w:vAlign w:val="center"/>
          </w:tcPr>
          <w:p w14:paraId="0ABD62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1125" w:type="dxa"/>
            <w:shd w:val="clear" w:color="auto" w:fill="auto"/>
            <w:noWrap/>
            <w:vAlign w:val="center"/>
          </w:tcPr>
          <w:p w14:paraId="78B349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0.110 </w:t>
            </w:r>
          </w:p>
        </w:tc>
        <w:tc>
          <w:tcPr>
            <w:tcW w:w="0" w:type="auto"/>
            <w:shd w:val="clear" w:color="auto" w:fill="auto"/>
            <w:noWrap/>
            <w:vAlign w:val="center"/>
          </w:tcPr>
          <w:p w14:paraId="12C192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0.150 </w:t>
            </w:r>
          </w:p>
        </w:tc>
        <w:tc>
          <w:tcPr>
            <w:tcW w:w="0" w:type="auto"/>
            <w:shd w:val="clear" w:color="auto" w:fill="auto"/>
            <w:noWrap/>
            <w:vAlign w:val="center"/>
          </w:tcPr>
          <w:p w14:paraId="4A1E3D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1.116 (0.832–1.498)</w:t>
            </w:r>
          </w:p>
        </w:tc>
        <w:tc>
          <w:tcPr>
            <w:tcW w:w="0" w:type="auto"/>
            <w:shd w:val="clear" w:color="auto" w:fill="auto"/>
            <w:noWrap/>
            <w:vAlign w:val="center"/>
          </w:tcPr>
          <w:p w14:paraId="08C672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0.463 </w:t>
            </w:r>
          </w:p>
        </w:tc>
      </w:tr>
      <w:tr w14:paraId="40DF9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49FA2EA6">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228F86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Frequency of workplace violence (reference: 0)</w:t>
            </w:r>
          </w:p>
        </w:tc>
        <w:tc>
          <w:tcPr>
            <w:tcW w:w="2465" w:type="dxa"/>
            <w:shd w:val="clear" w:color="auto" w:fill="auto"/>
            <w:vAlign w:val="center"/>
          </w:tcPr>
          <w:p w14:paraId="05DAB7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w:t>
            </w:r>
          </w:p>
        </w:tc>
        <w:tc>
          <w:tcPr>
            <w:tcW w:w="1125" w:type="dxa"/>
            <w:shd w:val="clear" w:color="auto" w:fill="auto"/>
            <w:noWrap/>
            <w:vAlign w:val="center"/>
          </w:tcPr>
          <w:p w14:paraId="491009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-0.168 </w:t>
            </w:r>
          </w:p>
        </w:tc>
        <w:tc>
          <w:tcPr>
            <w:tcW w:w="0" w:type="auto"/>
            <w:shd w:val="clear" w:color="auto" w:fill="auto"/>
            <w:noWrap/>
            <w:vAlign w:val="center"/>
          </w:tcPr>
          <w:p w14:paraId="3FFF15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0.160 </w:t>
            </w:r>
          </w:p>
        </w:tc>
        <w:tc>
          <w:tcPr>
            <w:tcW w:w="0" w:type="auto"/>
            <w:shd w:val="clear" w:color="auto" w:fill="auto"/>
            <w:noWrap/>
            <w:vAlign w:val="center"/>
          </w:tcPr>
          <w:p w14:paraId="4A832B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0.845 (0.618–1.157)</w:t>
            </w:r>
          </w:p>
        </w:tc>
        <w:tc>
          <w:tcPr>
            <w:tcW w:w="0" w:type="auto"/>
            <w:shd w:val="clear" w:color="auto" w:fill="auto"/>
            <w:noWrap/>
            <w:vAlign w:val="center"/>
          </w:tcPr>
          <w:p w14:paraId="44EF61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0.294 </w:t>
            </w:r>
          </w:p>
        </w:tc>
      </w:tr>
      <w:tr w14:paraId="10E70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27FAE878">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2584E2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Frequency of workplace violence (reference: 0)</w:t>
            </w:r>
          </w:p>
        </w:tc>
        <w:tc>
          <w:tcPr>
            <w:tcW w:w="2465" w:type="dxa"/>
            <w:shd w:val="clear" w:color="auto" w:fill="auto"/>
            <w:vAlign w:val="center"/>
          </w:tcPr>
          <w:p w14:paraId="171EA5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1125" w:type="dxa"/>
            <w:shd w:val="clear" w:color="auto" w:fill="auto"/>
            <w:noWrap/>
            <w:vAlign w:val="center"/>
          </w:tcPr>
          <w:p w14:paraId="2A5CC3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0.293 </w:t>
            </w:r>
          </w:p>
        </w:tc>
        <w:tc>
          <w:tcPr>
            <w:tcW w:w="0" w:type="auto"/>
            <w:shd w:val="clear" w:color="auto" w:fill="auto"/>
            <w:noWrap/>
            <w:vAlign w:val="center"/>
          </w:tcPr>
          <w:p w14:paraId="53B508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0.220 </w:t>
            </w:r>
          </w:p>
        </w:tc>
        <w:tc>
          <w:tcPr>
            <w:tcW w:w="0" w:type="auto"/>
            <w:shd w:val="clear" w:color="auto" w:fill="auto"/>
            <w:noWrap/>
            <w:vAlign w:val="center"/>
          </w:tcPr>
          <w:p w14:paraId="0D5FB2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1.340 (0.871–2.063)</w:t>
            </w:r>
          </w:p>
        </w:tc>
        <w:tc>
          <w:tcPr>
            <w:tcW w:w="0" w:type="auto"/>
            <w:shd w:val="clear" w:color="auto" w:fill="auto"/>
            <w:noWrap/>
            <w:vAlign w:val="center"/>
          </w:tcPr>
          <w:p w14:paraId="4D8B5B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0.183 </w:t>
            </w:r>
          </w:p>
        </w:tc>
      </w:tr>
      <w:tr w14:paraId="3ECE2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1CD72660">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772E4F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Weekly working hours (reference: ≤40 h)</w:t>
            </w:r>
          </w:p>
        </w:tc>
        <w:tc>
          <w:tcPr>
            <w:tcW w:w="2465" w:type="dxa"/>
            <w:shd w:val="clear" w:color="auto" w:fill="auto"/>
            <w:vAlign w:val="center"/>
          </w:tcPr>
          <w:p w14:paraId="66A0E5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41–50 h</w:t>
            </w:r>
          </w:p>
        </w:tc>
        <w:tc>
          <w:tcPr>
            <w:tcW w:w="1125" w:type="dxa"/>
            <w:shd w:val="clear" w:color="auto" w:fill="auto"/>
            <w:noWrap/>
            <w:vAlign w:val="center"/>
          </w:tcPr>
          <w:p w14:paraId="4C3140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-0.043 </w:t>
            </w:r>
          </w:p>
        </w:tc>
        <w:tc>
          <w:tcPr>
            <w:tcW w:w="0" w:type="auto"/>
            <w:shd w:val="clear" w:color="auto" w:fill="auto"/>
            <w:noWrap/>
            <w:vAlign w:val="center"/>
          </w:tcPr>
          <w:p w14:paraId="7DF152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0.140 </w:t>
            </w:r>
          </w:p>
        </w:tc>
        <w:tc>
          <w:tcPr>
            <w:tcW w:w="0" w:type="auto"/>
            <w:shd w:val="clear" w:color="auto" w:fill="auto"/>
            <w:noWrap/>
            <w:vAlign w:val="center"/>
          </w:tcPr>
          <w:p w14:paraId="2EF68A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0.958 (0.728–1.260)</w:t>
            </w:r>
          </w:p>
        </w:tc>
        <w:tc>
          <w:tcPr>
            <w:tcW w:w="0" w:type="auto"/>
            <w:shd w:val="clear" w:color="auto" w:fill="auto"/>
            <w:noWrap/>
            <w:vAlign w:val="center"/>
          </w:tcPr>
          <w:p w14:paraId="08F5C9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0.759 </w:t>
            </w:r>
          </w:p>
        </w:tc>
      </w:tr>
      <w:tr w14:paraId="75025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264C517B">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1DE102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Weekly working hours (reference: ≤40 h)</w:t>
            </w:r>
          </w:p>
        </w:tc>
        <w:tc>
          <w:tcPr>
            <w:tcW w:w="2465" w:type="dxa"/>
            <w:shd w:val="clear" w:color="auto" w:fill="auto"/>
            <w:vAlign w:val="center"/>
          </w:tcPr>
          <w:p w14:paraId="50CD26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 h</w:t>
            </w:r>
          </w:p>
        </w:tc>
        <w:tc>
          <w:tcPr>
            <w:tcW w:w="1125" w:type="dxa"/>
            <w:shd w:val="clear" w:color="auto" w:fill="auto"/>
            <w:noWrap/>
            <w:vAlign w:val="center"/>
          </w:tcPr>
          <w:p w14:paraId="0C1117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0.284 </w:t>
            </w:r>
          </w:p>
        </w:tc>
        <w:tc>
          <w:tcPr>
            <w:tcW w:w="0" w:type="auto"/>
            <w:shd w:val="clear" w:color="auto" w:fill="auto"/>
            <w:noWrap/>
            <w:vAlign w:val="center"/>
          </w:tcPr>
          <w:p w14:paraId="319630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0.180 </w:t>
            </w:r>
          </w:p>
        </w:tc>
        <w:tc>
          <w:tcPr>
            <w:tcW w:w="0" w:type="auto"/>
            <w:shd w:val="clear" w:color="auto" w:fill="auto"/>
            <w:noWrap/>
            <w:vAlign w:val="center"/>
          </w:tcPr>
          <w:p w14:paraId="04EE64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1.328 (0.934–1.890)</w:t>
            </w:r>
          </w:p>
        </w:tc>
        <w:tc>
          <w:tcPr>
            <w:tcW w:w="0" w:type="auto"/>
            <w:shd w:val="clear" w:color="auto" w:fill="auto"/>
            <w:noWrap/>
            <w:vAlign w:val="center"/>
          </w:tcPr>
          <w:p w14:paraId="1FFF3A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0.115 </w:t>
            </w:r>
          </w:p>
        </w:tc>
      </w:tr>
      <w:tr w14:paraId="75FB0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46CD6BD6">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2B779B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Nursing practice environment (reference: Good)</w:t>
            </w:r>
          </w:p>
        </w:tc>
        <w:tc>
          <w:tcPr>
            <w:tcW w:w="2465" w:type="dxa"/>
            <w:shd w:val="clear" w:color="auto" w:fill="auto"/>
            <w:vAlign w:val="center"/>
          </w:tcPr>
          <w:p w14:paraId="76DD72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Fair</w:t>
            </w:r>
          </w:p>
        </w:tc>
        <w:tc>
          <w:tcPr>
            <w:tcW w:w="1125" w:type="dxa"/>
            <w:shd w:val="clear" w:color="auto" w:fill="auto"/>
            <w:noWrap/>
            <w:vAlign w:val="center"/>
          </w:tcPr>
          <w:p w14:paraId="131BF0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0.764 </w:t>
            </w:r>
          </w:p>
        </w:tc>
        <w:tc>
          <w:tcPr>
            <w:tcW w:w="0" w:type="auto"/>
            <w:shd w:val="clear" w:color="auto" w:fill="auto"/>
            <w:noWrap/>
            <w:vAlign w:val="center"/>
          </w:tcPr>
          <w:p w14:paraId="28A34B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0.239 </w:t>
            </w:r>
          </w:p>
        </w:tc>
        <w:tc>
          <w:tcPr>
            <w:tcW w:w="0" w:type="auto"/>
            <w:shd w:val="clear" w:color="auto" w:fill="auto"/>
            <w:noWrap/>
            <w:vAlign w:val="center"/>
          </w:tcPr>
          <w:p w14:paraId="17B8E0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2.146 (1.343–3.430)</w:t>
            </w:r>
          </w:p>
        </w:tc>
        <w:tc>
          <w:tcPr>
            <w:tcW w:w="0" w:type="auto"/>
            <w:shd w:val="clear" w:color="auto" w:fill="auto"/>
            <w:noWrap/>
            <w:vAlign w:val="center"/>
          </w:tcPr>
          <w:p w14:paraId="6512FF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0.001 </w:t>
            </w:r>
          </w:p>
        </w:tc>
      </w:tr>
      <w:tr w14:paraId="2047D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63EA2424">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59D1F0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Nursing practice environment (reference: Good)</w:t>
            </w:r>
          </w:p>
        </w:tc>
        <w:tc>
          <w:tcPr>
            <w:tcW w:w="2465" w:type="dxa"/>
            <w:shd w:val="clear" w:color="auto" w:fill="auto"/>
            <w:vAlign w:val="center"/>
          </w:tcPr>
          <w:p w14:paraId="7ABE5A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Poor</w:t>
            </w:r>
          </w:p>
        </w:tc>
        <w:tc>
          <w:tcPr>
            <w:tcW w:w="1125" w:type="dxa"/>
            <w:shd w:val="clear" w:color="auto" w:fill="auto"/>
            <w:noWrap/>
            <w:vAlign w:val="center"/>
          </w:tcPr>
          <w:p w14:paraId="68E359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0.892 </w:t>
            </w:r>
          </w:p>
        </w:tc>
        <w:tc>
          <w:tcPr>
            <w:tcW w:w="0" w:type="auto"/>
            <w:shd w:val="clear" w:color="auto" w:fill="auto"/>
            <w:noWrap/>
            <w:vAlign w:val="center"/>
          </w:tcPr>
          <w:p w14:paraId="31B8C5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0.264 </w:t>
            </w:r>
          </w:p>
        </w:tc>
        <w:tc>
          <w:tcPr>
            <w:tcW w:w="0" w:type="auto"/>
            <w:shd w:val="clear" w:color="auto" w:fill="auto"/>
            <w:noWrap/>
            <w:vAlign w:val="center"/>
          </w:tcPr>
          <w:p w14:paraId="2E1BC3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2.440 (1.454–4.094)</w:t>
            </w:r>
          </w:p>
        </w:tc>
        <w:tc>
          <w:tcPr>
            <w:tcW w:w="0" w:type="auto"/>
            <w:shd w:val="clear" w:color="auto" w:fill="auto"/>
            <w:noWrap/>
            <w:vAlign w:val="center"/>
          </w:tcPr>
          <w:p w14:paraId="486538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14:paraId="7AA6A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60AAE46E">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7E0DB4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Nursing care quality in the department (reference: Poor)</w:t>
            </w:r>
          </w:p>
        </w:tc>
        <w:tc>
          <w:tcPr>
            <w:tcW w:w="2465" w:type="dxa"/>
            <w:shd w:val="clear" w:color="auto" w:fill="auto"/>
            <w:vAlign w:val="center"/>
          </w:tcPr>
          <w:p w14:paraId="224A8B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Fair</w:t>
            </w:r>
          </w:p>
        </w:tc>
        <w:tc>
          <w:tcPr>
            <w:tcW w:w="1125" w:type="dxa"/>
            <w:shd w:val="clear" w:color="auto" w:fill="auto"/>
            <w:noWrap/>
            <w:vAlign w:val="center"/>
          </w:tcPr>
          <w:p w14:paraId="2002C5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-1.904 </w:t>
            </w:r>
          </w:p>
        </w:tc>
        <w:tc>
          <w:tcPr>
            <w:tcW w:w="0" w:type="auto"/>
            <w:shd w:val="clear" w:color="auto" w:fill="auto"/>
            <w:noWrap/>
            <w:vAlign w:val="center"/>
          </w:tcPr>
          <w:p w14:paraId="1FD1EE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0.364 </w:t>
            </w:r>
          </w:p>
        </w:tc>
        <w:tc>
          <w:tcPr>
            <w:tcW w:w="0" w:type="auto"/>
            <w:shd w:val="clear" w:color="auto" w:fill="auto"/>
            <w:noWrap/>
            <w:vAlign w:val="center"/>
          </w:tcPr>
          <w:p w14:paraId="3F23D4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0.149 (0.073–0.304)</w:t>
            </w:r>
          </w:p>
        </w:tc>
        <w:tc>
          <w:tcPr>
            <w:tcW w:w="0" w:type="auto"/>
            <w:shd w:val="clear" w:color="auto" w:fill="auto"/>
            <w:noWrap/>
            <w:vAlign w:val="center"/>
          </w:tcPr>
          <w:p w14:paraId="416C4A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14:paraId="083AA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01FA0494">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09195D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Nursing care quality in the department (reference: Poor)</w:t>
            </w:r>
          </w:p>
        </w:tc>
        <w:tc>
          <w:tcPr>
            <w:tcW w:w="2465" w:type="dxa"/>
            <w:shd w:val="clear" w:color="auto" w:fill="auto"/>
            <w:vAlign w:val="center"/>
          </w:tcPr>
          <w:p w14:paraId="4ECA3C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Good</w:t>
            </w:r>
          </w:p>
        </w:tc>
        <w:tc>
          <w:tcPr>
            <w:tcW w:w="1125" w:type="dxa"/>
            <w:shd w:val="clear" w:color="auto" w:fill="auto"/>
            <w:noWrap/>
            <w:vAlign w:val="center"/>
          </w:tcPr>
          <w:p w14:paraId="6214A5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-2.666 </w:t>
            </w:r>
          </w:p>
        </w:tc>
        <w:tc>
          <w:tcPr>
            <w:tcW w:w="0" w:type="auto"/>
            <w:shd w:val="clear" w:color="auto" w:fill="auto"/>
            <w:noWrap/>
            <w:vAlign w:val="center"/>
          </w:tcPr>
          <w:p w14:paraId="5DF629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0.365 </w:t>
            </w:r>
          </w:p>
        </w:tc>
        <w:tc>
          <w:tcPr>
            <w:tcW w:w="0" w:type="auto"/>
            <w:shd w:val="clear" w:color="auto" w:fill="auto"/>
            <w:noWrap/>
            <w:vAlign w:val="center"/>
          </w:tcPr>
          <w:p w14:paraId="3BBF1C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0.070 (0.034–0.142)</w:t>
            </w:r>
          </w:p>
        </w:tc>
        <w:tc>
          <w:tcPr>
            <w:tcW w:w="0" w:type="auto"/>
            <w:shd w:val="clear" w:color="auto" w:fill="auto"/>
            <w:noWrap/>
            <w:vAlign w:val="center"/>
          </w:tcPr>
          <w:p w14:paraId="5C02ED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14:paraId="3C658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73BAC9C3">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05485E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Physical and mental health score</w:t>
            </w:r>
          </w:p>
        </w:tc>
        <w:tc>
          <w:tcPr>
            <w:tcW w:w="2465" w:type="dxa"/>
            <w:shd w:val="clear" w:color="auto" w:fill="auto"/>
            <w:vAlign w:val="center"/>
          </w:tcPr>
          <w:p w14:paraId="44CE473D">
            <w:pPr>
              <w:jc w:val="center"/>
              <w:rPr>
                <w:rFonts w:hint="default" w:ascii="Times New Roman" w:hAnsi="Times New Roman" w:eastAsia="宋体" w:cs="Times New Roman"/>
                <w:i w:val="0"/>
                <w:iCs w:val="0"/>
                <w:color w:val="000000"/>
                <w:sz w:val="18"/>
                <w:szCs w:val="18"/>
                <w:u w:val="none"/>
              </w:rPr>
            </w:pPr>
          </w:p>
        </w:tc>
        <w:tc>
          <w:tcPr>
            <w:tcW w:w="1125" w:type="dxa"/>
            <w:shd w:val="clear" w:color="auto" w:fill="auto"/>
            <w:noWrap/>
            <w:vAlign w:val="center"/>
          </w:tcPr>
          <w:p w14:paraId="1E933B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-0.067 </w:t>
            </w:r>
          </w:p>
        </w:tc>
        <w:tc>
          <w:tcPr>
            <w:tcW w:w="0" w:type="auto"/>
            <w:shd w:val="clear" w:color="auto" w:fill="auto"/>
            <w:noWrap/>
            <w:vAlign w:val="center"/>
          </w:tcPr>
          <w:p w14:paraId="332C03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0.006 </w:t>
            </w:r>
          </w:p>
        </w:tc>
        <w:tc>
          <w:tcPr>
            <w:tcW w:w="0" w:type="auto"/>
            <w:shd w:val="clear" w:color="auto" w:fill="auto"/>
            <w:noWrap/>
            <w:vAlign w:val="center"/>
          </w:tcPr>
          <w:p w14:paraId="42426C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0.935 (0.925–0.946)</w:t>
            </w:r>
          </w:p>
        </w:tc>
        <w:tc>
          <w:tcPr>
            <w:tcW w:w="0" w:type="auto"/>
            <w:shd w:val="clear" w:color="auto" w:fill="auto"/>
            <w:noWrap/>
            <w:vAlign w:val="center"/>
          </w:tcPr>
          <w:p w14:paraId="2980FE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14:paraId="7F077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66B2DB06">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258921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Missed nursing care score</w:t>
            </w:r>
          </w:p>
        </w:tc>
        <w:tc>
          <w:tcPr>
            <w:tcW w:w="2465" w:type="dxa"/>
            <w:shd w:val="clear" w:color="auto" w:fill="auto"/>
            <w:vAlign w:val="center"/>
          </w:tcPr>
          <w:p w14:paraId="2661665D">
            <w:pPr>
              <w:jc w:val="center"/>
              <w:rPr>
                <w:rFonts w:hint="default" w:ascii="Times New Roman" w:hAnsi="Times New Roman" w:eastAsia="宋体" w:cs="Times New Roman"/>
                <w:i w:val="0"/>
                <w:iCs w:val="0"/>
                <w:color w:val="000000"/>
                <w:sz w:val="18"/>
                <w:szCs w:val="18"/>
                <w:u w:val="none"/>
              </w:rPr>
            </w:pPr>
          </w:p>
        </w:tc>
        <w:tc>
          <w:tcPr>
            <w:tcW w:w="1125" w:type="dxa"/>
            <w:shd w:val="clear" w:color="auto" w:fill="auto"/>
            <w:noWrap/>
            <w:vAlign w:val="center"/>
          </w:tcPr>
          <w:p w14:paraId="2AF6CD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0.031 </w:t>
            </w:r>
          </w:p>
        </w:tc>
        <w:tc>
          <w:tcPr>
            <w:tcW w:w="0" w:type="auto"/>
            <w:shd w:val="clear" w:color="auto" w:fill="auto"/>
            <w:noWrap/>
            <w:vAlign w:val="center"/>
          </w:tcPr>
          <w:p w14:paraId="2FDC98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0.005 </w:t>
            </w:r>
          </w:p>
        </w:tc>
        <w:tc>
          <w:tcPr>
            <w:tcW w:w="0" w:type="auto"/>
            <w:shd w:val="clear" w:color="auto" w:fill="auto"/>
            <w:noWrap/>
            <w:vAlign w:val="center"/>
          </w:tcPr>
          <w:p w14:paraId="76E0FF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1.031 (1.022–1.041)</w:t>
            </w:r>
          </w:p>
        </w:tc>
        <w:tc>
          <w:tcPr>
            <w:tcW w:w="0" w:type="auto"/>
            <w:shd w:val="clear" w:color="auto" w:fill="auto"/>
            <w:noWrap/>
            <w:vAlign w:val="center"/>
          </w:tcPr>
          <w:p w14:paraId="69ADCE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14:paraId="30338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restart"/>
            <w:shd w:val="clear" w:color="auto" w:fill="auto"/>
            <w:vAlign w:val="center"/>
          </w:tcPr>
          <w:p w14:paraId="10CE196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 xml:space="preserve">Moderate profile vs. </w:t>
            </w:r>
          </w:p>
          <w:p w14:paraId="64D548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high profile</w:t>
            </w:r>
          </w:p>
        </w:tc>
        <w:tc>
          <w:tcPr>
            <w:tcW w:w="4761" w:type="dxa"/>
            <w:shd w:val="clear" w:color="auto" w:fill="auto"/>
            <w:vAlign w:val="center"/>
          </w:tcPr>
          <w:p w14:paraId="520FDD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Gender (reference: Female)</w:t>
            </w:r>
          </w:p>
        </w:tc>
        <w:tc>
          <w:tcPr>
            <w:tcW w:w="2465" w:type="dxa"/>
            <w:shd w:val="clear" w:color="auto" w:fill="auto"/>
            <w:vAlign w:val="center"/>
          </w:tcPr>
          <w:p w14:paraId="6F019F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Male</w:t>
            </w:r>
          </w:p>
        </w:tc>
        <w:tc>
          <w:tcPr>
            <w:tcW w:w="1125" w:type="dxa"/>
            <w:shd w:val="clear" w:color="auto" w:fill="auto"/>
            <w:noWrap/>
            <w:vAlign w:val="center"/>
          </w:tcPr>
          <w:p w14:paraId="4A0C2A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-0.086 </w:t>
            </w:r>
          </w:p>
        </w:tc>
        <w:tc>
          <w:tcPr>
            <w:tcW w:w="0" w:type="auto"/>
            <w:shd w:val="clear" w:color="auto" w:fill="auto"/>
            <w:noWrap/>
            <w:vAlign w:val="center"/>
          </w:tcPr>
          <w:p w14:paraId="1879EA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0.180 </w:t>
            </w:r>
          </w:p>
        </w:tc>
        <w:tc>
          <w:tcPr>
            <w:tcW w:w="0" w:type="auto"/>
            <w:shd w:val="clear" w:color="auto" w:fill="auto"/>
            <w:noWrap/>
            <w:vAlign w:val="center"/>
          </w:tcPr>
          <w:p w14:paraId="28A4F3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0.918 (0.645–1.306)</w:t>
            </w:r>
          </w:p>
        </w:tc>
        <w:tc>
          <w:tcPr>
            <w:tcW w:w="0" w:type="auto"/>
            <w:shd w:val="clear" w:color="auto" w:fill="auto"/>
            <w:noWrap/>
            <w:vAlign w:val="center"/>
          </w:tcPr>
          <w:p w14:paraId="10EE43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0.633 </w:t>
            </w:r>
          </w:p>
        </w:tc>
      </w:tr>
      <w:tr w14:paraId="558D1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27E80C99">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28B778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Age (years) (reference: ≤25)</w:t>
            </w:r>
          </w:p>
        </w:tc>
        <w:tc>
          <w:tcPr>
            <w:tcW w:w="2465" w:type="dxa"/>
            <w:shd w:val="clear" w:color="auto" w:fill="auto"/>
            <w:vAlign w:val="center"/>
          </w:tcPr>
          <w:p w14:paraId="4674F3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26–35</w:t>
            </w:r>
          </w:p>
        </w:tc>
        <w:tc>
          <w:tcPr>
            <w:tcW w:w="1125" w:type="dxa"/>
            <w:shd w:val="clear" w:color="auto" w:fill="auto"/>
            <w:noWrap/>
            <w:vAlign w:val="center"/>
          </w:tcPr>
          <w:p w14:paraId="1A2643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0.186 </w:t>
            </w:r>
          </w:p>
        </w:tc>
        <w:tc>
          <w:tcPr>
            <w:tcW w:w="0" w:type="auto"/>
            <w:shd w:val="clear" w:color="auto" w:fill="auto"/>
            <w:noWrap/>
            <w:vAlign w:val="center"/>
          </w:tcPr>
          <w:p w14:paraId="4E93F4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0.150 </w:t>
            </w:r>
          </w:p>
        </w:tc>
        <w:tc>
          <w:tcPr>
            <w:tcW w:w="0" w:type="auto"/>
            <w:shd w:val="clear" w:color="auto" w:fill="auto"/>
            <w:noWrap/>
            <w:vAlign w:val="center"/>
          </w:tcPr>
          <w:p w14:paraId="368D9A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1.204 (0.898–1.616)</w:t>
            </w:r>
          </w:p>
        </w:tc>
        <w:tc>
          <w:tcPr>
            <w:tcW w:w="0" w:type="auto"/>
            <w:shd w:val="clear" w:color="auto" w:fill="auto"/>
            <w:noWrap/>
            <w:vAlign w:val="center"/>
          </w:tcPr>
          <w:p w14:paraId="0327CB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0.215 </w:t>
            </w:r>
          </w:p>
        </w:tc>
      </w:tr>
      <w:tr w14:paraId="148A4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298FAD25">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449EB4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Age (years) (reference: ≤25)</w:t>
            </w:r>
          </w:p>
        </w:tc>
        <w:tc>
          <w:tcPr>
            <w:tcW w:w="2465" w:type="dxa"/>
            <w:shd w:val="clear" w:color="auto" w:fill="auto"/>
            <w:vAlign w:val="center"/>
          </w:tcPr>
          <w:p w14:paraId="0552CD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36–45</w:t>
            </w:r>
          </w:p>
        </w:tc>
        <w:tc>
          <w:tcPr>
            <w:tcW w:w="1125" w:type="dxa"/>
            <w:shd w:val="clear" w:color="auto" w:fill="auto"/>
            <w:noWrap/>
            <w:vAlign w:val="center"/>
          </w:tcPr>
          <w:p w14:paraId="159718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-0.152 </w:t>
            </w:r>
          </w:p>
        </w:tc>
        <w:tc>
          <w:tcPr>
            <w:tcW w:w="0" w:type="auto"/>
            <w:shd w:val="clear" w:color="auto" w:fill="auto"/>
            <w:noWrap/>
            <w:vAlign w:val="center"/>
          </w:tcPr>
          <w:p w14:paraId="0EF405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0.200 </w:t>
            </w:r>
          </w:p>
        </w:tc>
        <w:tc>
          <w:tcPr>
            <w:tcW w:w="0" w:type="auto"/>
            <w:shd w:val="clear" w:color="auto" w:fill="auto"/>
            <w:noWrap/>
            <w:vAlign w:val="center"/>
          </w:tcPr>
          <w:p w14:paraId="65DD6F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0.859 (0.580–1.271)</w:t>
            </w:r>
          </w:p>
        </w:tc>
        <w:tc>
          <w:tcPr>
            <w:tcW w:w="0" w:type="auto"/>
            <w:shd w:val="clear" w:color="auto" w:fill="auto"/>
            <w:noWrap/>
            <w:vAlign w:val="center"/>
          </w:tcPr>
          <w:p w14:paraId="05BBA5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0.447 </w:t>
            </w:r>
          </w:p>
        </w:tc>
      </w:tr>
      <w:tr w14:paraId="08E84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2920BB9C">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69DEEC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Age (years) (reference: ≤25)</w:t>
            </w:r>
          </w:p>
        </w:tc>
        <w:tc>
          <w:tcPr>
            <w:tcW w:w="2465" w:type="dxa"/>
            <w:shd w:val="clear" w:color="auto" w:fill="auto"/>
            <w:vAlign w:val="center"/>
          </w:tcPr>
          <w:p w14:paraId="408380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w:t>
            </w:r>
          </w:p>
        </w:tc>
        <w:tc>
          <w:tcPr>
            <w:tcW w:w="1125" w:type="dxa"/>
            <w:shd w:val="clear" w:color="auto" w:fill="auto"/>
            <w:noWrap/>
            <w:vAlign w:val="center"/>
          </w:tcPr>
          <w:p w14:paraId="697E65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0.423 </w:t>
            </w:r>
          </w:p>
        </w:tc>
        <w:tc>
          <w:tcPr>
            <w:tcW w:w="0" w:type="auto"/>
            <w:shd w:val="clear" w:color="auto" w:fill="auto"/>
            <w:noWrap/>
            <w:vAlign w:val="center"/>
          </w:tcPr>
          <w:p w14:paraId="3A4575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0.280 </w:t>
            </w:r>
          </w:p>
        </w:tc>
        <w:tc>
          <w:tcPr>
            <w:tcW w:w="0" w:type="auto"/>
            <w:shd w:val="clear" w:color="auto" w:fill="auto"/>
            <w:noWrap/>
            <w:vAlign w:val="center"/>
          </w:tcPr>
          <w:p w14:paraId="0A2EAB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1.527 (0.882–2.643)</w:t>
            </w:r>
          </w:p>
        </w:tc>
        <w:tc>
          <w:tcPr>
            <w:tcW w:w="0" w:type="auto"/>
            <w:shd w:val="clear" w:color="auto" w:fill="auto"/>
            <w:noWrap/>
            <w:vAlign w:val="center"/>
          </w:tcPr>
          <w:p w14:paraId="19CF9B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0.131 </w:t>
            </w:r>
          </w:p>
        </w:tc>
      </w:tr>
      <w:tr w14:paraId="098DF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3BBC0B35">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144645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Work experience (years) (reference: ≤5)</w:t>
            </w:r>
          </w:p>
        </w:tc>
        <w:tc>
          <w:tcPr>
            <w:tcW w:w="2465" w:type="dxa"/>
            <w:shd w:val="clear" w:color="auto" w:fill="auto"/>
            <w:vAlign w:val="center"/>
          </w:tcPr>
          <w:p w14:paraId="16EE5B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6–10</w:t>
            </w:r>
          </w:p>
        </w:tc>
        <w:tc>
          <w:tcPr>
            <w:tcW w:w="1125" w:type="dxa"/>
            <w:shd w:val="clear" w:color="auto" w:fill="auto"/>
            <w:noWrap/>
            <w:vAlign w:val="center"/>
          </w:tcPr>
          <w:p w14:paraId="754959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-0.187 </w:t>
            </w:r>
          </w:p>
        </w:tc>
        <w:tc>
          <w:tcPr>
            <w:tcW w:w="0" w:type="auto"/>
            <w:shd w:val="clear" w:color="auto" w:fill="auto"/>
            <w:noWrap/>
            <w:vAlign w:val="center"/>
          </w:tcPr>
          <w:p w14:paraId="28A0B9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0.160 </w:t>
            </w:r>
          </w:p>
        </w:tc>
        <w:tc>
          <w:tcPr>
            <w:tcW w:w="0" w:type="auto"/>
            <w:shd w:val="clear" w:color="auto" w:fill="auto"/>
            <w:noWrap/>
            <w:vAlign w:val="center"/>
          </w:tcPr>
          <w:p w14:paraId="48A26F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0.829 (0.606–1.135)</w:t>
            </w:r>
          </w:p>
        </w:tc>
        <w:tc>
          <w:tcPr>
            <w:tcW w:w="0" w:type="auto"/>
            <w:shd w:val="clear" w:color="auto" w:fill="auto"/>
            <w:noWrap/>
            <w:vAlign w:val="center"/>
          </w:tcPr>
          <w:p w14:paraId="6FDE53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0.243 </w:t>
            </w:r>
          </w:p>
        </w:tc>
      </w:tr>
      <w:tr w14:paraId="74EAB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053595EA">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08F41F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Work experience (years) (reference: ≤5)</w:t>
            </w:r>
          </w:p>
        </w:tc>
        <w:tc>
          <w:tcPr>
            <w:tcW w:w="2465" w:type="dxa"/>
            <w:shd w:val="clear" w:color="auto" w:fill="auto"/>
            <w:vAlign w:val="center"/>
          </w:tcPr>
          <w:p w14:paraId="66AFA6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11–15</w:t>
            </w:r>
          </w:p>
        </w:tc>
        <w:tc>
          <w:tcPr>
            <w:tcW w:w="1125" w:type="dxa"/>
            <w:shd w:val="clear" w:color="auto" w:fill="auto"/>
            <w:noWrap/>
            <w:vAlign w:val="center"/>
          </w:tcPr>
          <w:p w14:paraId="08CE80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0.074 </w:t>
            </w:r>
          </w:p>
        </w:tc>
        <w:tc>
          <w:tcPr>
            <w:tcW w:w="0" w:type="auto"/>
            <w:shd w:val="clear" w:color="auto" w:fill="auto"/>
            <w:noWrap/>
            <w:vAlign w:val="center"/>
          </w:tcPr>
          <w:p w14:paraId="3632AD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0.190 </w:t>
            </w:r>
          </w:p>
        </w:tc>
        <w:tc>
          <w:tcPr>
            <w:tcW w:w="0" w:type="auto"/>
            <w:shd w:val="clear" w:color="auto" w:fill="auto"/>
            <w:noWrap/>
            <w:vAlign w:val="center"/>
          </w:tcPr>
          <w:p w14:paraId="745B29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1.077 (0.742–1.563)</w:t>
            </w:r>
          </w:p>
        </w:tc>
        <w:tc>
          <w:tcPr>
            <w:tcW w:w="0" w:type="auto"/>
            <w:shd w:val="clear" w:color="auto" w:fill="auto"/>
            <w:noWrap/>
            <w:vAlign w:val="center"/>
          </w:tcPr>
          <w:p w14:paraId="79A265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0.697 </w:t>
            </w:r>
          </w:p>
        </w:tc>
      </w:tr>
      <w:tr w14:paraId="4FAF9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041D0C50">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53BF2F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Work experience (years) (reference: ≤5)</w:t>
            </w:r>
          </w:p>
        </w:tc>
        <w:tc>
          <w:tcPr>
            <w:tcW w:w="2465" w:type="dxa"/>
            <w:shd w:val="clear" w:color="auto" w:fill="auto"/>
            <w:vAlign w:val="center"/>
          </w:tcPr>
          <w:p w14:paraId="6FA576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16–20</w:t>
            </w:r>
          </w:p>
        </w:tc>
        <w:tc>
          <w:tcPr>
            <w:tcW w:w="1125" w:type="dxa"/>
            <w:shd w:val="clear" w:color="auto" w:fill="auto"/>
            <w:noWrap/>
            <w:vAlign w:val="center"/>
          </w:tcPr>
          <w:p w14:paraId="4F4DD6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0.259 </w:t>
            </w:r>
          </w:p>
        </w:tc>
        <w:tc>
          <w:tcPr>
            <w:tcW w:w="0" w:type="auto"/>
            <w:shd w:val="clear" w:color="auto" w:fill="auto"/>
            <w:noWrap/>
            <w:vAlign w:val="center"/>
          </w:tcPr>
          <w:p w14:paraId="10FFD3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0.240 </w:t>
            </w:r>
          </w:p>
        </w:tc>
        <w:tc>
          <w:tcPr>
            <w:tcW w:w="0" w:type="auto"/>
            <w:shd w:val="clear" w:color="auto" w:fill="auto"/>
            <w:noWrap/>
            <w:vAlign w:val="center"/>
          </w:tcPr>
          <w:p w14:paraId="11B66B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1.296 (0.809–2.074)</w:t>
            </w:r>
          </w:p>
        </w:tc>
        <w:tc>
          <w:tcPr>
            <w:tcW w:w="0" w:type="auto"/>
            <w:shd w:val="clear" w:color="auto" w:fill="auto"/>
            <w:noWrap/>
            <w:vAlign w:val="center"/>
          </w:tcPr>
          <w:p w14:paraId="3441E2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0.281 </w:t>
            </w:r>
          </w:p>
        </w:tc>
      </w:tr>
      <w:tr w14:paraId="1B3B8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4095ED44">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382CB9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Work experience (years) (reference: ≤5)</w:t>
            </w:r>
          </w:p>
        </w:tc>
        <w:tc>
          <w:tcPr>
            <w:tcW w:w="2465" w:type="dxa"/>
            <w:shd w:val="clear" w:color="auto" w:fill="auto"/>
            <w:vAlign w:val="center"/>
          </w:tcPr>
          <w:p w14:paraId="321063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1125" w:type="dxa"/>
            <w:shd w:val="clear" w:color="auto" w:fill="auto"/>
            <w:noWrap/>
            <w:vAlign w:val="center"/>
          </w:tcPr>
          <w:p w14:paraId="34DCF8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-0.372 </w:t>
            </w:r>
          </w:p>
        </w:tc>
        <w:tc>
          <w:tcPr>
            <w:tcW w:w="0" w:type="auto"/>
            <w:shd w:val="clear" w:color="auto" w:fill="auto"/>
            <w:noWrap/>
            <w:vAlign w:val="center"/>
          </w:tcPr>
          <w:p w14:paraId="325CE3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0.260 </w:t>
            </w:r>
          </w:p>
        </w:tc>
        <w:tc>
          <w:tcPr>
            <w:tcW w:w="0" w:type="auto"/>
            <w:shd w:val="clear" w:color="auto" w:fill="auto"/>
            <w:noWrap/>
            <w:vAlign w:val="center"/>
          </w:tcPr>
          <w:p w14:paraId="3830B0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0.689 (0.414–1.148)</w:t>
            </w:r>
          </w:p>
        </w:tc>
        <w:tc>
          <w:tcPr>
            <w:tcW w:w="0" w:type="auto"/>
            <w:shd w:val="clear" w:color="auto" w:fill="auto"/>
            <w:noWrap/>
            <w:vAlign w:val="center"/>
          </w:tcPr>
          <w:p w14:paraId="19E5A9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0.152 </w:t>
            </w:r>
          </w:p>
        </w:tc>
      </w:tr>
      <w:tr w14:paraId="166C1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31A1EC86">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2219A4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Marital status (reference: Unmarried)</w:t>
            </w:r>
          </w:p>
        </w:tc>
        <w:tc>
          <w:tcPr>
            <w:tcW w:w="2465" w:type="dxa"/>
            <w:shd w:val="clear" w:color="auto" w:fill="auto"/>
            <w:vAlign w:val="center"/>
          </w:tcPr>
          <w:p w14:paraId="0F088B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Married</w:t>
            </w:r>
          </w:p>
        </w:tc>
        <w:tc>
          <w:tcPr>
            <w:tcW w:w="1125" w:type="dxa"/>
            <w:shd w:val="clear" w:color="auto" w:fill="auto"/>
            <w:noWrap/>
            <w:vAlign w:val="center"/>
          </w:tcPr>
          <w:p w14:paraId="3EA111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0.107 </w:t>
            </w:r>
          </w:p>
        </w:tc>
        <w:tc>
          <w:tcPr>
            <w:tcW w:w="0" w:type="auto"/>
            <w:shd w:val="clear" w:color="auto" w:fill="auto"/>
            <w:noWrap/>
            <w:vAlign w:val="center"/>
          </w:tcPr>
          <w:p w14:paraId="77FE35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0.160 </w:t>
            </w:r>
          </w:p>
        </w:tc>
        <w:tc>
          <w:tcPr>
            <w:tcW w:w="0" w:type="auto"/>
            <w:shd w:val="clear" w:color="auto" w:fill="auto"/>
            <w:noWrap/>
            <w:vAlign w:val="center"/>
          </w:tcPr>
          <w:p w14:paraId="4D65D5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1.113 (0.813–1.523)</w:t>
            </w:r>
          </w:p>
        </w:tc>
        <w:tc>
          <w:tcPr>
            <w:tcW w:w="0" w:type="auto"/>
            <w:shd w:val="clear" w:color="auto" w:fill="auto"/>
            <w:noWrap/>
            <w:vAlign w:val="center"/>
          </w:tcPr>
          <w:p w14:paraId="087B7B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0.504 </w:t>
            </w:r>
          </w:p>
        </w:tc>
      </w:tr>
      <w:tr w14:paraId="5729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7F937F40">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5304C8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Marital status (reference: Unmarried)</w:t>
            </w:r>
          </w:p>
        </w:tc>
        <w:tc>
          <w:tcPr>
            <w:tcW w:w="2465" w:type="dxa"/>
            <w:shd w:val="clear" w:color="auto" w:fill="auto"/>
            <w:vAlign w:val="center"/>
          </w:tcPr>
          <w:p w14:paraId="377285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Divorced or widowed</w:t>
            </w:r>
          </w:p>
        </w:tc>
        <w:tc>
          <w:tcPr>
            <w:tcW w:w="1125" w:type="dxa"/>
            <w:shd w:val="clear" w:color="auto" w:fill="auto"/>
            <w:noWrap/>
            <w:vAlign w:val="center"/>
          </w:tcPr>
          <w:p w14:paraId="4CB63F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-0.092 </w:t>
            </w:r>
          </w:p>
        </w:tc>
        <w:tc>
          <w:tcPr>
            <w:tcW w:w="0" w:type="auto"/>
            <w:shd w:val="clear" w:color="auto" w:fill="auto"/>
            <w:noWrap/>
            <w:vAlign w:val="center"/>
          </w:tcPr>
          <w:p w14:paraId="07EA120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0.420 </w:t>
            </w:r>
          </w:p>
        </w:tc>
        <w:tc>
          <w:tcPr>
            <w:tcW w:w="0" w:type="auto"/>
            <w:shd w:val="clear" w:color="auto" w:fill="auto"/>
            <w:noWrap/>
            <w:vAlign w:val="center"/>
          </w:tcPr>
          <w:p w14:paraId="598CE5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0.912 (0.400–2.078)</w:t>
            </w:r>
          </w:p>
        </w:tc>
        <w:tc>
          <w:tcPr>
            <w:tcW w:w="0" w:type="auto"/>
            <w:shd w:val="clear" w:color="auto" w:fill="auto"/>
            <w:noWrap/>
            <w:vAlign w:val="center"/>
          </w:tcPr>
          <w:p w14:paraId="24D24D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0.827 </w:t>
            </w:r>
          </w:p>
        </w:tc>
      </w:tr>
      <w:tr w14:paraId="6F32A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10311C30">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34CD52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Professional title (reference: Junior level)</w:t>
            </w:r>
          </w:p>
        </w:tc>
        <w:tc>
          <w:tcPr>
            <w:tcW w:w="2465" w:type="dxa"/>
            <w:shd w:val="clear" w:color="auto" w:fill="auto"/>
            <w:vAlign w:val="center"/>
          </w:tcPr>
          <w:p w14:paraId="4850B2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Intermediate level</w:t>
            </w:r>
          </w:p>
        </w:tc>
        <w:tc>
          <w:tcPr>
            <w:tcW w:w="1125" w:type="dxa"/>
            <w:shd w:val="clear" w:color="auto" w:fill="auto"/>
            <w:noWrap/>
            <w:vAlign w:val="center"/>
          </w:tcPr>
          <w:p w14:paraId="16F762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0.204 </w:t>
            </w:r>
          </w:p>
        </w:tc>
        <w:tc>
          <w:tcPr>
            <w:tcW w:w="0" w:type="auto"/>
            <w:shd w:val="clear" w:color="auto" w:fill="auto"/>
            <w:noWrap/>
            <w:vAlign w:val="center"/>
          </w:tcPr>
          <w:p w14:paraId="14A04E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0.150 </w:t>
            </w:r>
          </w:p>
        </w:tc>
        <w:tc>
          <w:tcPr>
            <w:tcW w:w="0" w:type="auto"/>
            <w:shd w:val="clear" w:color="auto" w:fill="auto"/>
            <w:noWrap/>
            <w:vAlign w:val="center"/>
          </w:tcPr>
          <w:p w14:paraId="70C4CE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1.226 (0.914–1.645)</w:t>
            </w:r>
          </w:p>
        </w:tc>
        <w:tc>
          <w:tcPr>
            <w:tcW w:w="0" w:type="auto"/>
            <w:shd w:val="clear" w:color="auto" w:fill="auto"/>
            <w:noWrap/>
            <w:vAlign w:val="center"/>
          </w:tcPr>
          <w:p w14:paraId="4C29EF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0.174 </w:t>
            </w:r>
          </w:p>
        </w:tc>
      </w:tr>
      <w:tr w14:paraId="0B050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44EFBF93">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3174D3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Professional title (reference: Junior level)</w:t>
            </w:r>
          </w:p>
        </w:tc>
        <w:tc>
          <w:tcPr>
            <w:tcW w:w="2465" w:type="dxa"/>
            <w:shd w:val="clear" w:color="auto" w:fill="auto"/>
            <w:vAlign w:val="center"/>
          </w:tcPr>
          <w:p w14:paraId="0C4D65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Associate senior title or above</w:t>
            </w:r>
          </w:p>
        </w:tc>
        <w:tc>
          <w:tcPr>
            <w:tcW w:w="1125" w:type="dxa"/>
            <w:shd w:val="clear" w:color="auto" w:fill="auto"/>
            <w:noWrap/>
            <w:vAlign w:val="center"/>
          </w:tcPr>
          <w:p w14:paraId="356902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-0.218 </w:t>
            </w:r>
          </w:p>
        </w:tc>
        <w:tc>
          <w:tcPr>
            <w:tcW w:w="0" w:type="auto"/>
            <w:shd w:val="clear" w:color="auto" w:fill="auto"/>
            <w:noWrap/>
            <w:vAlign w:val="center"/>
          </w:tcPr>
          <w:p w14:paraId="056DC4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0.240 </w:t>
            </w:r>
          </w:p>
        </w:tc>
        <w:tc>
          <w:tcPr>
            <w:tcW w:w="0" w:type="auto"/>
            <w:shd w:val="clear" w:color="auto" w:fill="auto"/>
            <w:noWrap/>
            <w:vAlign w:val="center"/>
          </w:tcPr>
          <w:p w14:paraId="4126D5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0.804 (0.502–1.287)</w:t>
            </w:r>
          </w:p>
        </w:tc>
        <w:tc>
          <w:tcPr>
            <w:tcW w:w="0" w:type="auto"/>
            <w:shd w:val="clear" w:color="auto" w:fill="auto"/>
            <w:noWrap/>
            <w:vAlign w:val="center"/>
          </w:tcPr>
          <w:p w14:paraId="39528B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0.364 </w:t>
            </w:r>
          </w:p>
        </w:tc>
      </w:tr>
      <w:tr w14:paraId="434E2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5B1ACB05">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5AF7FD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Education (reference: Junior college degree and below)</w:t>
            </w:r>
          </w:p>
        </w:tc>
        <w:tc>
          <w:tcPr>
            <w:tcW w:w="2465" w:type="dxa"/>
            <w:shd w:val="clear" w:color="auto" w:fill="auto"/>
            <w:vAlign w:val="center"/>
          </w:tcPr>
          <w:p w14:paraId="1D1C84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Bachelor's degree</w:t>
            </w:r>
          </w:p>
        </w:tc>
        <w:tc>
          <w:tcPr>
            <w:tcW w:w="1125" w:type="dxa"/>
            <w:shd w:val="clear" w:color="auto" w:fill="auto"/>
            <w:noWrap/>
            <w:vAlign w:val="center"/>
          </w:tcPr>
          <w:p w14:paraId="45FF50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0.086 </w:t>
            </w:r>
          </w:p>
        </w:tc>
        <w:tc>
          <w:tcPr>
            <w:tcW w:w="0" w:type="auto"/>
            <w:shd w:val="clear" w:color="auto" w:fill="auto"/>
            <w:noWrap/>
            <w:vAlign w:val="center"/>
          </w:tcPr>
          <w:p w14:paraId="27C373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0.160 </w:t>
            </w:r>
          </w:p>
        </w:tc>
        <w:tc>
          <w:tcPr>
            <w:tcW w:w="0" w:type="auto"/>
            <w:shd w:val="clear" w:color="auto" w:fill="auto"/>
            <w:noWrap/>
            <w:vAlign w:val="center"/>
          </w:tcPr>
          <w:p w14:paraId="7F6E1F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1.090 (0.796–1.491)</w:t>
            </w:r>
          </w:p>
        </w:tc>
        <w:tc>
          <w:tcPr>
            <w:tcW w:w="0" w:type="auto"/>
            <w:shd w:val="clear" w:color="auto" w:fill="auto"/>
            <w:noWrap/>
            <w:vAlign w:val="center"/>
          </w:tcPr>
          <w:p w14:paraId="16B5DC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0.591 </w:t>
            </w:r>
          </w:p>
        </w:tc>
      </w:tr>
      <w:tr w14:paraId="3743D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339944AE">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7F7F47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Education (reference: Junior college degree and below)</w:t>
            </w:r>
          </w:p>
        </w:tc>
        <w:tc>
          <w:tcPr>
            <w:tcW w:w="2465" w:type="dxa"/>
            <w:shd w:val="clear" w:color="auto" w:fill="auto"/>
            <w:vAlign w:val="center"/>
          </w:tcPr>
          <w:p w14:paraId="7F039B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Master's degree and above</w:t>
            </w:r>
          </w:p>
        </w:tc>
        <w:tc>
          <w:tcPr>
            <w:tcW w:w="1125" w:type="dxa"/>
            <w:shd w:val="clear" w:color="auto" w:fill="auto"/>
            <w:noWrap/>
            <w:vAlign w:val="center"/>
          </w:tcPr>
          <w:p w14:paraId="4E4E5E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-0.493 </w:t>
            </w:r>
          </w:p>
        </w:tc>
        <w:tc>
          <w:tcPr>
            <w:tcW w:w="0" w:type="auto"/>
            <w:shd w:val="clear" w:color="auto" w:fill="auto"/>
            <w:noWrap/>
            <w:vAlign w:val="center"/>
          </w:tcPr>
          <w:p w14:paraId="183FCF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0.310 </w:t>
            </w:r>
          </w:p>
        </w:tc>
        <w:tc>
          <w:tcPr>
            <w:tcW w:w="0" w:type="auto"/>
            <w:shd w:val="clear" w:color="auto" w:fill="auto"/>
            <w:noWrap/>
            <w:vAlign w:val="center"/>
          </w:tcPr>
          <w:p w14:paraId="7A4194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0.611 (0.333–1.121)</w:t>
            </w:r>
          </w:p>
        </w:tc>
        <w:tc>
          <w:tcPr>
            <w:tcW w:w="0" w:type="auto"/>
            <w:shd w:val="clear" w:color="auto" w:fill="auto"/>
            <w:noWrap/>
            <w:vAlign w:val="center"/>
          </w:tcPr>
          <w:p w14:paraId="2C637B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0.112 </w:t>
            </w:r>
          </w:p>
        </w:tc>
      </w:tr>
      <w:tr w14:paraId="01143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24316E36">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5FF52A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quality during the past week (reference: Poor)</w:t>
            </w:r>
          </w:p>
        </w:tc>
        <w:tc>
          <w:tcPr>
            <w:tcW w:w="2465" w:type="dxa"/>
            <w:shd w:val="clear" w:color="auto" w:fill="auto"/>
            <w:vAlign w:val="center"/>
          </w:tcPr>
          <w:p w14:paraId="21CBD9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Fair</w:t>
            </w:r>
          </w:p>
        </w:tc>
        <w:tc>
          <w:tcPr>
            <w:tcW w:w="1125" w:type="dxa"/>
            <w:shd w:val="clear" w:color="auto" w:fill="auto"/>
            <w:noWrap/>
            <w:vAlign w:val="center"/>
          </w:tcPr>
          <w:p w14:paraId="3268EA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-0.326 </w:t>
            </w:r>
          </w:p>
        </w:tc>
        <w:tc>
          <w:tcPr>
            <w:tcW w:w="0" w:type="auto"/>
            <w:shd w:val="clear" w:color="auto" w:fill="auto"/>
            <w:noWrap/>
            <w:vAlign w:val="center"/>
          </w:tcPr>
          <w:p w14:paraId="77F2B6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0.110 </w:t>
            </w:r>
          </w:p>
        </w:tc>
        <w:tc>
          <w:tcPr>
            <w:tcW w:w="0" w:type="auto"/>
            <w:shd w:val="clear" w:color="auto" w:fill="auto"/>
            <w:noWrap/>
            <w:vAlign w:val="center"/>
          </w:tcPr>
          <w:p w14:paraId="12069C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0.722 (0.582–0.896)</w:t>
            </w:r>
          </w:p>
        </w:tc>
        <w:tc>
          <w:tcPr>
            <w:tcW w:w="0" w:type="auto"/>
            <w:shd w:val="clear" w:color="auto" w:fill="auto"/>
            <w:noWrap/>
            <w:vAlign w:val="center"/>
          </w:tcPr>
          <w:p w14:paraId="610066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0.003 </w:t>
            </w:r>
          </w:p>
        </w:tc>
      </w:tr>
      <w:tr w14:paraId="0C8F2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4EF2AAE3">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2222D8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Sleep quality during the past week (reference: Poor)</w:t>
            </w:r>
          </w:p>
        </w:tc>
        <w:tc>
          <w:tcPr>
            <w:tcW w:w="2465" w:type="dxa"/>
            <w:shd w:val="clear" w:color="auto" w:fill="auto"/>
            <w:vAlign w:val="center"/>
          </w:tcPr>
          <w:p w14:paraId="1585A0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Good</w:t>
            </w:r>
          </w:p>
        </w:tc>
        <w:tc>
          <w:tcPr>
            <w:tcW w:w="1125" w:type="dxa"/>
            <w:shd w:val="clear" w:color="auto" w:fill="auto"/>
            <w:noWrap/>
            <w:vAlign w:val="center"/>
          </w:tcPr>
          <w:p w14:paraId="3B4654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-0.737 </w:t>
            </w:r>
          </w:p>
        </w:tc>
        <w:tc>
          <w:tcPr>
            <w:tcW w:w="0" w:type="auto"/>
            <w:shd w:val="clear" w:color="auto" w:fill="auto"/>
            <w:noWrap/>
            <w:vAlign w:val="center"/>
          </w:tcPr>
          <w:p w14:paraId="041602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0.167 </w:t>
            </w:r>
          </w:p>
        </w:tc>
        <w:tc>
          <w:tcPr>
            <w:tcW w:w="0" w:type="auto"/>
            <w:shd w:val="clear" w:color="auto" w:fill="auto"/>
            <w:noWrap/>
            <w:vAlign w:val="center"/>
          </w:tcPr>
          <w:p w14:paraId="4CBE1E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0.479 (0.345–0.664)</w:t>
            </w:r>
          </w:p>
        </w:tc>
        <w:tc>
          <w:tcPr>
            <w:tcW w:w="0" w:type="auto"/>
            <w:shd w:val="clear" w:color="auto" w:fill="auto"/>
            <w:noWrap/>
            <w:vAlign w:val="center"/>
          </w:tcPr>
          <w:p w14:paraId="02DFC8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14:paraId="1274F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74890DE9">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7FCFB5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Frequency of workplace violence (reference: 0)</w:t>
            </w:r>
          </w:p>
        </w:tc>
        <w:tc>
          <w:tcPr>
            <w:tcW w:w="2465" w:type="dxa"/>
            <w:shd w:val="clear" w:color="auto" w:fill="auto"/>
            <w:vAlign w:val="center"/>
          </w:tcPr>
          <w:p w14:paraId="24DB1C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1125" w:type="dxa"/>
            <w:shd w:val="clear" w:color="auto" w:fill="auto"/>
            <w:noWrap/>
            <w:vAlign w:val="center"/>
          </w:tcPr>
          <w:p w14:paraId="0CCC0A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0.173 </w:t>
            </w:r>
          </w:p>
        </w:tc>
        <w:tc>
          <w:tcPr>
            <w:tcW w:w="0" w:type="auto"/>
            <w:shd w:val="clear" w:color="auto" w:fill="auto"/>
            <w:noWrap/>
            <w:vAlign w:val="center"/>
          </w:tcPr>
          <w:p w14:paraId="55E7F6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0.150 </w:t>
            </w:r>
          </w:p>
        </w:tc>
        <w:tc>
          <w:tcPr>
            <w:tcW w:w="0" w:type="auto"/>
            <w:shd w:val="clear" w:color="auto" w:fill="auto"/>
            <w:noWrap/>
            <w:vAlign w:val="center"/>
          </w:tcPr>
          <w:p w14:paraId="452A32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1.189 (0.886–1.595)</w:t>
            </w:r>
          </w:p>
        </w:tc>
        <w:tc>
          <w:tcPr>
            <w:tcW w:w="0" w:type="auto"/>
            <w:shd w:val="clear" w:color="auto" w:fill="auto"/>
            <w:noWrap/>
            <w:vAlign w:val="center"/>
          </w:tcPr>
          <w:p w14:paraId="5BCA0B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0.249 </w:t>
            </w:r>
          </w:p>
        </w:tc>
      </w:tr>
      <w:tr w14:paraId="27850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6EFD025F">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7E24E4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Frequency of workplace violence (reference: 0)</w:t>
            </w:r>
          </w:p>
        </w:tc>
        <w:tc>
          <w:tcPr>
            <w:tcW w:w="2465" w:type="dxa"/>
            <w:shd w:val="clear" w:color="auto" w:fill="auto"/>
            <w:vAlign w:val="center"/>
          </w:tcPr>
          <w:p w14:paraId="315F98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w:t>
            </w:r>
          </w:p>
        </w:tc>
        <w:tc>
          <w:tcPr>
            <w:tcW w:w="1125" w:type="dxa"/>
            <w:shd w:val="clear" w:color="auto" w:fill="auto"/>
            <w:noWrap/>
            <w:vAlign w:val="center"/>
          </w:tcPr>
          <w:p w14:paraId="355B60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0.045 </w:t>
            </w:r>
          </w:p>
        </w:tc>
        <w:tc>
          <w:tcPr>
            <w:tcW w:w="0" w:type="auto"/>
            <w:shd w:val="clear" w:color="auto" w:fill="auto"/>
            <w:noWrap/>
            <w:vAlign w:val="center"/>
          </w:tcPr>
          <w:p w14:paraId="307316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0.160 </w:t>
            </w:r>
          </w:p>
        </w:tc>
        <w:tc>
          <w:tcPr>
            <w:tcW w:w="0" w:type="auto"/>
            <w:shd w:val="clear" w:color="auto" w:fill="auto"/>
            <w:noWrap/>
            <w:vAlign w:val="center"/>
          </w:tcPr>
          <w:p w14:paraId="56EBD0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1.046 (0.764–1.431)</w:t>
            </w:r>
          </w:p>
        </w:tc>
        <w:tc>
          <w:tcPr>
            <w:tcW w:w="0" w:type="auto"/>
            <w:shd w:val="clear" w:color="auto" w:fill="auto"/>
            <w:noWrap/>
            <w:vAlign w:val="center"/>
          </w:tcPr>
          <w:p w14:paraId="10780F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0.779 </w:t>
            </w:r>
          </w:p>
        </w:tc>
      </w:tr>
      <w:tr w14:paraId="641FE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4C625419">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128251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Frequency of workplace violence (reference: 0)</w:t>
            </w:r>
          </w:p>
        </w:tc>
        <w:tc>
          <w:tcPr>
            <w:tcW w:w="2465" w:type="dxa"/>
            <w:shd w:val="clear" w:color="auto" w:fill="auto"/>
            <w:vAlign w:val="center"/>
          </w:tcPr>
          <w:p w14:paraId="336320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1125" w:type="dxa"/>
            <w:shd w:val="clear" w:color="auto" w:fill="auto"/>
            <w:noWrap/>
            <w:vAlign w:val="center"/>
          </w:tcPr>
          <w:p w14:paraId="5A716A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-0.288 </w:t>
            </w:r>
          </w:p>
        </w:tc>
        <w:tc>
          <w:tcPr>
            <w:tcW w:w="0" w:type="auto"/>
            <w:shd w:val="clear" w:color="auto" w:fill="auto"/>
            <w:noWrap/>
            <w:vAlign w:val="center"/>
          </w:tcPr>
          <w:p w14:paraId="5C5EE9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0.220 </w:t>
            </w:r>
          </w:p>
        </w:tc>
        <w:tc>
          <w:tcPr>
            <w:tcW w:w="0" w:type="auto"/>
            <w:shd w:val="clear" w:color="auto" w:fill="auto"/>
            <w:noWrap/>
            <w:vAlign w:val="center"/>
          </w:tcPr>
          <w:p w14:paraId="760688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0.750 (0.487–1.154)</w:t>
            </w:r>
          </w:p>
        </w:tc>
        <w:tc>
          <w:tcPr>
            <w:tcW w:w="0" w:type="auto"/>
            <w:shd w:val="clear" w:color="auto" w:fill="auto"/>
            <w:noWrap/>
            <w:vAlign w:val="center"/>
          </w:tcPr>
          <w:p w14:paraId="17E834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0.191 </w:t>
            </w:r>
          </w:p>
        </w:tc>
      </w:tr>
      <w:tr w14:paraId="6DF11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1DD152F0">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630964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Weekly working hours (reference: ≤40 h)</w:t>
            </w:r>
          </w:p>
        </w:tc>
        <w:tc>
          <w:tcPr>
            <w:tcW w:w="2465" w:type="dxa"/>
            <w:shd w:val="clear" w:color="auto" w:fill="auto"/>
            <w:vAlign w:val="center"/>
          </w:tcPr>
          <w:p w14:paraId="291285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41–50 h</w:t>
            </w:r>
          </w:p>
        </w:tc>
        <w:tc>
          <w:tcPr>
            <w:tcW w:w="1125" w:type="dxa"/>
            <w:shd w:val="clear" w:color="auto" w:fill="auto"/>
            <w:noWrap/>
            <w:vAlign w:val="center"/>
          </w:tcPr>
          <w:p w14:paraId="16DC12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0.116 </w:t>
            </w:r>
          </w:p>
        </w:tc>
        <w:tc>
          <w:tcPr>
            <w:tcW w:w="0" w:type="auto"/>
            <w:shd w:val="clear" w:color="auto" w:fill="auto"/>
            <w:noWrap/>
            <w:vAlign w:val="center"/>
          </w:tcPr>
          <w:p w14:paraId="4FC920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0.140 </w:t>
            </w:r>
          </w:p>
        </w:tc>
        <w:tc>
          <w:tcPr>
            <w:tcW w:w="0" w:type="auto"/>
            <w:shd w:val="clear" w:color="auto" w:fill="auto"/>
            <w:noWrap/>
            <w:vAlign w:val="center"/>
          </w:tcPr>
          <w:p w14:paraId="1FA6D5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1.123 (0.854–1.478)</w:t>
            </w:r>
          </w:p>
        </w:tc>
        <w:tc>
          <w:tcPr>
            <w:tcW w:w="0" w:type="auto"/>
            <w:shd w:val="clear" w:color="auto" w:fill="auto"/>
            <w:noWrap/>
            <w:vAlign w:val="center"/>
          </w:tcPr>
          <w:p w14:paraId="32864C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0.407 </w:t>
            </w:r>
          </w:p>
        </w:tc>
      </w:tr>
      <w:tr w14:paraId="4CB09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74E62CD5">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746086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Weekly working hours (reference: ≤40 h)</w:t>
            </w:r>
          </w:p>
        </w:tc>
        <w:tc>
          <w:tcPr>
            <w:tcW w:w="2465" w:type="dxa"/>
            <w:shd w:val="clear" w:color="auto" w:fill="auto"/>
            <w:vAlign w:val="center"/>
          </w:tcPr>
          <w:p w14:paraId="11A02C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 h</w:t>
            </w:r>
          </w:p>
        </w:tc>
        <w:tc>
          <w:tcPr>
            <w:tcW w:w="1125" w:type="dxa"/>
            <w:shd w:val="clear" w:color="auto" w:fill="auto"/>
            <w:noWrap/>
            <w:vAlign w:val="center"/>
          </w:tcPr>
          <w:p w14:paraId="54751A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-0.113 </w:t>
            </w:r>
          </w:p>
        </w:tc>
        <w:tc>
          <w:tcPr>
            <w:tcW w:w="0" w:type="auto"/>
            <w:shd w:val="clear" w:color="auto" w:fill="auto"/>
            <w:noWrap/>
            <w:vAlign w:val="center"/>
          </w:tcPr>
          <w:p w14:paraId="287C63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0.180 </w:t>
            </w:r>
          </w:p>
        </w:tc>
        <w:tc>
          <w:tcPr>
            <w:tcW w:w="0" w:type="auto"/>
            <w:shd w:val="clear" w:color="auto" w:fill="auto"/>
            <w:noWrap/>
            <w:vAlign w:val="center"/>
          </w:tcPr>
          <w:p w14:paraId="048131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0.893 (0.628–1.271)</w:t>
            </w:r>
          </w:p>
        </w:tc>
        <w:tc>
          <w:tcPr>
            <w:tcW w:w="0" w:type="auto"/>
            <w:shd w:val="clear" w:color="auto" w:fill="auto"/>
            <w:noWrap/>
            <w:vAlign w:val="center"/>
          </w:tcPr>
          <w:p w14:paraId="5440CF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0.530 </w:t>
            </w:r>
          </w:p>
        </w:tc>
      </w:tr>
      <w:tr w14:paraId="284C3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34A5D567">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7A721B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Nursing practice environment (reference: Good)</w:t>
            </w:r>
          </w:p>
        </w:tc>
        <w:tc>
          <w:tcPr>
            <w:tcW w:w="2465" w:type="dxa"/>
            <w:shd w:val="clear" w:color="auto" w:fill="auto"/>
            <w:vAlign w:val="center"/>
          </w:tcPr>
          <w:p w14:paraId="75DD63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Fair</w:t>
            </w:r>
          </w:p>
        </w:tc>
        <w:tc>
          <w:tcPr>
            <w:tcW w:w="1125" w:type="dxa"/>
            <w:shd w:val="clear" w:color="auto" w:fill="auto"/>
            <w:noWrap/>
            <w:vAlign w:val="center"/>
          </w:tcPr>
          <w:p w14:paraId="21E809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0.679 </w:t>
            </w:r>
          </w:p>
        </w:tc>
        <w:tc>
          <w:tcPr>
            <w:tcW w:w="0" w:type="auto"/>
            <w:shd w:val="clear" w:color="auto" w:fill="auto"/>
            <w:noWrap/>
            <w:vAlign w:val="center"/>
          </w:tcPr>
          <w:p w14:paraId="62898F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0.163 </w:t>
            </w:r>
          </w:p>
        </w:tc>
        <w:tc>
          <w:tcPr>
            <w:tcW w:w="0" w:type="auto"/>
            <w:shd w:val="clear" w:color="auto" w:fill="auto"/>
            <w:noWrap/>
            <w:vAlign w:val="center"/>
          </w:tcPr>
          <w:p w14:paraId="2C9E5C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1.973 (1.432–2.717)</w:t>
            </w:r>
          </w:p>
        </w:tc>
        <w:tc>
          <w:tcPr>
            <w:tcW w:w="0" w:type="auto"/>
            <w:shd w:val="clear" w:color="auto" w:fill="auto"/>
            <w:noWrap/>
            <w:vAlign w:val="center"/>
          </w:tcPr>
          <w:p w14:paraId="7D778B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14:paraId="3D4D4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6D6EDF0E">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57D83D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Nursing practice environment (reference: Good)</w:t>
            </w:r>
          </w:p>
        </w:tc>
        <w:tc>
          <w:tcPr>
            <w:tcW w:w="2465" w:type="dxa"/>
            <w:shd w:val="clear" w:color="auto" w:fill="auto"/>
            <w:vAlign w:val="center"/>
          </w:tcPr>
          <w:p w14:paraId="346BA3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Poor</w:t>
            </w:r>
          </w:p>
        </w:tc>
        <w:tc>
          <w:tcPr>
            <w:tcW w:w="1125" w:type="dxa"/>
            <w:shd w:val="clear" w:color="auto" w:fill="auto"/>
            <w:noWrap/>
            <w:vAlign w:val="center"/>
          </w:tcPr>
          <w:p w14:paraId="1083BF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0.811 </w:t>
            </w:r>
          </w:p>
        </w:tc>
        <w:tc>
          <w:tcPr>
            <w:tcW w:w="0" w:type="auto"/>
            <w:shd w:val="clear" w:color="auto" w:fill="auto"/>
            <w:noWrap/>
            <w:vAlign w:val="center"/>
          </w:tcPr>
          <w:p w14:paraId="5EB6D2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0.190 </w:t>
            </w:r>
          </w:p>
        </w:tc>
        <w:tc>
          <w:tcPr>
            <w:tcW w:w="0" w:type="auto"/>
            <w:shd w:val="clear" w:color="auto" w:fill="auto"/>
            <w:noWrap/>
            <w:vAlign w:val="center"/>
          </w:tcPr>
          <w:p w14:paraId="7CA2F6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2.249 (1.551–3.262)</w:t>
            </w:r>
          </w:p>
        </w:tc>
        <w:tc>
          <w:tcPr>
            <w:tcW w:w="0" w:type="auto"/>
            <w:shd w:val="clear" w:color="auto" w:fill="auto"/>
            <w:noWrap/>
            <w:vAlign w:val="center"/>
          </w:tcPr>
          <w:p w14:paraId="768210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14:paraId="4AFF2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1E344CD9">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07DD01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Nursing care quality in the department (reference: Poor)</w:t>
            </w:r>
          </w:p>
        </w:tc>
        <w:tc>
          <w:tcPr>
            <w:tcW w:w="2465" w:type="dxa"/>
            <w:shd w:val="clear" w:color="auto" w:fill="auto"/>
            <w:vAlign w:val="center"/>
          </w:tcPr>
          <w:p w14:paraId="7C221D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Fair</w:t>
            </w:r>
          </w:p>
        </w:tc>
        <w:tc>
          <w:tcPr>
            <w:tcW w:w="1125" w:type="dxa"/>
            <w:shd w:val="clear" w:color="auto" w:fill="auto"/>
            <w:noWrap/>
            <w:vAlign w:val="center"/>
          </w:tcPr>
          <w:p w14:paraId="735F32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-0.938 </w:t>
            </w:r>
          </w:p>
        </w:tc>
        <w:tc>
          <w:tcPr>
            <w:tcW w:w="0" w:type="auto"/>
            <w:shd w:val="clear" w:color="auto" w:fill="auto"/>
            <w:noWrap/>
            <w:vAlign w:val="center"/>
          </w:tcPr>
          <w:p w14:paraId="5B7B27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0.362 </w:t>
            </w:r>
          </w:p>
        </w:tc>
        <w:tc>
          <w:tcPr>
            <w:tcW w:w="0" w:type="auto"/>
            <w:shd w:val="clear" w:color="auto" w:fill="auto"/>
            <w:noWrap/>
            <w:vAlign w:val="center"/>
          </w:tcPr>
          <w:p w14:paraId="244734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0.391 (0.192–0.796)</w:t>
            </w:r>
          </w:p>
        </w:tc>
        <w:tc>
          <w:tcPr>
            <w:tcW w:w="0" w:type="auto"/>
            <w:shd w:val="clear" w:color="auto" w:fill="auto"/>
            <w:noWrap/>
            <w:vAlign w:val="center"/>
          </w:tcPr>
          <w:p w14:paraId="772DEF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0.010 </w:t>
            </w:r>
          </w:p>
        </w:tc>
      </w:tr>
      <w:tr w14:paraId="143FE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6DBF0E29">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34A2DC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Nursing care quality in the department (reference: Poor)</w:t>
            </w:r>
          </w:p>
        </w:tc>
        <w:tc>
          <w:tcPr>
            <w:tcW w:w="2465" w:type="dxa"/>
            <w:shd w:val="clear" w:color="auto" w:fill="auto"/>
            <w:vAlign w:val="center"/>
          </w:tcPr>
          <w:p w14:paraId="7A8E85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Good</w:t>
            </w:r>
          </w:p>
        </w:tc>
        <w:tc>
          <w:tcPr>
            <w:tcW w:w="1125" w:type="dxa"/>
            <w:shd w:val="clear" w:color="auto" w:fill="auto"/>
            <w:noWrap/>
            <w:vAlign w:val="center"/>
          </w:tcPr>
          <w:p w14:paraId="6944FA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-1.558 </w:t>
            </w:r>
          </w:p>
        </w:tc>
        <w:tc>
          <w:tcPr>
            <w:tcW w:w="0" w:type="auto"/>
            <w:shd w:val="clear" w:color="auto" w:fill="auto"/>
            <w:noWrap/>
            <w:vAlign w:val="center"/>
          </w:tcPr>
          <w:p w14:paraId="0DC5BC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0.362 </w:t>
            </w:r>
          </w:p>
        </w:tc>
        <w:tc>
          <w:tcPr>
            <w:tcW w:w="0" w:type="auto"/>
            <w:shd w:val="clear" w:color="auto" w:fill="auto"/>
            <w:noWrap/>
            <w:vAlign w:val="center"/>
          </w:tcPr>
          <w:p w14:paraId="666CE5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0.211 (0.104–0.428)</w:t>
            </w:r>
          </w:p>
        </w:tc>
        <w:tc>
          <w:tcPr>
            <w:tcW w:w="0" w:type="auto"/>
            <w:shd w:val="clear" w:color="auto" w:fill="auto"/>
            <w:noWrap/>
            <w:vAlign w:val="center"/>
          </w:tcPr>
          <w:p w14:paraId="4A86AB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14:paraId="78A03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shd w:val="clear" w:color="auto" w:fill="auto"/>
            <w:vAlign w:val="center"/>
          </w:tcPr>
          <w:p w14:paraId="2B323CCE">
            <w:pPr>
              <w:jc w:val="center"/>
              <w:rPr>
                <w:rFonts w:hint="default" w:ascii="Times New Roman" w:hAnsi="Times New Roman" w:eastAsia="宋体" w:cs="Times New Roman"/>
                <w:i w:val="0"/>
                <w:iCs w:val="0"/>
                <w:color w:val="000000"/>
                <w:sz w:val="18"/>
                <w:szCs w:val="18"/>
                <w:u w:val="none"/>
              </w:rPr>
            </w:pPr>
          </w:p>
        </w:tc>
        <w:tc>
          <w:tcPr>
            <w:tcW w:w="4761" w:type="dxa"/>
            <w:shd w:val="clear" w:color="auto" w:fill="auto"/>
            <w:vAlign w:val="center"/>
          </w:tcPr>
          <w:p w14:paraId="06E833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Physical and mental health score</w:t>
            </w:r>
          </w:p>
        </w:tc>
        <w:tc>
          <w:tcPr>
            <w:tcW w:w="2465" w:type="dxa"/>
            <w:shd w:val="clear" w:color="auto" w:fill="auto"/>
            <w:vAlign w:val="center"/>
          </w:tcPr>
          <w:p w14:paraId="67698C1A">
            <w:pPr>
              <w:jc w:val="center"/>
              <w:rPr>
                <w:rFonts w:hint="default" w:ascii="Times New Roman" w:hAnsi="Times New Roman" w:eastAsia="宋体" w:cs="Times New Roman"/>
                <w:i w:val="0"/>
                <w:iCs w:val="0"/>
                <w:color w:val="000000"/>
                <w:sz w:val="18"/>
                <w:szCs w:val="18"/>
                <w:u w:val="none"/>
              </w:rPr>
            </w:pPr>
          </w:p>
        </w:tc>
        <w:tc>
          <w:tcPr>
            <w:tcW w:w="1125" w:type="dxa"/>
            <w:shd w:val="clear" w:color="auto" w:fill="auto"/>
            <w:noWrap/>
            <w:vAlign w:val="center"/>
          </w:tcPr>
          <w:p w14:paraId="7075E2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-0.037 </w:t>
            </w:r>
          </w:p>
        </w:tc>
        <w:tc>
          <w:tcPr>
            <w:tcW w:w="0" w:type="auto"/>
            <w:shd w:val="clear" w:color="auto" w:fill="auto"/>
            <w:noWrap/>
            <w:vAlign w:val="center"/>
          </w:tcPr>
          <w:p w14:paraId="6DDF8E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0.005 </w:t>
            </w:r>
          </w:p>
        </w:tc>
        <w:tc>
          <w:tcPr>
            <w:tcW w:w="0" w:type="auto"/>
            <w:shd w:val="clear" w:color="auto" w:fill="auto"/>
            <w:noWrap/>
            <w:vAlign w:val="center"/>
          </w:tcPr>
          <w:p w14:paraId="3F9583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0.964 (0.955–0.972)</w:t>
            </w:r>
          </w:p>
        </w:tc>
        <w:tc>
          <w:tcPr>
            <w:tcW w:w="0" w:type="auto"/>
            <w:shd w:val="clear" w:color="auto" w:fill="auto"/>
            <w:noWrap/>
            <w:vAlign w:val="center"/>
          </w:tcPr>
          <w:p w14:paraId="30C889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14:paraId="13F70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2102" w:type="dxa"/>
            <w:vMerge w:val="continue"/>
            <w:tcBorders>
              <w:bottom w:val="single" w:color="auto" w:sz="4" w:space="0"/>
            </w:tcBorders>
            <w:shd w:val="clear" w:color="auto" w:fill="auto"/>
            <w:vAlign w:val="center"/>
          </w:tcPr>
          <w:p w14:paraId="38075E81">
            <w:pPr>
              <w:jc w:val="center"/>
              <w:rPr>
                <w:rFonts w:hint="default" w:ascii="Times New Roman" w:hAnsi="Times New Roman" w:eastAsia="宋体" w:cs="Times New Roman"/>
                <w:i w:val="0"/>
                <w:iCs w:val="0"/>
                <w:color w:val="000000"/>
                <w:sz w:val="18"/>
                <w:szCs w:val="18"/>
                <w:u w:val="none"/>
              </w:rPr>
            </w:pPr>
          </w:p>
        </w:tc>
        <w:tc>
          <w:tcPr>
            <w:tcW w:w="4761" w:type="dxa"/>
            <w:tcBorders>
              <w:bottom w:val="single" w:color="auto" w:sz="4" w:space="0"/>
            </w:tcBorders>
            <w:shd w:val="clear" w:color="auto" w:fill="auto"/>
            <w:vAlign w:val="center"/>
          </w:tcPr>
          <w:p w14:paraId="32745A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Missed nursing care score</w:t>
            </w:r>
          </w:p>
        </w:tc>
        <w:tc>
          <w:tcPr>
            <w:tcW w:w="2465" w:type="dxa"/>
            <w:tcBorders>
              <w:bottom w:val="single" w:color="auto" w:sz="4" w:space="0"/>
            </w:tcBorders>
            <w:shd w:val="clear" w:color="auto" w:fill="auto"/>
            <w:vAlign w:val="center"/>
          </w:tcPr>
          <w:p w14:paraId="52D86384">
            <w:pPr>
              <w:jc w:val="center"/>
              <w:rPr>
                <w:rFonts w:hint="default" w:ascii="Times New Roman" w:hAnsi="Times New Roman" w:eastAsia="宋体" w:cs="Times New Roman"/>
                <w:i w:val="0"/>
                <w:iCs w:val="0"/>
                <w:color w:val="000000"/>
                <w:sz w:val="18"/>
                <w:szCs w:val="18"/>
                <w:u w:val="none"/>
              </w:rPr>
            </w:pPr>
          </w:p>
        </w:tc>
        <w:tc>
          <w:tcPr>
            <w:tcW w:w="1125" w:type="dxa"/>
            <w:tcBorders>
              <w:bottom w:val="single" w:color="auto" w:sz="4" w:space="0"/>
            </w:tcBorders>
            <w:shd w:val="clear" w:color="auto" w:fill="auto"/>
            <w:noWrap/>
            <w:vAlign w:val="center"/>
          </w:tcPr>
          <w:p w14:paraId="73CB42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0.018 </w:t>
            </w:r>
          </w:p>
        </w:tc>
        <w:tc>
          <w:tcPr>
            <w:tcW w:w="0" w:type="auto"/>
            <w:tcBorders>
              <w:bottom w:val="single" w:color="auto" w:sz="4" w:space="0"/>
            </w:tcBorders>
            <w:shd w:val="clear" w:color="auto" w:fill="auto"/>
            <w:noWrap/>
            <w:vAlign w:val="center"/>
          </w:tcPr>
          <w:p w14:paraId="058FCA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0.004 </w:t>
            </w:r>
          </w:p>
        </w:tc>
        <w:tc>
          <w:tcPr>
            <w:tcW w:w="0" w:type="auto"/>
            <w:tcBorders>
              <w:bottom w:val="single" w:color="auto" w:sz="4" w:space="0"/>
            </w:tcBorders>
            <w:shd w:val="clear" w:color="auto" w:fill="auto"/>
            <w:noWrap/>
            <w:vAlign w:val="center"/>
          </w:tcPr>
          <w:p w14:paraId="360C52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1.018 (1.009–1.027)</w:t>
            </w:r>
          </w:p>
        </w:tc>
        <w:tc>
          <w:tcPr>
            <w:tcW w:w="0" w:type="auto"/>
            <w:tcBorders>
              <w:bottom w:val="single" w:color="auto" w:sz="4" w:space="0"/>
            </w:tcBorders>
            <w:shd w:val="clear" w:color="auto" w:fill="auto"/>
            <w:noWrap/>
            <w:vAlign w:val="center"/>
          </w:tcPr>
          <w:p w14:paraId="525D60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14:paraId="233B8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trPr>
        <w:tc>
          <w:tcPr>
            <w:tcW w:w="13680" w:type="dxa"/>
            <w:gridSpan w:val="7"/>
            <w:tcBorders>
              <w:top w:val="single" w:color="auto" w:sz="4" w:space="0"/>
            </w:tcBorders>
            <w:shd w:val="clear" w:color="auto" w:fill="auto"/>
            <w:vAlign w:val="center"/>
          </w:tcPr>
          <w:p w14:paraId="4D874AD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Note: N = 3,351; the high profile was the reference outcome. All covariates were entered simultaneously, with R3STEP accounting for classification uncertainty. Categorical reference groups are shown in parentheses; ORs for continuous variables represent a one-unit increase. B = regression coefficient; SE = standard error; OR = odds ratio; CI = confidence interval.</w:t>
            </w:r>
          </w:p>
        </w:tc>
      </w:tr>
    </w:tbl>
    <w:p w14:paraId="5D5924D5">
      <w:pPr>
        <w:rPr>
          <w:rFonts w:ascii="Times New Roman" w:hAnsi="Times New Roman" w:eastAsia="宋体"/>
        </w:rPr>
      </w:pPr>
    </w:p>
    <w:p w14:paraId="57F92EC7">
      <w:pPr>
        <w:rPr>
          <w:rFonts w:ascii="Times New Roman" w:hAnsi="Times New Roman" w:eastAsia="宋体"/>
        </w:rPr>
      </w:pPr>
    </w:p>
    <w:p w14:paraId="031D56B9">
      <w:pPr>
        <w:rPr>
          <w:rFonts w:ascii="Times New Roman" w:hAnsi="Times New Roman" w:eastAsia="宋体"/>
        </w:rPr>
      </w:pPr>
    </w:p>
    <w:p w14:paraId="2AF4FEEE">
      <w:pPr>
        <w:rPr>
          <w:rFonts w:ascii="Times New Roman" w:hAnsi="Times New Roman" w:eastAsia="宋体"/>
        </w:rPr>
      </w:pPr>
    </w:p>
    <w:p w14:paraId="212F9989">
      <w:pPr>
        <w:rPr>
          <w:rFonts w:ascii="Times New Roman" w:hAnsi="Times New Roman" w:eastAsia="宋体"/>
        </w:rPr>
      </w:pPr>
    </w:p>
    <w:p w14:paraId="2268C52C">
      <w:pPr>
        <w:rPr>
          <w:rFonts w:ascii="Times New Roman" w:hAnsi="Times New Roman" w:eastAsia="宋体"/>
        </w:rPr>
      </w:pPr>
    </w:p>
    <w:p w14:paraId="45036B53">
      <w:pPr>
        <w:rPr>
          <w:rFonts w:ascii="Times New Roman" w:hAnsi="Times New Roman" w:eastAsia="宋体"/>
        </w:rPr>
      </w:pPr>
    </w:p>
    <w:p w14:paraId="06B41005">
      <w:pPr>
        <w:rPr>
          <w:rFonts w:ascii="Times New Roman" w:hAnsi="Times New Roman" w:eastAsia="宋体"/>
        </w:rPr>
      </w:pPr>
    </w:p>
    <w:p w14:paraId="00FDFF49">
      <w:pPr>
        <w:rPr>
          <w:rFonts w:ascii="Times New Roman" w:hAnsi="Times New Roman" w:eastAsia="宋体"/>
        </w:rPr>
      </w:pPr>
    </w:p>
    <w:p w14:paraId="74FE439B">
      <w:pPr>
        <w:rPr>
          <w:rFonts w:ascii="Times New Roman" w:hAnsi="Times New Roman" w:eastAsia="宋体"/>
        </w:rPr>
      </w:pPr>
    </w:p>
    <w:p w14:paraId="6A629E9D">
      <w:pPr>
        <w:rPr>
          <w:rFonts w:ascii="Times New Roman" w:hAnsi="Times New Roman" w:eastAsia="宋体"/>
        </w:rPr>
      </w:pPr>
    </w:p>
    <w:p w14:paraId="5049B157">
      <w:pPr>
        <w:rPr>
          <w:rFonts w:ascii="Times New Roman" w:hAnsi="Times New Roman" w:eastAsia="宋体"/>
        </w:rPr>
      </w:pPr>
    </w:p>
    <w:p w14:paraId="7CDD55E4">
      <w:pPr>
        <w:rPr>
          <w:rFonts w:ascii="Times New Roman" w:hAnsi="Times New Roman" w:eastAsia="宋体"/>
        </w:rPr>
      </w:pPr>
    </w:p>
    <w:p w14:paraId="6928E2B1">
      <w:pPr>
        <w:rPr>
          <w:rFonts w:ascii="Times New Roman" w:hAnsi="Times New Roman" w:eastAsia="宋体"/>
        </w:rPr>
      </w:pPr>
    </w:p>
    <w:p w14:paraId="2EBF845A">
      <w:pPr>
        <w:rPr>
          <w:rFonts w:ascii="Times New Roman" w:hAnsi="Times New Roman" w:eastAsia="宋体"/>
        </w:rPr>
      </w:pPr>
    </w:p>
    <w:p w14:paraId="090BC92D">
      <w:pPr>
        <w:rPr>
          <w:rFonts w:ascii="Times New Roman" w:hAnsi="Times New Roman" w:eastAsia="宋体"/>
        </w:rPr>
      </w:pPr>
    </w:p>
    <w:p w14:paraId="4BFE8F5C">
      <w:pPr>
        <w:rPr>
          <w:rFonts w:ascii="Times New Roman" w:hAnsi="Times New Roman" w:eastAsia="宋体"/>
        </w:rPr>
      </w:pPr>
    </w:p>
    <w:p w14:paraId="2BF977BD">
      <w:pPr>
        <w:rPr>
          <w:rFonts w:ascii="Times New Roman" w:hAnsi="Times New Roman" w:eastAsia="宋体"/>
        </w:rPr>
      </w:pPr>
    </w:p>
    <w:p w14:paraId="1C04368A">
      <w:pPr>
        <w:rPr>
          <w:rFonts w:ascii="Times New Roman" w:hAnsi="Times New Roman" w:eastAsia="宋体"/>
        </w:rPr>
      </w:pPr>
    </w:p>
    <w:p w14:paraId="6B9492E2">
      <w:pPr>
        <w:rPr>
          <w:rFonts w:ascii="Times New Roman" w:hAnsi="Times New Roman" w:eastAsia="宋体"/>
        </w:rPr>
      </w:pPr>
    </w:p>
    <w:tbl>
      <w:tblPr>
        <w:tblStyle w:val="3"/>
        <w:tblW w:w="141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93"/>
        <w:gridCol w:w="796"/>
        <w:gridCol w:w="4197"/>
        <w:gridCol w:w="1173"/>
        <w:gridCol w:w="4474"/>
        <w:gridCol w:w="1541"/>
      </w:tblGrid>
      <w:tr w14:paraId="0602B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14174" w:type="dxa"/>
            <w:gridSpan w:val="6"/>
            <w:tcBorders>
              <w:bottom w:val="single" w:color="auto" w:sz="4" w:space="0"/>
            </w:tcBorders>
            <w:shd w:val="clear" w:color="auto" w:fill="auto"/>
            <w:noWrap/>
            <w:vAlign w:val="center"/>
          </w:tcPr>
          <w:p w14:paraId="7FB1CB09">
            <w:pPr>
              <w:tabs>
                <w:tab w:val="left" w:pos="1286"/>
              </w:tabs>
              <w:jc w:val="center"/>
              <w:rPr>
                <w:rFonts w:hint="eastAsia" w:ascii="Times New Roman" w:hAnsi="Times New Roman" w:eastAsia="宋体" w:cs="Times New Roman"/>
                <w:i w:val="0"/>
                <w:iCs w:val="0"/>
                <w:color w:val="auto"/>
                <w:sz w:val="22"/>
                <w:szCs w:val="22"/>
                <w:u w:val="none"/>
                <w:lang w:eastAsia="zh-CN"/>
              </w:rPr>
            </w:pPr>
            <w:r>
              <w:rPr>
                <w:rFonts w:hint="default" w:ascii="Times New Roman" w:hAnsi="Times New Roman" w:eastAsia="宋体" w:cs="Times New Roman"/>
                <w:sz w:val="21"/>
                <w:szCs w:val="21"/>
              </w:rPr>
              <w:t>Table S</w:t>
            </w:r>
            <w:r>
              <w:rPr>
                <w:rFonts w:hint="eastAsia"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rPr>
              <w:t>. Five nodes with the highest expected influence and one-step bridge expected influence values in each profile-specific network.</w:t>
            </w:r>
          </w:p>
        </w:tc>
      </w:tr>
      <w:tr w14:paraId="47726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2" w:hRule="atLeast"/>
          <w:jc w:val="center"/>
        </w:trPr>
        <w:tc>
          <w:tcPr>
            <w:tcW w:w="1993" w:type="dxa"/>
            <w:tcBorders>
              <w:top w:val="single" w:color="auto" w:sz="4" w:space="0"/>
              <w:bottom w:val="single" w:color="auto" w:sz="4" w:space="0"/>
            </w:tcBorders>
            <w:shd w:val="clear" w:color="auto" w:fill="auto"/>
            <w:vAlign w:val="center"/>
          </w:tcPr>
          <w:p w14:paraId="0FEF6E23">
            <w:pPr>
              <w:keepNext w:val="0"/>
              <w:keepLines w:val="0"/>
              <w:widowControl/>
              <w:suppressLineNumbers w:val="0"/>
              <w:jc w:val="center"/>
              <w:textAlignment w:val="center"/>
              <w:rPr>
                <w:rFonts w:hint="default" w:ascii="Times New Roman" w:hAnsi="Times New Roman" w:eastAsia="宋体" w:cs="Times New Roman"/>
                <w:b w:val="0"/>
                <w:bCs w:val="0"/>
                <w:i w:val="0"/>
                <w:iCs w:val="0"/>
                <w:strike w:val="0"/>
                <w:dstrike w:val="0"/>
                <w:color w:val="auto"/>
                <w:sz w:val="22"/>
                <w:szCs w:val="22"/>
                <w:u w:val="none"/>
              </w:rPr>
            </w:pPr>
            <w:r>
              <w:rPr>
                <w:rFonts w:hint="default" w:ascii="Times New Roman" w:hAnsi="Times New Roman" w:eastAsia="宋体" w:cs="Times New Roman"/>
                <w:b w:val="0"/>
                <w:bCs w:val="0"/>
                <w:i w:val="0"/>
                <w:iCs w:val="0"/>
                <w:strike w:val="0"/>
                <w:dstrike w:val="0"/>
                <w:color w:val="auto"/>
                <w:kern w:val="0"/>
                <w:sz w:val="22"/>
                <w:szCs w:val="22"/>
                <w:u w:val="none"/>
                <w:lang w:val="en-US" w:eastAsia="zh-CN" w:bidi="ar"/>
              </w:rPr>
              <w:t>Profile</w:t>
            </w:r>
          </w:p>
        </w:tc>
        <w:tc>
          <w:tcPr>
            <w:tcW w:w="796" w:type="dxa"/>
            <w:tcBorders>
              <w:top w:val="single" w:color="auto" w:sz="4" w:space="0"/>
              <w:bottom w:val="single" w:color="auto" w:sz="4" w:space="0"/>
            </w:tcBorders>
            <w:shd w:val="clear" w:color="auto" w:fill="auto"/>
            <w:vAlign w:val="center"/>
          </w:tcPr>
          <w:p w14:paraId="1A75685A">
            <w:pPr>
              <w:keepNext w:val="0"/>
              <w:keepLines w:val="0"/>
              <w:widowControl/>
              <w:suppressLineNumbers w:val="0"/>
              <w:jc w:val="center"/>
              <w:textAlignment w:val="center"/>
              <w:rPr>
                <w:rFonts w:hint="default" w:ascii="Times New Roman" w:hAnsi="Times New Roman" w:eastAsia="宋体" w:cs="Times New Roman"/>
                <w:b w:val="0"/>
                <w:bCs w:val="0"/>
                <w:i w:val="0"/>
                <w:iCs w:val="0"/>
                <w:strike w:val="0"/>
                <w:dstrike w:val="0"/>
                <w:color w:val="auto"/>
                <w:sz w:val="22"/>
                <w:szCs w:val="22"/>
                <w:u w:val="none"/>
              </w:rPr>
            </w:pPr>
            <w:r>
              <w:rPr>
                <w:rFonts w:hint="default" w:ascii="Times New Roman" w:hAnsi="Times New Roman" w:eastAsia="宋体" w:cs="Times New Roman"/>
                <w:b w:val="0"/>
                <w:bCs w:val="0"/>
                <w:i w:val="0"/>
                <w:iCs w:val="0"/>
                <w:strike w:val="0"/>
                <w:dstrike w:val="0"/>
                <w:color w:val="auto"/>
                <w:kern w:val="0"/>
                <w:sz w:val="22"/>
                <w:szCs w:val="22"/>
                <w:u w:val="none"/>
                <w:lang w:val="en-US" w:eastAsia="zh-CN" w:bidi="ar"/>
              </w:rPr>
              <w:t>Rank</w:t>
            </w:r>
          </w:p>
        </w:tc>
        <w:tc>
          <w:tcPr>
            <w:tcW w:w="4197" w:type="dxa"/>
            <w:tcBorders>
              <w:top w:val="single" w:color="auto" w:sz="4" w:space="0"/>
              <w:bottom w:val="single" w:color="auto" w:sz="4" w:space="0"/>
            </w:tcBorders>
            <w:shd w:val="clear" w:color="auto" w:fill="auto"/>
            <w:vAlign w:val="center"/>
          </w:tcPr>
          <w:p w14:paraId="34F0D24C">
            <w:pPr>
              <w:keepNext w:val="0"/>
              <w:keepLines w:val="0"/>
              <w:widowControl/>
              <w:suppressLineNumbers w:val="0"/>
              <w:jc w:val="center"/>
              <w:textAlignment w:val="center"/>
              <w:rPr>
                <w:rFonts w:hint="default" w:ascii="Times New Roman" w:hAnsi="Times New Roman" w:eastAsia="宋体" w:cs="Times New Roman"/>
                <w:b w:val="0"/>
                <w:bCs w:val="0"/>
                <w:i w:val="0"/>
                <w:iCs w:val="0"/>
                <w:strike w:val="0"/>
                <w:dstrike w:val="0"/>
                <w:color w:val="auto"/>
                <w:sz w:val="22"/>
                <w:szCs w:val="22"/>
                <w:u w:val="none"/>
              </w:rPr>
            </w:pPr>
            <w:r>
              <w:rPr>
                <w:rFonts w:hint="default" w:ascii="Times New Roman" w:hAnsi="Times New Roman" w:eastAsia="宋体" w:cs="Times New Roman"/>
                <w:b w:val="0"/>
                <w:bCs w:val="0"/>
                <w:i w:val="0"/>
                <w:iCs w:val="0"/>
                <w:strike w:val="0"/>
                <w:dstrike w:val="0"/>
                <w:color w:val="auto"/>
                <w:kern w:val="0"/>
                <w:sz w:val="22"/>
                <w:szCs w:val="22"/>
                <w:u w:val="none"/>
                <w:lang w:val="en-US" w:eastAsia="zh-CN" w:bidi="ar"/>
              </w:rPr>
              <w:t>EI node</w:t>
            </w:r>
          </w:p>
        </w:tc>
        <w:tc>
          <w:tcPr>
            <w:tcW w:w="1173" w:type="dxa"/>
            <w:tcBorders>
              <w:top w:val="single" w:color="auto" w:sz="4" w:space="0"/>
              <w:bottom w:val="single" w:color="auto" w:sz="4" w:space="0"/>
            </w:tcBorders>
            <w:shd w:val="clear" w:color="auto" w:fill="auto"/>
            <w:vAlign w:val="center"/>
          </w:tcPr>
          <w:p w14:paraId="537E7F66">
            <w:pPr>
              <w:keepNext w:val="0"/>
              <w:keepLines w:val="0"/>
              <w:widowControl/>
              <w:suppressLineNumbers w:val="0"/>
              <w:jc w:val="center"/>
              <w:textAlignment w:val="center"/>
              <w:rPr>
                <w:rFonts w:hint="default" w:ascii="Times New Roman" w:hAnsi="Times New Roman" w:eastAsia="宋体" w:cs="Times New Roman"/>
                <w:b w:val="0"/>
                <w:bCs w:val="0"/>
                <w:i w:val="0"/>
                <w:iCs w:val="0"/>
                <w:strike w:val="0"/>
                <w:dstrike w:val="0"/>
                <w:color w:val="auto"/>
                <w:sz w:val="22"/>
                <w:szCs w:val="22"/>
                <w:u w:val="none"/>
              </w:rPr>
            </w:pPr>
            <w:r>
              <w:rPr>
                <w:rFonts w:hint="default" w:ascii="Times New Roman" w:hAnsi="Times New Roman" w:eastAsia="宋体" w:cs="Times New Roman"/>
                <w:b w:val="0"/>
                <w:bCs w:val="0"/>
                <w:i w:val="0"/>
                <w:iCs w:val="0"/>
                <w:strike w:val="0"/>
                <w:dstrike w:val="0"/>
                <w:color w:val="auto"/>
                <w:kern w:val="0"/>
                <w:sz w:val="22"/>
                <w:szCs w:val="22"/>
                <w:u w:val="none"/>
                <w:lang w:val="en-US" w:eastAsia="zh-CN" w:bidi="ar"/>
              </w:rPr>
              <w:t>EI value</w:t>
            </w:r>
          </w:p>
        </w:tc>
        <w:tc>
          <w:tcPr>
            <w:tcW w:w="4474" w:type="dxa"/>
            <w:tcBorders>
              <w:top w:val="single" w:color="auto" w:sz="4" w:space="0"/>
              <w:bottom w:val="single" w:color="auto" w:sz="4" w:space="0"/>
            </w:tcBorders>
            <w:shd w:val="clear" w:color="auto" w:fill="auto"/>
            <w:vAlign w:val="center"/>
          </w:tcPr>
          <w:p w14:paraId="0FDE1F22">
            <w:pPr>
              <w:keepNext w:val="0"/>
              <w:keepLines w:val="0"/>
              <w:widowControl/>
              <w:suppressLineNumbers w:val="0"/>
              <w:jc w:val="center"/>
              <w:textAlignment w:val="center"/>
              <w:rPr>
                <w:rFonts w:hint="default" w:ascii="Times New Roman" w:hAnsi="Times New Roman" w:eastAsia="宋体" w:cs="Times New Roman"/>
                <w:b w:val="0"/>
                <w:bCs w:val="0"/>
                <w:i w:val="0"/>
                <w:iCs w:val="0"/>
                <w:strike w:val="0"/>
                <w:dstrike w:val="0"/>
                <w:color w:val="auto"/>
                <w:sz w:val="22"/>
                <w:szCs w:val="22"/>
                <w:u w:val="none"/>
              </w:rPr>
            </w:pPr>
            <w:r>
              <w:rPr>
                <w:rFonts w:hint="default" w:ascii="Times New Roman" w:hAnsi="Times New Roman" w:eastAsia="宋体" w:cs="Times New Roman"/>
                <w:b w:val="0"/>
                <w:bCs w:val="0"/>
                <w:i w:val="0"/>
                <w:iCs w:val="0"/>
                <w:strike w:val="0"/>
                <w:dstrike w:val="0"/>
                <w:color w:val="auto"/>
                <w:kern w:val="0"/>
                <w:sz w:val="22"/>
                <w:szCs w:val="22"/>
                <w:u w:val="none"/>
                <w:lang w:val="en-US" w:eastAsia="zh-CN" w:bidi="ar"/>
              </w:rPr>
              <w:t>BEI node</w:t>
            </w:r>
          </w:p>
        </w:tc>
        <w:tc>
          <w:tcPr>
            <w:tcW w:w="1541" w:type="dxa"/>
            <w:tcBorders>
              <w:top w:val="single" w:color="auto" w:sz="4" w:space="0"/>
              <w:bottom w:val="single" w:color="auto" w:sz="4" w:space="0"/>
            </w:tcBorders>
            <w:shd w:val="clear" w:color="auto" w:fill="auto"/>
            <w:vAlign w:val="center"/>
          </w:tcPr>
          <w:p w14:paraId="47C984A5">
            <w:pPr>
              <w:keepNext w:val="0"/>
              <w:keepLines w:val="0"/>
              <w:widowControl/>
              <w:suppressLineNumbers w:val="0"/>
              <w:jc w:val="center"/>
              <w:textAlignment w:val="center"/>
              <w:rPr>
                <w:rFonts w:hint="default" w:ascii="Times New Roman" w:hAnsi="Times New Roman" w:eastAsia="宋体" w:cs="Times New Roman"/>
                <w:b w:val="0"/>
                <w:bCs w:val="0"/>
                <w:i w:val="0"/>
                <w:iCs w:val="0"/>
                <w:strike w:val="0"/>
                <w:dstrike w:val="0"/>
                <w:color w:val="auto"/>
                <w:sz w:val="22"/>
                <w:szCs w:val="22"/>
                <w:u w:val="none"/>
              </w:rPr>
            </w:pPr>
            <w:r>
              <w:rPr>
                <w:rFonts w:hint="default" w:ascii="Times New Roman" w:hAnsi="Times New Roman" w:eastAsia="宋体" w:cs="Times New Roman"/>
                <w:b w:val="0"/>
                <w:bCs w:val="0"/>
                <w:i w:val="0"/>
                <w:iCs w:val="0"/>
                <w:strike w:val="0"/>
                <w:dstrike w:val="0"/>
                <w:color w:val="auto"/>
                <w:kern w:val="0"/>
                <w:sz w:val="22"/>
                <w:szCs w:val="22"/>
                <w:u w:val="none"/>
                <w:lang w:val="en-US" w:eastAsia="zh-CN" w:bidi="ar"/>
              </w:rPr>
              <w:t>BEI value</w:t>
            </w:r>
          </w:p>
        </w:tc>
      </w:tr>
      <w:tr w14:paraId="51EC2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1993" w:type="dxa"/>
            <w:tcBorders>
              <w:top w:val="single" w:color="auto" w:sz="4" w:space="0"/>
            </w:tcBorders>
            <w:shd w:val="clear" w:color="auto" w:fill="auto"/>
            <w:noWrap/>
            <w:vAlign w:val="center"/>
          </w:tcPr>
          <w:p w14:paraId="4AE64CDF">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sz w:val="22"/>
                <w:szCs w:val="22"/>
                <w:u w:val="none"/>
              </w:rPr>
              <w:t>Low profile</w:t>
            </w:r>
          </w:p>
        </w:tc>
        <w:tc>
          <w:tcPr>
            <w:tcW w:w="796" w:type="dxa"/>
            <w:tcBorders>
              <w:top w:val="single" w:color="auto" w:sz="4" w:space="0"/>
            </w:tcBorders>
            <w:shd w:val="clear" w:color="auto" w:fill="auto"/>
            <w:noWrap/>
            <w:vAlign w:val="center"/>
          </w:tcPr>
          <w:p w14:paraId="245DF4DE">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1</w:t>
            </w:r>
          </w:p>
        </w:tc>
        <w:tc>
          <w:tcPr>
            <w:tcW w:w="4197" w:type="dxa"/>
            <w:tcBorders>
              <w:top w:val="single" w:color="auto" w:sz="4" w:space="0"/>
            </w:tcBorders>
            <w:shd w:val="clear" w:color="auto" w:fill="auto"/>
            <w:noWrap/>
            <w:vAlign w:val="center"/>
          </w:tcPr>
          <w:p w14:paraId="626759A2">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RE (Role-Emotional)</w:t>
            </w:r>
          </w:p>
        </w:tc>
        <w:tc>
          <w:tcPr>
            <w:tcW w:w="1173" w:type="dxa"/>
            <w:tcBorders>
              <w:top w:val="single" w:color="auto" w:sz="4" w:space="0"/>
            </w:tcBorders>
            <w:shd w:val="clear" w:color="auto" w:fill="auto"/>
            <w:noWrap/>
            <w:vAlign w:val="center"/>
          </w:tcPr>
          <w:p w14:paraId="67577174">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kern w:val="0"/>
                <w:sz w:val="21"/>
                <w:szCs w:val="21"/>
                <w:u w:val="none"/>
                <w:lang w:val="en-US" w:eastAsia="zh-CN" w:bidi="ar"/>
              </w:rPr>
            </w:pPr>
            <w:r>
              <w:rPr>
                <w:rFonts w:hint="default" w:ascii="Times New Roman" w:hAnsi="Times New Roman" w:eastAsia="宋体" w:cs="Times New Roman"/>
                <w:i w:val="0"/>
                <w:iCs w:val="0"/>
                <w:strike w:val="0"/>
                <w:dstrike w:val="0"/>
                <w:color w:val="000000"/>
                <w:kern w:val="0"/>
                <w:sz w:val="21"/>
                <w:szCs w:val="21"/>
                <w:u w:val="none"/>
                <w:lang w:val="en-US" w:eastAsia="zh-CN" w:bidi="ar"/>
              </w:rPr>
              <w:t>0.992</w:t>
            </w:r>
          </w:p>
        </w:tc>
        <w:tc>
          <w:tcPr>
            <w:tcW w:w="4474" w:type="dxa"/>
            <w:tcBorders>
              <w:top w:val="single" w:color="auto" w:sz="4" w:space="0"/>
            </w:tcBorders>
            <w:shd w:val="clear" w:color="auto" w:fill="auto"/>
            <w:noWrap/>
            <w:vAlign w:val="center"/>
          </w:tcPr>
          <w:p w14:paraId="1B9EA2CA">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PSS (Patient Safety Support)</w:t>
            </w:r>
          </w:p>
        </w:tc>
        <w:tc>
          <w:tcPr>
            <w:tcW w:w="1541" w:type="dxa"/>
            <w:tcBorders>
              <w:top w:val="single" w:color="auto" w:sz="4" w:space="0"/>
            </w:tcBorders>
            <w:shd w:val="clear" w:color="auto" w:fill="auto"/>
            <w:noWrap/>
            <w:vAlign w:val="center"/>
          </w:tcPr>
          <w:p w14:paraId="53D7A8DD">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1"/>
                <w:szCs w:val="21"/>
                <w:u w:val="none"/>
              </w:rPr>
            </w:pPr>
            <w:r>
              <w:rPr>
                <w:rFonts w:hint="default" w:ascii="Times New Roman" w:hAnsi="Times New Roman" w:eastAsia="宋体" w:cs="Times New Roman"/>
                <w:i w:val="0"/>
                <w:iCs w:val="0"/>
                <w:strike w:val="0"/>
                <w:dstrike w:val="0"/>
                <w:color w:val="000000"/>
                <w:kern w:val="0"/>
                <w:sz w:val="21"/>
                <w:szCs w:val="21"/>
                <w:u w:val="none"/>
                <w:lang w:val="en-US" w:eastAsia="zh-CN" w:bidi="ar"/>
              </w:rPr>
              <w:t>0.099</w:t>
            </w:r>
          </w:p>
        </w:tc>
      </w:tr>
      <w:tr w14:paraId="577AB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1993" w:type="dxa"/>
            <w:shd w:val="clear" w:color="auto" w:fill="auto"/>
            <w:noWrap/>
            <w:vAlign w:val="center"/>
          </w:tcPr>
          <w:p w14:paraId="4B49B3C0">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sz w:val="22"/>
                <w:szCs w:val="22"/>
                <w:u w:val="none"/>
              </w:rPr>
              <w:t>Low profile</w:t>
            </w:r>
          </w:p>
        </w:tc>
        <w:tc>
          <w:tcPr>
            <w:tcW w:w="796" w:type="dxa"/>
            <w:shd w:val="clear" w:color="auto" w:fill="auto"/>
            <w:noWrap/>
            <w:vAlign w:val="center"/>
          </w:tcPr>
          <w:p w14:paraId="5C31524B">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2</w:t>
            </w:r>
          </w:p>
        </w:tc>
        <w:tc>
          <w:tcPr>
            <w:tcW w:w="4197" w:type="dxa"/>
            <w:shd w:val="clear" w:color="auto" w:fill="auto"/>
            <w:noWrap/>
            <w:vAlign w:val="center"/>
          </w:tcPr>
          <w:p w14:paraId="7581A3B3">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RP (Role-Physical)</w:t>
            </w:r>
          </w:p>
        </w:tc>
        <w:tc>
          <w:tcPr>
            <w:tcW w:w="1173" w:type="dxa"/>
            <w:shd w:val="clear" w:color="auto" w:fill="auto"/>
            <w:noWrap/>
            <w:vAlign w:val="center"/>
          </w:tcPr>
          <w:p w14:paraId="012D89AD">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kern w:val="0"/>
                <w:sz w:val="21"/>
                <w:szCs w:val="21"/>
                <w:u w:val="none"/>
                <w:lang w:val="en-US" w:eastAsia="zh-CN" w:bidi="ar"/>
              </w:rPr>
            </w:pPr>
            <w:r>
              <w:rPr>
                <w:rFonts w:hint="default" w:ascii="Times New Roman" w:hAnsi="Times New Roman" w:eastAsia="宋体" w:cs="Times New Roman"/>
                <w:i w:val="0"/>
                <w:iCs w:val="0"/>
                <w:strike w:val="0"/>
                <w:dstrike w:val="0"/>
                <w:color w:val="000000"/>
                <w:kern w:val="0"/>
                <w:sz w:val="21"/>
                <w:szCs w:val="21"/>
                <w:u w:val="none"/>
                <w:lang w:val="en-US" w:eastAsia="zh-CN" w:bidi="ar"/>
              </w:rPr>
              <w:t>0.859</w:t>
            </w:r>
          </w:p>
        </w:tc>
        <w:tc>
          <w:tcPr>
            <w:tcW w:w="4474" w:type="dxa"/>
            <w:shd w:val="clear" w:color="auto" w:fill="auto"/>
            <w:noWrap/>
            <w:vAlign w:val="center"/>
          </w:tcPr>
          <w:p w14:paraId="453D1AFB">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VT (Vitality)</w:t>
            </w:r>
          </w:p>
        </w:tc>
        <w:tc>
          <w:tcPr>
            <w:tcW w:w="1541" w:type="dxa"/>
            <w:shd w:val="clear" w:color="auto" w:fill="auto"/>
            <w:noWrap/>
            <w:vAlign w:val="center"/>
          </w:tcPr>
          <w:p w14:paraId="35058F09">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1"/>
                <w:szCs w:val="21"/>
                <w:u w:val="none"/>
              </w:rPr>
            </w:pPr>
            <w:r>
              <w:rPr>
                <w:rFonts w:hint="default" w:ascii="Times New Roman" w:hAnsi="Times New Roman" w:eastAsia="宋体" w:cs="Times New Roman"/>
                <w:i w:val="0"/>
                <w:iCs w:val="0"/>
                <w:strike w:val="0"/>
                <w:dstrike w:val="0"/>
                <w:color w:val="000000"/>
                <w:kern w:val="0"/>
                <w:sz w:val="21"/>
                <w:szCs w:val="21"/>
                <w:u w:val="none"/>
                <w:lang w:val="en-US" w:eastAsia="zh-CN" w:bidi="ar"/>
              </w:rPr>
              <w:t>0.092</w:t>
            </w:r>
          </w:p>
        </w:tc>
      </w:tr>
      <w:tr w14:paraId="15AE0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1993" w:type="dxa"/>
            <w:shd w:val="clear" w:color="auto" w:fill="auto"/>
            <w:noWrap/>
            <w:vAlign w:val="center"/>
          </w:tcPr>
          <w:p w14:paraId="639A8E07">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sz w:val="22"/>
                <w:szCs w:val="22"/>
                <w:u w:val="none"/>
              </w:rPr>
              <w:t>Low profile</w:t>
            </w:r>
          </w:p>
        </w:tc>
        <w:tc>
          <w:tcPr>
            <w:tcW w:w="796" w:type="dxa"/>
            <w:shd w:val="clear" w:color="auto" w:fill="auto"/>
            <w:noWrap/>
            <w:vAlign w:val="center"/>
          </w:tcPr>
          <w:p w14:paraId="3AD3CCB6">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3</w:t>
            </w:r>
          </w:p>
        </w:tc>
        <w:tc>
          <w:tcPr>
            <w:tcW w:w="4197" w:type="dxa"/>
            <w:shd w:val="clear" w:color="auto" w:fill="auto"/>
            <w:noWrap/>
            <w:vAlign w:val="center"/>
          </w:tcPr>
          <w:p w14:paraId="3721246D">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GH (General Health)</w:t>
            </w:r>
          </w:p>
        </w:tc>
        <w:tc>
          <w:tcPr>
            <w:tcW w:w="1173" w:type="dxa"/>
            <w:shd w:val="clear" w:color="auto" w:fill="auto"/>
            <w:noWrap/>
            <w:vAlign w:val="center"/>
          </w:tcPr>
          <w:p w14:paraId="01A52260">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kern w:val="0"/>
                <w:sz w:val="21"/>
                <w:szCs w:val="21"/>
                <w:u w:val="none"/>
                <w:lang w:val="en-US" w:eastAsia="zh-CN" w:bidi="ar"/>
              </w:rPr>
            </w:pPr>
            <w:r>
              <w:rPr>
                <w:rFonts w:hint="default" w:ascii="Times New Roman" w:hAnsi="Times New Roman" w:eastAsia="宋体" w:cs="Times New Roman"/>
                <w:i w:val="0"/>
                <w:iCs w:val="0"/>
                <w:strike w:val="0"/>
                <w:dstrike w:val="0"/>
                <w:color w:val="000000"/>
                <w:kern w:val="0"/>
                <w:sz w:val="21"/>
                <w:szCs w:val="21"/>
                <w:u w:val="none"/>
                <w:lang w:val="en-US" w:eastAsia="zh-CN" w:bidi="ar"/>
              </w:rPr>
              <w:t>0.809</w:t>
            </w:r>
          </w:p>
        </w:tc>
        <w:tc>
          <w:tcPr>
            <w:tcW w:w="4474" w:type="dxa"/>
            <w:shd w:val="clear" w:color="auto" w:fill="auto"/>
            <w:noWrap/>
            <w:vAlign w:val="center"/>
          </w:tcPr>
          <w:p w14:paraId="6B5AC822">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MH (Mental Health)</w:t>
            </w:r>
          </w:p>
        </w:tc>
        <w:tc>
          <w:tcPr>
            <w:tcW w:w="1541" w:type="dxa"/>
            <w:shd w:val="clear" w:color="auto" w:fill="auto"/>
            <w:noWrap/>
            <w:vAlign w:val="center"/>
          </w:tcPr>
          <w:p w14:paraId="529EE723">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1"/>
                <w:szCs w:val="21"/>
                <w:u w:val="none"/>
              </w:rPr>
            </w:pPr>
            <w:r>
              <w:rPr>
                <w:rFonts w:hint="default" w:ascii="Times New Roman" w:hAnsi="Times New Roman" w:eastAsia="宋体" w:cs="Times New Roman"/>
                <w:i w:val="0"/>
                <w:iCs w:val="0"/>
                <w:strike w:val="0"/>
                <w:dstrike w:val="0"/>
                <w:color w:val="000000"/>
                <w:kern w:val="0"/>
                <w:sz w:val="21"/>
                <w:szCs w:val="21"/>
                <w:u w:val="none"/>
                <w:lang w:val="en-US" w:eastAsia="zh-CN" w:bidi="ar"/>
              </w:rPr>
              <w:t>0.081</w:t>
            </w:r>
          </w:p>
        </w:tc>
      </w:tr>
      <w:tr w14:paraId="6D93E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1993" w:type="dxa"/>
            <w:shd w:val="clear" w:color="auto" w:fill="auto"/>
            <w:noWrap/>
            <w:vAlign w:val="center"/>
          </w:tcPr>
          <w:p w14:paraId="3E38385D">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sz w:val="22"/>
                <w:szCs w:val="22"/>
                <w:u w:val="none"/>
              </w:rPr>
              <w:t>Low profile</w:t>
            </w:r>
          </w:p>
        </w:tc>
        <w:tc>
          <w:tcPr>
            <w:tcW w:w="796" w:type="dxa"/>
            <w:shd w:val="clear" w:color="auto" w:fill="auto"/>
            <w:noWrap/>
            <w:vAlign w:val="center"/>
          </w:tcPr>
          <w:p w14:paraId="59190731">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4</w:t>
            </w:r>
          </w:p>
        </w:tc>
        <w:tc>
          <w:tcPr>
            <w:tcW w:w="4197" w:type="dxa"/>
            <w:shd w:val="clear" w:color="auto" w:fill="auto"/>
            <w:noWrap/>
            <w:vAlign w:val="center"/>
          </w:tcPr>
          <w:p w14:paraId="48DF5313">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VT (Vitality)</w:t>
            </w:r>
          </w:p>
        </w:tc>
        <w:tc>
          <w:tcPr>
            <w:tcW w:w="1173" w:type="dxa"/>
            <w:shd w:val="clear" w:color="auto" w:fill="auto"/>
            <w:noWrap/>
            <w:vAlign w:val="center"/>
          </w:tcPr>
          <w:p w14:paraId="0AAD1A0D">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kern w:val="0"/>
                <w:sz w:val="21"/>
                <w:szCs w:val="21"/>
                <w:u w:val="none"/>
                <w:lang w:val="en-US" w:eastAsia="zh-CN" w:bidi="ar"/>
              </w:rPr>
            </w:pPr>
            <w:r>
              <w:rPr>
                <w:rFonts w:hint="default" w:ascii="Times New Roman" w:hAnsi="Times New Roman" w:eastAsia="宋体" w:cs="Times New Roman"/>
                <w:i w:val="0"/>
                <w:iCs w:val="0"/>
                <w:strike w:val="0"/>
                <w:dstrike w:val="0"/>
                <w:color w:val="000000"/>
                <w:kern w:val="0"/>
                <w:sz w:val="21"/>
                <w:szCs w:val="21"/>
                <w:u w:val="none"/>
                <w:lang w:val="en-US" w:eastAsia="zh-CN" w:bidi="ar"/>
              </w:rPr>
              <w:t>0.806</w:t>
            </w:r>
          </w:p>
        </w:tc>
        <w:tc>
          <w:tcPr>
            <w:tcW w:w="4474" w:type="dxa"/>
            <w:shd w:val="clear" w:color="auto" w:fill="auto"/>
            <w:noWrap/>
            <w:vAlign w:val="center"/>
          </w:tcPr>
          <w:p w14:paraId="782B7997">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RTE (Response to Errors)</w:t>
            </w:r>
          </w:p>
        </w:tc>
        <w:tc>
          <w:tcPr>
            <w:tcW w:w="1541" w:type="dxa"/>
            <w:shd w:val="clear" w:color="auto" w:fill="auto"/>
            <w:noWrap/>
            <w:vAlign w:val="center"/>
          </w:tcPr>
          <w:p w14:paraId="06297104">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1"/>
                <w:szCs w:val="21"/>
                <w:u w:val="none"/>
              </w:rPr>
            </w:pPr>
            <w:r>
              <w:rPr>
                <w:rFonts w:hint="default" w:ascii="Times New Roman" w:hAnsi="Times New Roman" w:eastAsia="宋体" w:cs="Times New Roman"/>
                <w:i w:val="0"/>
                <w:iCs w:val="0"/>
                <w:strike w:val="0"/>
                <w:dstrike w:val="0"/>
                <w:color w:val="000000"/>
                <w:kern w:val="0"/>
                <w:sz w:val="21"/>
                <w:szCs w:val="21"/>
                <w:u w:val="none"/>
                <w:lang w:val="en-US" w:eastAsia="zh-CN" w:bidi="ar"/>
              </w:rPr>
              <w:t>0.057</w:t>
            </w:r>
          </w:p>
        </w:tc>
      </w:tr>
      <w:tr w14:paraId="6BFB4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jc w:val="center"/>
        </w:trPr>
        <w:tc>
          <w:tcPr>
            <w:tcW w:w="1993" w:type="dxa"/>
            <w:shd w:val="clear" w:color="auto" w:fill="auto"/>
            <w:noWrap/>
            <w:vAlign w:val="center"/>
          </w:tcPr>
          <w:p w14:paraId="739B91E9">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sz w:val="22"/>
                <w:szCs w:val="22"/>
                <w:u w:val="none"/>
              </w:rPr>
              <w:t>Low profile</w:t>
            </w:r>
          </w:p>
        </w:tc>
        <w:tc>
          <w:tcPr>
            <w:tcW w:w="796" w:type="dxa"/>
            <w:shd w:val="clear" w:color="auto" w:fill="auto"/>
            <w:noWrap/>
            <w:vAlign w:val="center"/>
          </w:tcPr>
          <w:p w14:paraId="29DEEC96">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5</w:t>
            </w:r>
          </w:p>
        </w:tc>
        <w:tc>
          <w:tcPr>
            <w:tcW w:w="4197" w:type="dxa"/>
            <w:shd w:val="clear" w:color="auto" w:fill="auto"/>
            <w:noWrap/>
            <w:vAlign w:val="center"/>
          </w:tcPr>
          <w:p w14:paraId="70AEB561">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OLCI (Organizational Learning</w:t>
            </w:r>
            <w:r>
              <w:rPr>
                <w:rFonts w:hint="eastAsia" w:ascii="Times New Roman" w:hAnsi="Times New Roman" w:eastAsia="宋体" w:cs="Times New Roman"/>
                <w:i w:val="0"/>
                <w:iCs w:val="0"/>
                <w:strike w:val="0"/>
                <w:dstrike w:val="0"/>
                <w:color w:val="000000"/>
                <w:kern w:val="0"/>
                <w:sz w:val="22"/>
                <w:szCs w:val="22"/>
                <w:u w:val="none"/>
                <w:lang w:val="en-US" w:eastAsia="zh-CN" w:bidi="ar"/>
              </w:rPr>
              <w:t xml:space="preserve"> </w:t>
            </w:r>
            <w:r>
              <w:rPr>
                <w:rFonts w:hint="default" w:ascii="Times New Roman" w:hAnsi="Times New Roman" w:eastAsia="宋体" w:cs="Times New Roman"/>
                <w:i w:val="0"/>
                <w:iCs w:val="0"/>
                <w:strike w:val="0"/>
                <w:dstrike w:val="0"/>
                <w:color w:val="000000"/>
                <w:kern w:val="0"/>
                <w:sz w:val="22"/>
                <w:szCs w:val="22"/>
                <w:u w:val="none"/>
                <w:lang w:val="en-US" w:eastAsia="zh-CN" w:bidi="ar"/>
              </w:rPr>
              <w:t>and</w:t>
            </w:r>
            <w:r>
              <w:rPr>
                <w:rFonts w:hint="eastAsia" w:ascii="Times New Roman" w:hAnsi="Times New Roman" w:eastAsia="宋体" w:cs="Times New Roman"/>
                <w:i w:val="0"/>
                <w:iCs w:val="0"/>
                <w:strike w:val="0"/>
                <w:dstrike w:val="0"/>
                <w:color w:val="000000"/>
                <w:kern w:val="0"/>
                <w:sz w:val="22"/>
                <w:szCs w:val="22"/>
                <w:u w:val="none"/>
                <w:lang w:val="en-US" w:eastAsia="zh-CN" w:bidi="ar"/>
              </w:rPr>
              <w:t xml:space="preserve"> </w:t>
            </w:r>
            <w:r>
              <w:rPr>
                <w:rFonts w:hint="default" w:ascii="Times New Roman" w:hAnsi="Times New Roman" w:eastAsia="宋体" w:cs="Times New Roman"/>
                <w:i w:val="0"/>
                <w:iCs w:val="0"/>
                <w:strike w:val="0"/>
                <w:dstrike w:val="0"/>
                <w:color w:val="000000"/>
                <w:kern w:val="0"/>
                <w:sz w:val="22"/>
                <w:szCs w:val="22"/>
                <w:u w:val="none"/>
                <w:lang w:val="en-US" w:eastAsia="zh-CN" w:bidi="ar"/>
              </w:rPr>
              <w:t>Continuous Improvement)</w:t>
            </w:r>
          </w:p>
        </w:tc>
        <w:tc>
          <w:tcPr>
            <w:tcW w:w="1173" w:type="dxa"/>
            <w:shd w:val="clear" w:color="auto" w:fill="auto"/>
            <w:noWrap/>
            <w:vAlign w:val="center"/>
          </w:tcPr>
          <w:p w14:paraId="6419D416">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kern w:val="0"/>
                <w:sz w:val="21"/>
                <w:szCs w:val="21"/>
                <w:u w:val="none"/>
                <w:lang w:val="en-US" w:eastAsia="zh-CN" w:bidi="ar"/>
              </w:rPr>
            </w:pPr>
            <w:r>
              <w:rPr>
                <w:rFonts w:hint="default" w:ascii="Times New Roman" w:hAnsi="Times New Roman" w:eastAsia="宋体" w:cs="Times New Roman"/>
                <w:i w:val="0"/>
                <w:iCs w:val="0"/>
                <w:strike w:val="0"/>
                <w:dstrike w:val="0"/>
                <w:color w:val="000000"/>
                <w:kern w:val="0"/>
                <w:sz w:val="21"/>
                <w:szCs w:val="21"/>
                <w:u w:val="none"/>
                <w:lang w:val="en-US" w:eastAsia="zh-CN" w:bidi="ar"/>
              </w:rPr>
              <w:t>0.736</w:t>
            </w:r>
          </w:p>
        </w:tc>
        <w:tc>
          <w:tcPr>
            <w:tcW w:w="4474" w:type="dxa"/>
            <w:shd w:val="clear" w:color="auto" w:fill="auto"/>
            <w:noWrap/>
            <w:vAlign w:val="center"/>
          </w:tcPr>
          <w:p w14:paraId="357C387F">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OLCI (Organizational Learning</w:t>
            </w:r>
            <w:r>
              <w:rPr>
                <w:rFonts w:hint="eastAsia" w:ascii="Times New Roman" w:hAnsi="Times New Roman" w:eastAsia="宋体" w:cs="Times New Roman"/>
                <w:i w:val="0"/>
                <w:iCs w:val="0"/>
                <w:strike w:val="0"/>
                <w:dstrike w:val="0"/>
                <w:color w:val="000000"/>
                <w:kern w:val="0"/>
                <w:sz w:val="22"/>
                <w:szCs w:val="22"/>
                <w:u w:val="none"/>
                <w:lang w:val="en-US" w:eastAsia="zh-CN" w:bidi="ar"/>
              </w:rPr>
              <w:t xml:space="preserve"> </w:t>
            </w:r>
            <w:r>
              <w:rPr>
                <w:rFonts w:hint="default" w:ascii="Times New Roman" w:hAnsi="Times New Roman" w:eastAsia="宋体" w:cs="Times New Roman"/>
                <w:i w:val="0"/>
                <w:iCs w:val="0"/>
                <w:strike w:val="0"/>
                <w:dstrike w:val="0"/>
                <w:color w:val="000000"/>
                <w:kern w:val="0"/>
                <w:sz w:val="22"/>
                <w:szCs w:val="22"/>
                <w:u w:val="none"/>
                <w:lang w:val="en-US" w:eastAsia="zh-CN" w:bidi="ar"/>
              </w:rPr>
              <w:t>and</w:t>
            </w:r>
            <w:r>
              <w:rPr>
                <w:rFonts w:hint="eastAsia" w:ascii="Times New Roman" w:hAnsi="Times New Roman" w:eastAsia="宋体" w:cs="Times New Roman"/>
                <w:i w:val="0"/>
                <w:iCs w:val="0"/>
                <w:strike w:val="0"/>
                <w:dstrike w:val="0"/>
                <w:color w:val="000000"/>
                <w:kern w:val="0"/>
                <w:sz w:val="22"/>
                <w:szCs w:val="22"/>
                <w:u w:val="none"/>
                <w:lang w:val="en-US" w:eastAsia="zh-CN" w:bidi="ar"/>
              </w:rPr>
              <w:t xml:space="preserve"> </w:t>
            </w:r>
            <w:r>
              <w:rPr>
                <w:rFonts w:hint="default" w:ascii="Times New Roman" w:hAnsi="Times New Roman" w:eastAsia="宋体" w:cs="Times New Roman"/>
                <w:i w:val="0"/>
                <w:iCs w:val="0"/>
                <w:strike w:val="0"/>
                <w:dstrike w:val="0"/>
                <w:color w:val="000000"/>
                <w:kern w:val="0"/>
                <w:sz w:val="22"/>
                <w:szCs w:val="22"/>
                <w:u w:val="none"/>
                <w:lang w:val="en-US" w:eastAsia="zh-CN" w:bidi="ar"/>
              </w:rPr>
              <w:t>Continuous Improvement)</w:t>
            </w:r>
          </w:p>
        </w:tc>
        <w:tc>
          <w:tcPr>
            <w:tcW w:w="1541" w:type="dxa"/>
            <w:shd w:val="clear" w:color="auto" w:fill="auto"/>
            <w:noWrap/>
            <w:vAlign w:val="center"/>
          </w:tcPr>
          <w:p w14:paraId="3917E870">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1"/>
                <w:szCs w:val="21"/>
                <w:u w:val="none"/>
              </w:rPr>
            </w:pPr>
            <w:r>
              <w:rPr>
                <w:rFonts w:hint="default" w:ascii="Times New Roman" w:hAnsi="Times New Roman" w:eastAsia="宋体" w:cs="Times New Roman"/>
                <w:i w:val="0"/>
                <w:iCs w:val="0"/>
                <w:strike w:val="0"/>
                <w:dstrike w:val="0"/>
                <w:color w:val="000000"/>
                <w:kern w:val="0"/>
                <w:sz w:val="21"/>
                <w:szCs w:val="21"/>
                <w:u w:val="none"/>
                <w:lang w:val="en-US" w:eastAsia="zh-CN" w:bidi="ar"/>
              </w:rPr>
              <w:t>0.053</w:t>
            </w:r>
          </w:p>
        </w:tc>
      </w:tr>
      <w:tr w14:paraId="056B2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1993" w:type="dxa"/>
            <w:shd w:val="clear" w:color="auto" w:fill="auto"/>
            <w:noWrap/>
            <w:vAlign w:val="center"/>
          </w:tcPr>
          <w:p w14:paraId="3E1DF32A">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Moderate</w:t>
            </w:r>
            <w:r>
              <w:rPr>
                <w:rFonts w:hint="eastAsia" w:ascii="Times New Roman" w:hAnsi="Times New Roman" w:eastAsia="宋体" w:cs="Times New Roman"/>
                <w:i w:val="0"/>
                <w:iCs w:val="0"/>
                <w:strike w:val="0"/>
                <w:dstrike w:val="0"/>
                <w:color w:val="000000"/>
                <w:kern w:val="0"/>
                <w:sz w:val="22"/>
                <w:szCs w:val="22"/>
                <w:u w:val="none"/>
                <w:lang w:val="en-US" w:eastAsia="zh-CN" w:bidi="ar"/>
              </w:rPr>
              <w:t xml:space="preserve"> </w:t>
            </w:r>
            <w:r>
              <w:rPr>
                <w:rFonts w:hint="default" w:ascii="Times New Roman" w:hAnsi="Times New Roman" w:eastAsia="宋体" w:cs="Times New Roman"/>
                <w:i w:val="0"/>
                <w:iCs w:val="0"/>
                <w:strike w:val="0"/>
                <w:dstrike w:val="0"/>
                <w:color w:val="000000"/>
                <w:kern w:val="0"/>
                <w:sz w:val="22"/>
                <w:szCs w:val="22"/>
                <w:u w:val="none"/>
                <w:lang w:val="en-US" w:eastAsia="zh-CN" w:bidi="ar"/>
              </w:rPr>
              <w:t>profile</w:t>
            </w:r>
          </w:p>
        </w:tc>
        <w:tc>
          <w:tcPr>
            <w:tcW w:w="796" w:type="dxa"/>
            <w:shd w:val="clear" w:color="auto" w:fill="auto"/>
            <w:noWrap/>
            <w:vAlign w:val="center"/>
          </w:tcPr>
          <w:p w14:paraId="3DD7414E">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1</w:t>
            </w:r>
          </w:p>
        </w:tc>
        <w:tc>
          <w:tcPr>
            <w:tcW w:w="4197" w:type="dxa"/>
            <w:shd w:val="clear" w:color="auto" w:fill="auto"/>
            <w:noWrap/>
            <w:vAlign w:val="center"/>
          </w:tcPr>
          <w:p w14:paraId="5CBF017C">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RP (Role-Physical)</w:t>
            </w:r>
          </w:p>
        </w:tc>
        <w:tc>
          <w:tcPr>
            <w:tcW w:w="1173" w:type="dxa"/>
            <w:shd w:val="clear" w:color="auto" w:fill="auto"/>
            <w:noWrap/>
            <w:vAlign w:val="center"/>
          </w:tcPr>
          <w:p w14:paraId="47BD036E">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kern w:val="0"/>
                <w:sz w:val="21"/>
                <w:szCs w:val="21"/>
                <w:u w:val="none"/>
                <w:lang w:val="en-US" w:eastAsia="zh-CN" w:bidi="ar"/>
              </w:rPr>
            </w:pPr>
            <w:r>
              <w:rPr>
                <w:rFonts w:hint="default" w:ascii="Times New Roman" w:hAnsi="Times New Roman" w:eastAsia="宋体" w:cs="Times New Roman"/>
                <w:i w:val="0"/>
                <w:iCs w:val="0"/>
                <w:strike w:val="0"/>
                <w:dstrike w:val="0"/>
                <w:color w:val="000000"/>
                <w:kern w:val="0"/>
                <w:sz w:val="21"/>
                <w:szCs w:val="21"/>
                <w:u w:val="none"/>
                <w:lang w:val="en-US" w:eastAsia="zh-CN" w:bidi="ar"/>
              </w:rPr>
              <w:t>0.945</w:t>
            </w:r>
          </w:p>
        </w:tc>
        <w:tc>
          <w:tcPr>
            <w:tcW w:w="4474" w:type="dxa"/>
            <w:shd w:val="clear" w:color="auto" w:fill="auto"/>
            <w:noWrap/>
            <w:vAlign w:val="center"/>
          </w:tcPr>
          <w:p w14:paraId="43BE8BB3">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SWP (Staffing and Work Pace)</w:t>
            </w:r>
          </w:p>
        </w:tc>
        <w:tc>
          <w:tcPr>
            <w:tcW w:w="1541" w:type="dxa"/>
            <w:shd w:val="clear" w:color="auto" w:fill="auto"/>
            <w:noWrap/>
            <w:vAlign w:val="center"/>
          </w:tcPr>
          <w:p w14:paraId="5D8FC6FD">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1"/>
                <w:szCs w:val="21"/>
                <w:u w:val="none"/>
              </w:rPr>
            </w:pPr>
            <w:r>
              <w:rPr>
                <w:rFonts w:hint="default" w:ascii="Times New Roman" w:hAnsi="Times New Roman" w:eastAsia="宋体" w:cs="Times New Roman"/>
                <w:i w:val="0"/>
                <w:iCs w:val="0"/>
                <w:strike w:val="0"/>
                <w:dstrike w:val="0"/>
                <w:color w:val="000000"/>
                <w:kern w:val="0"/>
                <w:sz w:val="21"/>
                <w:szCs w:val="21"/>
                <w:u w:val="none"/>
                <w:lang w:val="en-US" w:eastAsia="zh-CN" w:bidi="ar"/>
              </w:rPr>
              <w:t>0.103</w:t>
            </w:r>
          </w:p>
        </w:tc>
      </w:tr>
      <w:tr w14:paraId="11C09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1993" w:type="dxa"/>
            <w:shd w:val="clear" w:color="auto" w:fill="auto"/>
            <w:noWrap/>
            <w:vAlign w:val="center"/>
          </w:tcPr>
          <w:p w14:paraId="5125BA86">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Moderate</w:t>
            </w:r>
            <w:r>
              <w:rPr>
                <w:rFonts w:hint="eastAsia" w:ascii="Times New Roman" w:hAnsi="Times New Roman" w:eastAsia="宋体" w:cs="Times New Roman"/>
                <w:i w:val="0"/>
                <w:iCs w:val="0"/>
                <w:strike w:val="0"/>
                <w:dstrike w:val="0"/>
                <w:color w:val="000000"/>
                <w:kern w:val="0"/>
                <w:sz w:val="22"/>
                <w:szCs w:val="22"/>
                <w:u w:val="none"/>
                <w:lang w:val="en-US" w:eastAsia="zh-CN" w:bidi="ar"/>
              </w:rPr>
              <w:t xml:space="preserve"> </w:t>
            </w:r>
            <w:r>
              <w:rPr>
                <w:rFonts w:hint="default" w:ascii="Times New Roman" w:hAnsi="Times New Roman" w:eastAsia="宋体" w:cs="Times New Roman"/>
                <w:i w:val="0"/>
                <w:iCs w:val="0"/>
                <w:strike w:val="0"/>
                <w:dstrike w:val="0"/>
                <w:color w:val="000000"/>
                <w:kern w:val="0"/>
                <w:sz w:val="22"/>
                <w:szCs w:val="22"/>
                <w:u w:val="none"/>
                <w:lang w:val="en-US" w:eastAsia="zh-CN" w:bidi="ar"/>
              </w:rPr>
              <w:t>profile</w:t>
            </w:r>
          </w:p>
        </w:tc>
        <w:tc>
          <w:tcPr>
            <w:tcW w:w="796" w:type="dxa"/>
            <w:shd w:val="clear" w:color="auto" w:fill="auto"/>
            <w:noWrap/>
            <w:vAlign w:val="center"/>
          </w:tcPr>
          <w:p w14:paraId="18323618">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2</w:t>
            </w:r>
          </w:p>
        </w:tc>
        <w:tc>
          <w:tcPr>
            <w:tcW w:w="4197" w:type="dxa"/>
            <w:shd w:val="clear" w:color="auto" w:fill="auto"/>
            <w:noWrap/>
            <w:vAlign w:val="center"/>
          </w:tcPr>
          <w:p w14:paraId="7C34D5DA">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RE (Role-Emotional)</w:t>
            </w:r>
          </w:p>
        </w:tc>
        <w:tc>
          <w:tcPr>
            <w:tcW w:w="1173" w:type="dxa"/>
            <w:shd w:val="clear" w:color="auto" w:fill="auto"/>
            <w:noWrap/>
            <w:vAlign w:val="center"/>
          </w:tcPr>
          <w:p w14:paraId="2264A773">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kern w:val="0"/>
                <w:sz w:val="21"/>
                <w:szCs w:val="21"/>
                <w:u w:val="none"/>
                <w:lang w:val="en-US" w:eastAsia="zh-CN" w:bidi="ar"/>
              </w:rPr>
            </w:pPr>
            <w:r>
              <w:rPr>
                <w:rFonts w:hint="default" w:ascii="Times New Roman" w:hAnsi="Times New Roman" w:eastAsia="宋体" w:cs="Times New Roman"/>
                <w:i w:val="0"/>
                <w:iCs w:val="0"/>
                <w:strike w:val="0"/>
                <w:dstrike w:val="0"/>
                <w:color w:val="000000"/>
                <w:kern w:val="0"/>
                <w:sz w:val="21"/>
                <w:szCs w:val="21"/>
                <w:u w:val="none"/>
                <w:lang w:val="en-US" w:eastAsia="zh-CN" w:bidi="ar"/>
              </w:rPr>
              <w:t>0.886</w:t>
            </w:r>
          </w:p>
        </w:tc>
        <w:tc>
          <w:tcPr>
            <w:tcW w:w="4474" w:type="dxa"/>
            <w:shd w:val="clear" w:color="auto" w:fill="auto"/>
            <w:noWrap/>
            <w:vAlign w:val="center"/>
          </w:tcPr>
          <w:p w14:paraId="533C9632">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RTE (Response to Errors)</w:t>
            </w:r>
          </w:p>
        </w:tc>
        <w:tc>
          <w:tcPr>
            <w:tcW w:w="1541" w:type="dxa"/>
            <w:shd w:val="clear" w:color="auto" w:fill="auto"/>
            <w:noWrap/>
            <w:vAlign w:val="center"/>
          </w:tcPr>
          <w:p w14:paraId="156BFE2C">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1"/>
                <w:szCs w:val="21"/>
                <w:u w:val="none"/>
              </w:rPr>
            </w:pPr>
            <w:r>
              <w:rPr>
                <w:rFonts w:hint="default" w:ascii="Times New Roman" w:hAnsi="Times New Roman" w:eastAsia="宋体" w:cs="Times New Roman"/>
                <w:i w:val="0"/>
                <w:iCs w:val="0"/>
                <w:strike w:val="0"/>
                <w:dstrike w:val="0"/>
                <w:color w:val="000000"/>
                <w:kern w:val="0"/>
                <w:sz w:val="21"/>
                <w:szCs w:val="21"/>
                <w:u w:val="none"/>
                <w:lang w:val="en-US" w:eastAsia="zh-CN" w:bidi="ar"/>
              </w:rPr>
              <w:t>0.101</w:t>
            </w:r>
          </w:p>
        </w:tc>
      </w:tr>
      <w:tr w14:paraId="2934C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1993" w:type="dxa"/>
            <w:shd w:val="clear" w:color="auto" w:fill="auto"/>
            <w:noWrap/>
            <w:vAlign w:val="center"/>
          </w:tcPr>
          <w:p w14:paraId="31C4420E">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Moderate</w:t>
            </w:r>
            <w:r>
              <w:rPr>
                <w:rFonts w:hint="eastAsia" w:ascii="Times New Roman" w:hAnsi="Times New Roman" w:eastAsia="宋体" w:cs="Times New Roman"/>
                <w:i w:val="0"/>
                <w:iCs w:val="0"/>
                <w:strike w:val="0"/>
                <w:dstrike w:val="0"/>
                <w:color w:val="000000"/>
                <w:kern w:val="0"/>
                <w:sz w:val="22"/>
                <w:szCs w:val="22"/>
                <w:u w:val="none"/>
                <w:lang w:val="en-US" w:eastAsia="zh-CN" w:bidi="ar"/>
              </w:rPr>
              <w:t xml:space="preserve"> </w:t>
            </w:r>
            <w:r>
              <w:rPr>
                <w:rFonts w:hint="default" w:ascii="Times New Roman" w:hAnsi="Times New Roman" w:eastAsia="宋体" w:cs="Times New Roman"/>
                <w:i w:val="0"/>
                <w:iCs w:val="0"/>
                <w:strike w:val="0"/>
                <w:dstrike w:val="0"/>
                <w:color w:val="000000"/>
                <w:kern w:val="0"/>
                <w:sz w:val="22"/>
                <w:szCs w:val="22"/>
                <w:u w:val="none"/>
                <w:lang w:val="en-US" w:eastAsia="zh-CN" w:bidi="ar"/>
              </w:rPr>
              <w:t>profile</w:t>
            </w:r>
          </w:p>
        </w:tc>
        <w:tc>
          <w:tcPr>
            <w:tcW w:w="796" w:type="dxa"/>
            <w:shd w:val="clear" w:color="auto" w:fill="auto"/>
            <w:noWrap/>
            <w:vAlign w:val="center"/>
          </w:tcPr>
          <w:p w14:paraId="1DB9B8ED">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3</w:t>
            </w:r>
          </w:p>
        </w:tc>
        <w:tc>
          <w:tcPr>
            <w:tcW w:w="4197" w:type="dxa"/>
            <w:shd w:val="clear" w:color="auto" w:fill="auto"/>
            <w:noWrap/>
            <w:vAlign w:val="center"/>
          </w:tcPr>
          <w:p w14:paraId="1732E149">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MH (Mental Health)</w:t>
            </w:r>
          </w:p>
        </w:tc>
        <w:tc>
          <w:tcPr>
            <w:tcW w:w="1173" w:type="dxa"/>
            <w:shd w:val="clear" w:color="auto" w:fill="auto"/>
            <w:noWrap/>
            <w:vAlign w:val="center"/>
          </w:tcPr>
          <w:p w14:paraId="2CEF45C8">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kern w:val="0"/>
                <w:sz w:val="21"/>
                <w:szCs w:val="21"/>
                <w:u w:val="none"/>
                <w:lang w:val="en-US" w:eastAsia="zh-CN" w:bidi="ar"/>
              </w:rPr>
            </w:pPr>
            <w:r>
              <w:rPr>
                <w:rFonts w:hint="default" w:ascii="Times New Roman" w:hAnsi="Times New Roman" w:eastAsia="宋体" w:cs="Times New Roman"/>
                <w:i w:val="0"/>
                <w:iCs w:val="0"/>
                <w:strike w:val="0"/>
                <w:dstrike w:val="0"/>
                <w:color w:val="000000"/>
                <w:kern w:val="0"/>
                <w:sz w:val="21"/>
                <w:szCs w:val="21"/>
                <w:u w:val="none"/>
                <w:lang w:val="en-US" w:eastAsia="zh-CN" w:bidi="ar"/>
              </w:rPr>
              <w:t>0.879</w:t>
            </w:r>
          </w:p>
        </w:tc>
        <w:tc>
          <w:tcPr>
            <w:tcW w:w="4474" w:type="dxa"/>
            <w:shd w:val="clear" w:color="auto" w:fill="auto"/>
            <w:noWrap/>
            <w:vAlign w:val="center"/>
          </w:tcPr>
          <w:p w14:paraId="13089ED0">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MH (Mental Health)</w:t>
            </w:r>
          </w:p>
        </w:tc>
        <w:tc>
          <w:tcPr>
            <w:tcW w:w="1541" w:type="dxa"/>
            <w:shd w:val="clear" w:color="auto" w:fill="auto"/>
            <w:noWrap/>
            <w:vAlign w:val="center"/>
          </w:tcPr>
          <w:p w14:paraId="4358C697">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1"/>
                <w:szCs w:val="21"/>
                <w:u w:val="none"/>
              </w:rPr>
            </w:pPr>
            <w:r>
              <w:rPr>
                <w:rFonts w:hint="default" w:ascii="Times New Roman" w:hAnsi="Times New Roman" w:eastAsia="宋体" w:cs="Times New Roman"/>
                <w:i w:val="0"/>
                <w:iCs w:val="0"/>
                <w:strike w:val="0"/>
                <w:dstrike w:val="0"/>
                <w:color w:val="000000"/>
                <w:kern w:val="0"/>
                <w:sz w:val="21"/>
                <w:szCs w:val="21"/>
                <w:u w:val="none"/>
                <w:lang w:val="en-US" w:eastAsia="zh-CN" w:bidi="ar"/>
              </w:rPr>
              <w:t>0.091</w:t>
            </w:r>
          </w:p>
        </w:tc>
      </w:tr>
      <w:tr w14:paraId="6E1C4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1993" w:type="dxa"/>
            <w:shd w:val="clear" w:color="auto" w:fill="auto"/>
            <w:noWrap/>
            <w:vAlign w:val="center"/>
          </w:tcPr>
          <w:p w14:paraId="7E635D70">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Moderate</w:t>
            </w:r>
            <w:r>
              <w:rPr>
                <w:rFonts w:hint="eastAsia" w:ascii="Times New Roman" w:hAnsi="Times New Roman" w:eastAsia="宋体" w:cs="Times New Roman"/>
                <w:i w:val="0"/>
                <w:iCs w:val="0"/>
                <w:strike w:val="0"/>
                <w:dstrike w:val="0"/>
                <w:color w:val="000000"/>
                <w:kern w:val="0"/>
                <w:sz w:val="22"/>
                <w:szCs w:val="22"/>
                <w:u w:val="none"/>
                <w:lang w:val="en-US" w:eastAsia="zh-CN" w:bidi="ar"/>
              </w:rPr>
              <w:t xml:space="preserve"> </w:t>
            </w:r>
            <w:r>
              <w:rPr>
                <w:rFonts w:hint="default" w:ascii="Times New Roman" w:hAnsi="Times New Roman" w:eastAsia="宋体" w:cs="Times New Roman"/>
                <w:i w:val="0"/>
                <w:iCs w:val="0"/>
                <w:strike w:val="0"/>
                <w:dstrike w:val="0"/>
                <w:color w:val="000000"/>
                <w:kern w:val="0"/>
                <w:sz w:val="22"/>
                <w:szCs w:val="22"/>
                <w:u w:val="none"/>
                <w:lang w:val="en-US" w:eastAsia="zh-CN" w:bidi="ar"/>
              </w:rPr>
              <w:t>profile</w:t>
            </w:r>
          </w:p>
        </w:tc>
        <w:tc>
          <w:tcPr>
            <w:tcW w:w="796" w:type="dxa"/>
            <w:shd w:val="clear" w:color="auto" w:fill="auto"/>
            <w:noWrap/>
            <w:vAlign w:val="center"/>
          </w:tcPr>
          <w:p w14:paraId="11F7695E">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4</w:t>
            </w:r>
          </w:p>
        </w:tc>
        <w:tc>
          <w:tcPr>
            <w:tcW w:w="4197" w:type="dxa"/>
            <w:shd w:val="clear" w:color="auto" w:fill="auto"/>
            <w:noWrap/>
            <w:vAlign w:val="center"/>
          </w:tcPr>
          <w:p w14:paraId="23BD1063">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VT (Vitality)</w:t>
            </w:r>
          </w:p>
        </w:tc>
        <w:tc>
          <w:tcPr>
            <w:tcW w:w="1173" w:type="dxa"/>
            <w:shd w:val="clear" w:color="auto" w:fill="auto"/>
            <w:noWrap/>
            <w:vAlign w:val="center"/>
          </w:tcPr>
          <w:p w14:paraId="54774853">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kern w:val="0"/>
                <w:sz w:val="21"/>
                <w:szCs w:val="21"/>
                <w:u w:val="none"/>
                <w:lang w:val="en-US" w:eastAsia="zh-CN" w:bidi="ar"/>
              </w:rPr>
            </w:pPr>
            <w:r>
              <w:rPr>
                <w:rFonts w:hint="default" w:ascii="Times New Roman" w:hAnsi="Times New Roman" w:eastAsia="宋体" w:cs="Times New Roman"/>
                <w:i w:val="0"/>
                <w:iCs w:val="0"/>
                <w:strike w:val="0"/>
                <w:dstrike w:val="0"/>
                <w:color w:val="000000"/>
                <w:kern w:val="0"/>
                <w:sz w:val="21"/>
                <w:szCs w:val="21"/>
                <w:u w:val="none"/>
                <w:lang w:val="en-US" w:eastAsia="zh-CN" w:bidi="ar"/>
              </w:rPr>
              <w:t>0.855</w:t>
            </w:r>
          </w:p>
        </w:tc>
        <w:tc>
          <w:tcPr>
            <w:tcW w:w="4474" w:type="dxa"/>
            <w:shd w:val="clear" w:color="auto" w:fill="auto"/>
            <w:noWrap/>
            <w:vAlign w:val="center"/>
          </w:tcPr>
          <w:p w14:paraId="690338B4">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PSS (Patient Safety Support)</w:t>
            </w:r>
          </w:p>
        </w:tc>
        <w:tc>
          <w:tcPr>
            <w:tcW w:w="1541" w:type="dxa"/>
            <w:shd w:val="clear" w:color="auto" w:fill="auto"/>
            <w:noWrap/>
            <w:vAlign w:val="center"/>
          </w:tcPr>
          <w:p w14:paraId="529C4BC6">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1"/>
                <w:szCs w:val="21"/>
                <w:u w:val="none"/>
              </w:rPr>
            </w:pPr>
            <w:r>
              <w:rPr>
                <w:rFonts w:hint="default" w:ascii="Times New Roman" w:hAnsi="Times New Roman" w:eastAsia="宋体" w:cs="Times New Roman"/>
                <w:i w:val="0"/>
                <w:iCs w:val="0"/>
                <w:strike w:val="0"/>
                <w:dstrike w:val="0"/>
                <w:color w:val="000000"/>
                <w:kern w:val="0"/>
                <w:sz w:val="21"/>
                <w:szCs w:val="21"/>
                <w:u w:val="none"/>
                <w:lang w:val="en-US" w:eastAsia="zh-CN" w:bidi="ar"/>
              </w:rPr>
              <w:t>0.066</w:t>
            </w:r>
          </w:p>
        </w:tc>
      </w:tr>
      <w:tr w14:paraId="4F91B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1993" w:type="dxa"/>
            <w:shd w:val="clear" w:color="auto" w:fill="auto"/>
            <w:noWrap/>
            <w:vAlign w:val="center"/>
          </w:tcPr>
          <w:p w14:paraId="3FA28C16">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Moderate</w:t>
            </w:r>
            <w:r>
              <w:rPr>
                <w:rFonts w:hint="eastAsia" w:ascii="Times New Roman" w:hAnsi="Times New Roman" w:eastAsia="宋体" w:cs="Times New Roman"/>
                <w:i w:val="0"/>
                <w:iCs w:val="0"/>
                <w:strike w:val="0"/>
                <w:dstrike w:val="0"/>
                <w:color w:val="000000"/>
                <w:kern w:val="0"/>
                <w:sz w:val="22"/>
                <w:szCs w:val="22"/>
                <w:u w:val="none"/>
                <w:lang w:val="en-US" w:eastAsia="zh-CN" w:bidi="ar"/>
              </w:rPr>
              <w:t xml:space="preserve"> </w:t>
            </w:r>
            <w:r>
              <w:rPr>
                <w:rFonts w:hint="default" w:ascii="Times New Roman" w:hAnsi="Times New Roman" w:eastAsia="宋体" w:cs="Times New Roman"/>
                <w:i w:val="0"/>
                <w:iCs w:val="0"/>
                <w:strike w:val="0"/>
                <w:dstrike w:val="0"/>
                <w:color w:val="000000"/>
                <w:kern w:val="0"/>
                <w:sz w:val="22"/>
                <w:szCs w:val="22"/>
                <w:u w:val="none"/>
                <w:lang w:val="en-US" w:eastAsia="zh-CN" w:bidi="ar"/>
              </w:rPr>
              <w:t>profile</w:t>
            </w:r>
          </w:p>
        </w:tc>
        <w:tc>
          <w:tcPr>
            <w:tcW w:w="796" w:type="dxa"/>
            <w:shd w:val="clear" w:color="auto" w:fill="auto"/>
            <w:noWrap/>
            <w:vAlign w:val="center"/>
          </w:tcPr>
          <w:p w14:paraId="482E32A8">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5</w:t>
            </w:r>
          </w:p>
        </w:tc>
        <w:tc>
          <w:tcPr>
            <w:tcW w:w="4197" w:type="dxa"/>
            <w:shd w:val="clear" w:color="auto" w:fill="auto"/>
            <w:noWrap/>
            <w:vAlign w:val="center"/>
          </w:tcPr>
          <w:p w14:paraId="44C38766">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SF (Social Functioning)</w:t>
            </w:r>
          </w:p>
        </w:tc>
        <w:tc>
          <w:tcPr>
            <w:tcW w:w="1173" w:type="dxa"/>
            <w:shd w:val="clear" w:color="auto" w:fill="auto"/>
            <w:noWrap/>
            <w:vAlign w:val="center"/>
          </w:tcPr>
          <w:p w14:paraId="6AF69E89">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kern w:val="0"/>
                <w:sz w:val="21"/>
                <w:szCs w:val="21"/>
                <w:u w:val="none"/>
                <w:lang w:val="en-US" w:eastAsia="zh-CN" w:bidi="ar"/>
              </w:rPr>
            </w:pPr>
            <w:r>
              <w:rPr>
                <w:rFonts w:hint="default" w:ascii="Times New Roman" w:hAnsi="Times New Roman" w:eastAsia="宋体" w:cs="Times New Roman"/>
                <w:i w:val="0"/>
                <w:iCs w:val="0"/>
                <w:strike w:val="0"/>
                <w:dstrike w:val="0"/>
                <w:color w:val="000000"/>
                <w:kern w:val="0"/>
                <w:sz w:val="21"/>
                <w:szCs w:val="21"/>
                <w:u w:val="none"/>
                <w:lang w:val="en-US" w:eastAsia="zh-CN" w:bidi="ar"/>
              </w:rPr>
              <w:t>0.829</w:t>
            </w:r>
          </w:p>
        </w:tc>
        <w:tc>
          <w:tcPr>
            <w:tcW w:w="4474" w:type="dxa"/>
            <w:shd w:val="clear" w:color="auto" w:fill="auto"/>
            <w:noWrap/>
            <w:vAlign w:val="center"/>
          </w:tcPr>
          <w:p w14:paraId="1031C144">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VT (Vitality)</w:t>
            </w:r>
          </w:p>
        </w:tc>
        <w:tc>
          <w:tcPr>
            <w:tcW w:w="1541" w:type="dxa"/>
            <w:shd w:val="clear" w:color="auto" w:fill="auto"/>
            <w:noWrap/>
            <w:vAlign w:val="center"/>
          </w:tcPr>
          <w:p w14:paraId="28E32418">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1"/>
                <w:szCs w:val="21"/>
                <w:u w:val="none"/>
              </w:rPr>
            </w:pPr>
            <w:r>
              <w:rPr>
                <w:rFonts w:hint="default" w:ascii="Times New Roman" w:hAnsi="Times New Roman" w:eastAsia="宋体" w:cs="Times New Roman"/>
                <w:i w:val="0"/>
                <w:iCs w:val="0"/>
                <w:strike w:val="0"/>
                <w:dstrike w:val="0"/>
                <w:color w:val="000000"/>
                <w:kern w:val="0"/>
                <w:sz w:val="21"/>
                <w:szCs w:val="21"/>
                <w:u w:val="none"/>
                <w:lang w:val="en-US" w:eastAsia="zh-CN" w:bidi="ar"/>
              </w:rPr>
              <w:t>0.061</w:t>
            </w:r>
          </w:p>
        </w:tc>
      </w:tr>
      <w:tr w14:paraId="03253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1993" w:type="dxa"/>
            <w:shd w:val="clear" w:color="auto" w:fill="auto"/>
            <w:noWrap/>
            <w:vAlign w:val="center"/>
          </w:tcPr>
          <w:p w14:paraId="3AA88530">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sz w:val="22"/>
                <w:szCs w:val="22"/>
                <w:u w:val="none"/>
              </w:rPr>
              <w:t>High profile</w:t>
            </w:r>
          </w:p>
        </w:tc>
        <w:tc>
          <w:tcPr>
            <w:tcW w:w="796" w:type="dxa"/>
            <w:shd w:val="clear" w:color="auto" w:fill="auto"/>
            <w:noWrap/>
            <w:vAlign w:val="center"/>
          </w:tcPr>
          <w:p w14:paraId="0765C899">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1</w:t>
            </w:r>
          </w:p>
        </w:tc>
        <w:tc>
          <w:tcPr>
            <w:tcW w:w="4197" w:type="dxa"/>
            <w:shd w:val="clear" w:color="auto" w:fill="auto"/>
            <w:noWrap/>
            <w:vAlign w:val="center"/>
          </w:tcPr>
          <w:p w14:paraId="4CE3E086">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RP (Role-Physical)</w:t>
            </w:r>
            <w:bookmarkStart w:id="0" w:name="_GoBack"/>
            <w:bookmarkEnd w:id="0"/>
          </w:p>
        </w:tc>
        <w:tc>
          <w:tcPr>
            <w:tcW w:w="1173" w:type="dxa"/>
            <w:shd w:val="clear" w:color="auto" w:fill="auto"/>
            <w:noWrap/>
            <w:vAlign w:val="center"/>
          </w:tcPr>
          <w:p w14:paraId="7AFC0127">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kern w:val="0"/>
                <w:sz w:val="21"/>
                <w:szCs w:val="21"/>
                <w:u w:val="none"/>
                <w:lang w:val="en-US" w:eastAsia="zh-CN" w:bidi="ar"/>
              </w:rPr>
            </w:pPr>
            <w:r>
              <w:rPr>
                <w:rFonts w:hint="default" w:ascii="Times New Roman" w:hAnsi="Times New Roman" w:eastAsia="宋体" w:cs="Times New Roman"/>
                <w:i w:val="0"/>
                <w:iCs w:val="0"/>
                <w:strike w:val="0"/>
                <w:dstrike w:val="0"/>
                <w:color w:val="000000"/>
                <w:kern w:val="0"/>
                <w:sz w:val="21"/>
                <w:szCs w:val="21"/>
                <w:u w:val="none"/>
                <w:lang w:val="en-US" w:eastAsia="zh-CN" w:bidi="ar"/>
              </w:rPr>
              <w:t>1.095</w:t>
            </w:r>
          </w:p>
        </w:tc>
        <w:tc>
          <w:tcPr>
            <w:tcW w:w="4474" w:type="dxa"/>
            <w:shd w:val="clear" w:color="auto" w:fill="auto"/>
            <w:noWrap/>
            <w:vAlign w:val="center"/>
          </w:tcPr>
          <w:p w14:paraId="7B6CEB14">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MH (Mental Health)</w:t>
            </w:r>
          </w:p>
        </w:tc>
        <w:tc>
          <w:tcPr>
            <w:tcW w:w="1541" w:type="dxa"/>
            <w:shd w:val="clear" w:color="auto" w:fill="auto"/>
            <w:noWrap/>
            <w:vAlign w:val="center"/>
          </w:tcPr>
          <w:p w14:paraId="6A700772">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1"/>
                <w:szCs w:val="21"/>
                <w:u w:val="none"/>
              </w:rPr>
            </w:pPr>
            <w:r>
              <w:rPr>
                <w:rFonts w:hint="default" w:ascii="Times New Roman" w:hAnsi="Times New Roman" w:eastAsia="宋体" w:cs="Times New Roman"/>
                <w:i w:val="0"/>
                <w:iCs w:val="0"/>
                <w:strike w:val="0"/>
                <w:dstrike w:val="0"/>
                <w:color w:val="000000"/>
                <w:kern w:val="0"/>
                <w:sz w:val="21"/>
                <w:szCs w:val="21"/>
                <w:u w:val="none"/>
                <w:lang w:val="en-US" w:eastAsia="zh-CN" w:bidi="ar"/>
              </w:rPr>
              <w:t>0.139</w:t>
            </w:r>
          </w:p>
        </w:tc>
      </w:tr>
      <w:tr w14:paraId="265E3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jc w:val="center"/>
        </w:trPr>
        <w:tc>
          <w:tcPr>
            <w:tcW w:w="1993" w:type="dxa"/>
            <w:shd w:val="clear" w:color="auto" w:fill="auto"/>
            <w:noWrap/>
            <w:vAlign w:val="center"/>
          </w:tcPr>
          <w:p w14:paraId="4B98C229">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sz w:val="22"/>
                <w:szCs w:val="22"/>
                <w:u w:val="none"/>
              </w:rPr>
              <w:t>High profile</w:t>
            </w:r>
          </w:p>
        </w:tc>
        <w:tc>
          <w:tcPr>
            <w:tcW w:w="796" w:type="dxa"/>
            <w:shd w:val="clear" w:color="auto" w:fill="auto"/>
            <w:noWrap/>
            <w:vAlign w:val="center"/>
          </w:tcPr>
          <w:p w14:paraId="1F237028">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2</w:t>
            </w:r>
          </w:p>
        </w:tc>
        <w:tc>
          <w:tcPr>
            <w:tcW w:w="4197" w:type="dxa"/>
            <w:shd w:val="clear" w:color="auto" w:fill="auto"/>
            <w:noWrap/>
            <w:vAlign w:val="center"/>
          </w:tcPr>
          <w:p w14:paraId="7FC26BF7">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MH (Mental Health)</w:t>
            </w:r>
          </w:p>
        </w:tc>
        <w:tc>
          <w:tcPr>
            <w:tcW w:w="1173" w:type="dxa"/>
            <w:shd w:val="clear" w:color="auto" w:fill="auto"/>
            <w:noWrap/>
            <w:vAlign w:val="center"/>
          </w:tcPr>
          <w:p w14:paraId="5D0CC208">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kern w:val="0"/>
                <w:sz w:val="21"/>
                <w:szCs w:val="21"/>
                <w:u w:val="none"/>
                <w:lang w:val="en-US" w:eastAsia="zh-CN" w:bidi="ar"/>
              </w:rPr>
            </w:pPr>
            <w:r>
              <w:rPr>
                <w:rFonts w:hint="default" w:ascii="Times New Roman" w:hAnsi="Times New Roman" w:eastAsia="宋体" w:cs="Times New Roman"/>
                <w:i w:val="0"/>
                <w:iCs w:val="0"/>
                <w:strike w:val="0"/>
                <w:dstrike w:val="0"/>
                <w:color w:val="000000"/>
                <w:kern w:val="0"/>
                <w:sz w:val="21"/>
                <w:szCs w:val="21"/>
                <w:u w:val="none"/>
                <w:lang w:val="en-US" w:eastAsia="zh-CN" w:bidi="ar"/>
              </w:rPr>
              <w:t>0.995</w:t>
            </w:r>
          </w:p>
        </w:tc>
        <w:tc>
          <w:tcPr>
            <w:tcW w:w="4474" w:type="dxa"/>
            <w:shd w:val="clear" w:color="auto" w:fill="auto"/>
            <w:noWrap/>
            <w:vAlign w:val="center"/>
          </w:tcPr>
          <w:p w14:paraId="4DDA08D0">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GH (General Health)</w:t>
            </w:r>
          </w:p>
        </w:tc>
        <w:tc>
          <w:tcPr>
            <w:tcW w:w="1541" w:type="dxa"/>
            <w:shd w:val="clear" w:color="auto" w:fill="auto"/>
            <w:noWrap/>
            <w:vAlign w:val="center"/>
          </w:tcPr>
          <w:p w14:paraId="7E5AE45D">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1"/>
                <w:szCs w:val="21"/>
                <w:u w:val="none"/>
              </w:rPr>
            </w:pPr>
            <w:r>
              <w:rPr>
                <w:rFonts w:hint="default" w:ascii="Times New Roman" w:hAnsi="Times New Roman" w:eastAsia="宋体" w:cs="Times New Roman"/>
                <w:i w:val="0"/>
                <w:iCs w:val="0"/>
                <w:strike w:val="0"/>
                <w:dstrike w:val="0"/>
                <w:color w:val="000000"/>
                <w:kern w:val="0"/>
                <w:sz w:val="21"/>
                <w:szCs w:val="21"/>
                <w:u w:val="none"/>
                <w:lang w:val="en-US" w:eastAsia="zh-CN" w:bidi="ar"/>
              </w:rPr>
              <w:t>0.068</w:t>
            </w:r>
          </w:p>
        </w:tc>
      </w:tr>
      <w:tr w14:paraId="786ED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1993" w:type="dxa"/>
            <w:shd w:val="clear" w:color="auto" w:fill="auto"/>
            <w:noWrap/>
            <w:vAlign w:val="center"/>
          </w:tcPr>
          <w:p w14:paraId="0DEE93E7">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sz w:val="22"/>
                <w:szCs w:val="22"/>
                <w:u w:val="none"/>
              </w:rPr>
              <w:t>High profile</w:t>
            </w:r>
          </w:p>
        </w:tc>
        <w:tc>
          <w:tcPr>
            <w:tcW w:w="796" w:type="dxa"/>
            <w:shd w:val="clear" w:color="auto" w:fill="auto"/>
            <w:noWrap/>
            <w:vAlign w:val="center"/>
          </w:tcPr>
          <w:p w14:paraId="591A5592">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3</w:t>
            </w:r>
          </w:p>
        </w:tc>
        <w:tc>
          <w:tcPr>
            <w:tcW w:w="4197" w:type="dxa"/>
            <w:shd w:val="clear" w:color="auto" w:fill="auto"/>
            <w:noWrap/>
            <w:vAlign w:val="center"/>
          </w:tcPr>
          <w:p w14:paraId="395DC77E">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VT (Vitality)</w:t>
            </w:r>
          </w:p>
        </w:tc>
        <w:tc>
          <w:tcPr>
            <w:tcW w:w="1173" w:type="dxa"/>
            <w:shd w:val="clear" w:color="auto" w:fill="auto"/>
            <w:noWrap/>
            <w:vAlign w:val="center"/>
          </w:tcPr>
          <w:p w14:paraId="13E213B9">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kern w:val="0"/>
                <w:sz w:val="21"/>
                <w:szCs w:val="21"/>
                <w:u w:val="none"/>
                <w:lang w:val="en-US" w:eastAsia="zh-CN" w:bidi="ar"/>
              </w:rPr>
            </w:pPr>
            <w:r>
              <w:rPr>
                <w:rFonts w:hint="default" w:ascii="Times New Roman" w:hAnsi="Times New Roman" w:eastAsia="宋体" w:cs="Times New Roman"/>
                <w:i w:val="0"/>
                <w:iCs w:val="0"/>
                <w:strike w:val="0"/>
                <w:dstrike w:val="0"/>
                <w:color w:val="000000"/>
                <w:kern w:val="0"/>
                <w:sz w:val="21"/>
                <w:szCs w:val="21"/>
                <w:u w:val="none"/>
                <w:lang w:val="en-US" w:eastAsia="zh-CN" w:bidi="ar"/>
              </w:rPr>
              <w:t>0.915</w:t>
            </w:r>
          </w:p>
        </w:tc>
        <w:tc>
          <w:tcPr>
            <w:tcW w:w="4474" w:type="dxa"/>
            <w:shd w:val="clear" w:color="auto" w:fill="auto"/>
            <w:noWrap/>
            <w:vAlign w:val="center"/>
          </w:tcPr>
          <w:p w14:paraId="6A219AAB">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RP (Role-Physical)</w:t>
            </w:r>
          </w:p>
        </w:tc>
        <w:tc>
          <w:tcPr>
            <w:tcW w:w="1541" w:type="dxa"/>
            <w:shd w:val="clear" w:color="auto" w:fill="auto"/>
            <w:noWrap/>
            <w:vAlign w:val="center"/>
          </w:tcPr>
          <w:p w14:paraId="0D9DFB97">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1"/>
                <w:szCs w:val="21"/>
                <w:u w:val="none"/>
              </w:rPr>
            </w:pPr>
            <w:r>
              <w:rPr>
                <w:rFonts w:hint="default" w:ascii="Times New Roman" w:hAnsi="Times New Roman" w:eastAsia="宋体" w:cs="Times New Roman"/>
                <w:i w:val="0"/>
                <w:iCs w:val="0"/>
                <w:strike w:val="0"/>
                <w:dstrike w:val="0"/>
                <w:color w:val="000000"/>
                <w:kern w:val="0"/>
                <w:sz w:val="21"/>
                <w:szCs w:val="21"/>
                <w:u w:val="none"/>
                <w:lang w:val="en-US" w:eastAsia="zh-CN" w:bidi="ar"/>
              </w:rPr>
              <w:t>0.065</w:t>
            </w:r>
          </w:p>
        </w:tc>
      </w:tr>
      <w:tr w14:paraId="059A2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jc w:val="center"/>
        </w:trPr>
        <w:tc>
          <w:tcPr>
            <w:tcW w:w="1993" w:type="dxa"/>
            <w:shd w:val="clear" w:color="auto" w:fill="auto"/>
            <w:noWrap/>
            <w:vAlign w:val="center"/>
          </w:tcPr>
          <w:p w14:paraId="745C7ACB">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sz w:val="22"/>
                <w:szCs w:val="22"/>
                <w:u w:val="none"/>
              </w:rPr>
              <w:t>High profile</w:t>
            </w:r>
          </w:p>
        </w:tc>
        <w:tc>
          <w:tcPr>
            <w:tcW w:w="796" w:type="dxa"/>
            <w:shd w:val="clear" w:color="auto" w:fill="auto"/>
            <w:noWrap/>
            <w:vAlign w:val="center"/>
          </w:tcPr>
          <w:p w14:paraId="0109350B">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4</w:t>
            </w:r>
          </w:p>
        </w:tc>
        <w:tc>
          <w:tcPr>
            <w:tcW w:w="4197" w:type="dxa"/>
            <w:shd w:val="clear" w:color="auto" w:fill="auto"/>
            <w:noWrap/>
            <w:vAlign w:val="center"/>
          </w:tcPr>
          <w:p w14:paraId="25FF53DE">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SF (Social Functioning)</w:t>
            </w:r>
          </w:p>
        </w:tc>
        <w:tc>
          <w:tcPr>
            <w:tcW w:w="1173" w:type="dxa"/>
            <w:shd w:val="clear" w:color="auto" w:fill="auto"/>
            <w:noWrap/>
            <w:vAlign w:val="center"/>
          </w:tcPr>
          <w:p w14:paraId="0A1F9F71">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kern w:val="0"/>
                <w:sz w:val="21"/>
                <w:szCs w:val="21"/>
                <w:u w:val="none"/>
                <w:lang w:val="en-US" w:eastAsia="zh-CN" w:bidi="ar"/>
              </w:rPr>
            </w:pPr>
            <w:r>
              <w:rPr>
                <w:rFonts w:hint="default" w:ascii="Times New Roman" w:hAnsi="Times New Roman" w:eastAsia="宋体" w:cs="Times New Roman"/>
                <w:i w:val="0"/>
                <w:iCs w:val="0"/>
                <w:strike w:val="0"/>
                <w:dstrike w:val="0"/>
                <w:color w:val="000000"/>
                <w:kern w:val="0"/>
                <w:sz w:val="21"/>
                <w:szCs w:val="21"/>
                <w:u w:val="none"/>
                <w:lang w:val="en-US" w:eastAsia="zh-CN" w:bidi="ar"/>
              </w:rPr>
              <w:t>0.874</w:t>
            </w:r>
          </w:p>
        </w:tc>
        <w:tc>
          <w:tcPr>
            <w:tcW w:w="4474" w:type="dxa"/>
            <w:shd w:val="clear" w:color="auto" w:fill="auto"/>
            <w:noWrap/>
            <w:vAlign w:val="center"/>
          </w:tcPr>
          <w:p w14:paraId="26EEEAC4">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BP (Bodily Pain)</w:t>
            </w:r>
          </w:p>
        </w:tc>
        <w:tc>
          <w:tcPr>
            <w:tcW w:w="1541" w:type="dxa"/>
            <w:shd w:val="clear" w:color="auto" w:fill="auto"/>
            <w:noWrap/>
            <w:vAlign w:val="center"/>
          </w:tcPr>
          <w:p w14:paraId="73CF8F44">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1"/>
                <w:szCs w:val="21"/>
                <w:u w:val="none"/>
              </w:rPr>
            </w:pPr>
            <w:r>
              <w:rPr>
                <w:rFonts w:hint="default" w:ascii="Times New Roman" w:hAnsi="Times New Roman" w:eastAsia="宋体" w:cs="Times New Roman"/>
                <w:i w:val="0"/>
                <w:iCs w:val="0"/>
                <w:strike w:val="0"/>
                <w:dstrike w:val="0"/>
                <w:color w:val="000000"/>
                <w:kern w:val="0"/>
                <w:sz w:val="21"/>
                <w:szCs w:val="21"/>
                <w:u w:val="none"/>
                <w:lang w:val="en-US" w:eastAsia="zh-CN" w:bidi="ar"/>
              </w:rPr>
              <w:t>0.062</w:t>
            </w:r>
          </w:p>
        </w:tc>
      </w:tr>
      <w:tr w14:paraId="6CD52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jc w:val="center"/>
        </w:trPr>
        <w:tc>
          <w:tcPr>
            <w:tcW w:w="1993" w:type="dxa"/>
            <w:tcBorders>
              <w:bottom w:val="single" w:color="auto" w:sz="4" w:space="0"/>
            </w:tcBorders>
            <w:shd w:val="clear" w:color="auto" w:fill="auto"/>
            <w:noWrap/>
            <w:vAlign w:val="center"/>
          </w:tcPr>
          <w:p w14:paraId="56FF0E62">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sz w:val="22"/>
                <w:szCs w:val="22"/>
                <w:u w:val="none"/>
              </w:rPr>
              <w:t>High profile</w:t>
            </w:r>
          </w:p>
        </w:tc>
        <w:tc>
          <w:tcPr>
            <w:tcW w:w="796" w:type="dxa"/>
            <w:tcBorders>
              <w:bottom w:val="single" w:color="auto" w:sz="4" w:space="0"/>
            </w:tcBorders>
            <w:shd w:val="clear" w:color="auto" w:fill="auto"/>
            <w:noWrap/>
            <w:vAlign w:val="center"/>
          </w:tcPr>
          <w:p w14:paraId="438697C3">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5</w:t>
            </w:r>
          </w:p>
        </w:tc>
        <w:tc>
          <w:tcPr>
            <w:tcW w:w="4197" w:type="dxa"/>
            <w:tcBorders>
              <w:bottom w:val="single" w:color="auto" w:sz="4" w:space="0"/>
            </w:tcBorders>
            <w:shd w:val="clear" w:color="auto" w:fill="auto"/>
            <w:noWrap/>
            <w:vAlign w:val="center"/>
          </w:tcPr>
          <w:p w14:paraId="2A92720F">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BP (Bodily Pain)</w:t>
            </w:r>
          </w:p>
        </w:tc>
        <w:tc>
          <w:tcPr>
            <w:tcW w:w="1173" w:type="dxa"/>
            <w:tcBorders>
              <w:bottom w:val="single" w:color="auto" w:sz="4" w:space="0"/>
            </w:tcBorders>
            <w:shd w:val="clear" w:color="auto" w:fill="auto"/>
            <w:noWrap/>
            <w:vAlign w:val="center"/>
          </w:tcPr>
          <w:p w14:paraId="356D9DA0">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kern w:val="0"/>
                <w:sz w:val="21"/>
                <w:szCs w:val="21"/>
                <w:u w:val="none"/>
                <w:lang w:val="en-US" w:eastAsia="zh-CN" w:bidi="ar"/>
              </w:rPr>
            </w:pPr>
            <w:r>
              <w:rPr>
                <w:rFonts w:hint="default" w:ascii="Times New Roman" w:hAnsi="Times New Roman" w:eastAsia="宋体" w:cs="Times New Roman"/>
                <w:i w:val="0"/>
                <w:iCs w:val="0"/>
                <w:strike w:val="0"/>
                <w:dstrike w:val="0"/>
                <w:color w:val="000000"/>
                <w:kern w:val="0"/>
                <w:sz w:val="21"/>
                <w:szCs w:val="21"/>
                <w:u w:val="none"/>
                <w:lang w:val="en-US" w:eastAsia="zh-CN" w:bidi="ar"/>
              </w:rPr>
              <w:t>0.871</w:t>
            </w:r>
          </w:p>
        </w:tc>
        <w:tc>
          <w:tcPr>
            <w:tcW w:w="4474" w:type="dxa"/>
            <w:tcBorders>
              <w:bottom w:val="single" w:color="auto" w:sz="4" w:space="0"/>
            </w:tcBorders>
            <w:shd w:val="clear" w:color="auto" w:fill="auto"/>
            <w:noWrap/>
            <w:vAlign w:val="center"/>
          </w:tcPr>
          <w:p w14:paraId="14D5BE2C">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2"/>
                <w:szCs w:val="22"/>
                <w:u w:val="none"/>
              </w:rPr>
            </w:pPr>
            <w:r>
              <w:rPr>
                <w:rFonts w:hint="default" w:ascii="Times New Roman" w:hAnsi="Times New Roman" w:eastAsia="宋体" w:cs="Times New Roman"/>
                <w:i w:val="0"/>
                <w:iCs w:val="0"/>
                <w:strike w:val="0"/>
                <w:dstrike w:val="0"/>
                <w:color w:val="000000"/>
                <w:kern w:val="0"/>
                <w:sz w:val="22"/>
                <w:szCs w:val="22"/>
                <w:u w:val="none"/>
                <w:lang w:val="en-US" w:eastAsia="zh-CN" w:bidi="ar"/>
              </w:rPr>
              <w:t>SWP (Staffing and Work Pace)</w:t>
            </w:r>
          </w:p>
        </w:tc>
        <w:tc>
          <w:tcPr>
            <w:tcW w:w="1541" w:type="dxa"/>
            <w:tcBorders>
              <w:bottom w:val="single" w:color="auto" w:sz="4" w:space="0"/>
            </w:tcBorders>
            <w:shd w:val="clear" w:color="auto" w:fill="auto"/>
            <w:noWrap/>
            <w:vAlign w:val="center"/>
          </w:tcPr>
          <w:p w14:paraId="5A0E0983">
            <w:pPr>
              <w:keepNext w:val="0"/>
              <w:keepLines w:val="0"/>
              <w:widowControl/>
              <w:suppressLineNumbers w:val="0"/>
              <w:jc w:val="center"/>
              <w:textAlignment w:val="bottom"/>
              <w:rPr>
                <w:rFonts w:hint="default" w:ascii="Times New Roman" w:hAnsi="Times New Roman" w:eastAsia="宋体" w:cs="Times New Roman"/>
                <w:i w:val="0"/>
                <w:iCs w:val="0"/>
                <w:strike w:val="0"/>
                <w:dstrike w:val="0"/>
                <w:color w:val="000000"/>
                <w:sz w:val="21"/>
                <w:szCs w:val="21"/>
                <w:u w:val="none"/>
              </w:rPr>
            </w:pPr>
            <w:r>
              <w:rPr>
                <w:rFonts w:hint="default" w:ascii="Times New Roman" w:hAnsi="Times New Roman" w:eastAsia="宋体" w:cs="Times New Roman"/>
                <w:i w:val="0"/>
                <w:iCs w:val="0"/>
                <w:strike w:val="0"/>
                <w:dstrike w:val="0"/>
                <w:color w:val="000000"/>
                <w:kern w:val="0"/>
                <w:sz w:val="21"/>
                <w:szCs w:val="21"/>
                <w:u w:val="none"/>
                <w:lang w:val="en-US" w:eastAsia="zh-CN" w:bidi="ar"/>
              </w:rPr>
              <w:t>0.062</w:t>
            </w:r>
          </w:p>
        </w:tc>
      </w:tr>
      <w:tr w14:paraId="29ED9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4174" w:type="dxa"/>
            <w:gridSpan w:val="6"/>
            <w:tcBorders>
              <w:top w:val="single" w:color="auto" w:sz="4" w:space="0"/>
            </w:tcBorders>
            <w:shd w:val="clear" w:color="auto" w:fill="auto"/>
            <w:vAlign w:val="center"/>
          </w:tcPr>
          <w:p w14:paraId="224020BE">
            <w:pPr>
              <w:keepNext w:val="0"/>
              <w:keepLines w:val="0"/>
              <w:widowControl/>
              <w:suppressLineNumbers w:val="0"/>
              <w:jc w:val="left"/>
              <w:textAlignment w:val="bottom"/>
              <w:rPr>
                <w:rFonts w:hint="default" w:ascii="Times New Roman" w:hAnsi="Times New Roman" w:eastAsia="宋体" w:cs="Times New Roman"/>
                <w:i/>
                <w:iCs/>
                <w:color w:val="auto"/>
                <w:sz w:val="20"/>
                <w:szCs w:val="20"/>
                <w:u w:val="none"/>
              </w:rPr>
            </w:pPr>
            <w:r>
              <w:rPr>
                <w:rFonts w:hint="default" w:ascii="Times New Roman" w:hAnsi="Times New Roman" w:eastAsia="宋体" w:cs="Times New Roman"/>
                <w:i w:val="0"/>
                <w:iCs w:val="0"/>
                <w:color w:val="auto"/>
                <w:kern w:val="0"/>
                <w:sz w:val="20"/>
                <w:szCs w:val="20"/>
                <w:u w:val="none"/>
                <w:lang w:val="en-US" w:eastAsia="zh-CN" w:bidi="ar"/>
              </w:rPr>
              <w:t>Note. Nodes were ranked in descending order according to their raw EI and BEI values within each profile-specific network. Rankings were based on the unrounded estimates. EI = expected influence; BEI = one-step bridge expected influence.</w:t>
            </w:r>
          </w:p>
        </w:tc>
      </w:tr>
    </w:tbl>
    <w:p w14:paraId="690DE228">
      <w:pPr>
        <w:rPr>
          <w:rFonts w:ascii="Times New Roman" w:hAnsi="Times New Roman" w:eastAsia="宋体"/>
        </w:rPr>
      </w:pPr>
    </w:p>
    <w:tbl>
      <w:tblPr>
        <w:tblStyle w:val="3"/>
        <w:tblW w:w="1428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9"/>
        <w:gridCol w:w="2034"/>
        <w:gridCol w:w="1741"/>
        <w:gridCol w:w="1992"/>
        <w:gridCol w:w="1758"/>
        <w:gridCol w:w="1675"/>
        <w:gridCol w:w="1784"/>
      </w:tblGrid>
      <w:tr w14:paraId="0CEF1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14283" w:type="dxa"/>
            <w:gridSpan w:val="7"/>
            <w:tcBorders>
              <w:top w:val="nil"/>
              <w:left w:val="nil"/>
              <w:bottom w:val="nil"/>
              <w:right w:val="nil"/>
            </w:tcBorders>
            <w:shd w:val="clear" w:color="auto" w:fill="auto"/>
            <w:vAlign w:val="center"/>
          </w:tcPr>
          <w:p w14:paraId="5DF62A2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Table S</w:t>
            </w:r>
            <w:r>
              <w:rPr>
                <w:rFonts w:hint="eastAsia" w:ascii="Times New Roman" w:hAnsi="Times New Roman" w:eastAsia="宋体" w:cs="Times New Roman"/>
                <w:i w:val="0"/>
                <w:iCs w:val="0"/>
                <w:color w:val="000000"/>
                <w:kern w:val="0"/>
                <w:sz w:val="21"/>
                <w:szCs w:val="21"/>
                <w:u w:val="none"/>
                <w:lang w:val="en-US" w:eastAsia="zh-CN" w:bidi="ar"/>
              </w:rPr>
              <w:t>4</w:t>
            </w:r>
            <w:r>
              <w:rPr>
                <w:rFonts w:hint="default" w:ascii="Times New Roman" w:hAnsi="Times New Roman" w:eastAsia="宋体" w:cs="Times New Roman"/>
                <w:i w:val="0"/>
                <w:iCs w:val="0"/>
                <w:color w:val="000000"/>
                <w:kern w:val="0"/>
                <w:sz w:val="21"/>
                <w:szCs w:val="21"/>
                <w:u w:val="none"/>
                <w:lang w:val="en-US" w:eastAsia="zh-CN" w:bidi="ar"/>
              </w:rPr>
              <w:t>. Global characteristics of the profile-specific networks and pairwise Network Comparison Test results.</w:t>
            </w:r>
          </w:p>
        </w:tc>
      </w:tr>
      <w:tr w14:paraId="545E6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3299" w:type="dxa"/>
            <w:tcBorders>
              <w:top w:val="single" w:color="000000" w:sz="4" w:space="0"/>
              <w:left w:val="nil"/>
              <w:bottom w:val="single" w:color="000000" w:sz="4" w:space="0"/>
              <w:right w:val="nil"/>
            </w:tcBorders>
            <w:shd w:val="clear" w:color="auto" w:fill="auto"/>
            <w:vAlign w:val="center"/>
          </w:tcPr>
          <w:p w14:paraId="5FC5A312">
            <w:pPr>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sz w:val="21"/>
                <w:szCs w:val="21"/>
                <w:u w:val="none"/>
              </w:rPr>
              <w:t>Measure</w:t>
            </w:r>
          </w:p>
        </w:tc>
        <w:tc>
          <w:tcPr>
            <w:tcW w:w="2034" w:type="dxa"/>
            <w:tcBorders>
              <w:top w:val="single" w:color="000000" w:sz="4" w:space="0"/>
              <w:left w:val="nil"/>
              <w:bottom w:val="single" w:color="000000" w:sz="4" w:space="0"/>
              <w:right w:val="nil"/>
            </w:tcBorders>
            <w:shd w:val="clear" w:color="auto" w:fill="auto"/>
            <w:vAlign w:val="center"/>
          </w:tcPr>
          <w:p w14:paraId="7D360ED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sz w:val="21"/>
                <w:szCs w:val="21"/>
                <w:u w:val="none"/>
              </w:rPr>
              <w:t>Low profile (Network 1)</w:t>
            </w:r>
          </w:p>
        </w:tc>
        <w:tc>
          <w:tcPr>
            <w:tcW w:w="1741" w:type="dxa"/>
            <w:tcBorders>
              <w:top w:val="single" w:color="000000" w:sz="4" w:space="0"/>
              <w:left w:val="nil"/>
              <w:bottom w:val="single" w:color="000000" w:sz="4" w:space="0"/>
              <w:right w:val="nil"/>
            </w:tcBorders>
            <w:shd w:val="clear" w:color="auto" w:fill="auto"/>
            <w:vAlign w:val="center"/>
          </w:tcPr>
          <w:p w14:paraId="26448F5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sz w:val="21"/>
                <w:szCs w:val="21"/>
                <w:u w:val="none"/>
              </w:rPr>
              <w:t>Moderate profile (Network 2)</w:t>
            </w:r>
          </w:p>
        </w:tc>
        <w:tc>
          <w:tcPr>
            <w:tcW w:w="1992" w:type="dxa"/>
            <w:tcBorders>
              <w:top w:val="single" w:color="000000" w:sz="4" w:space="0"/>
              <w:left w:val="nil"/>
              <w:bottom w:val="single" w:color="000000" w:sz="4" w:space="0"/>
              <w:right w:val="nil"/>
            </w:tcBorders>
            <w:shd w:val="clear" w:color="auto" w:fill="auto"/>
            <w:vAlign w:val="center"/>
          </w:tcPr>
          <w:p w14:paraId="52FC3B2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High profile (Network 3)</w:t>
            </w:r>
          </w:p>
        </w:tc>
        <w:tc>
          <w:tcPr>
            <w:tcW w:w="1758" w:type="dxa"/>
            <w:tcBorders>
              <w:top w:val="single" w:color="000000" w:sz="4" w:space="0"/>
              <w:left w:val="nil"/>
              <w:bottom w:val="single" w:color="000000" w:sz="4" w:space="0"/>
              <w:right w:val="nil"/>
            </w:tcBorders>
            <w:shd w:val="clear" w:color="auto" w:fill="auto"/>
            <w:vAlign w:val="center"/>
          </w:tcPr>
          <w:p w14:paraId="3BB5963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Network 1 vs. 2</w:t>
            </w:r>
          </w:p>
        </w:tc>
        <w:tc>
          <w:tcPr>
            <w:tcW w:w="1675" w:type="dxa"/>
            <w:tcBorders>
              <w:top w:val="single" w:color="000000" w:sz="4" w:space="0"/>
              <w:left w:val="nil"/>
              <w:bottom w:val="single" w:color="000000" w:sz="4" w:space="0"/>
              <w:right w:val="nil"/>
            </w:tcBorders>
            <w:shd w:val="clear" w:color="auto" w:fill="auto"/>
            <w:vAlign w:val="center"/>
          </w:tcPr>
          <w:p w14:paraId="242E3B8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Network 1 vs. 3</w:t>
            </w:r>
          </w:p>
        </w:tc>
        <w:tc>
          <w:tcPr>
            <w:tcW w:w="1784" w:type="dxa"/>
            <w:tcBorders>
              <w:top w:val="single" w:color="000000" w:sz="4" w:space="0"/>
              <w:left w:val="nil"/>
              <w:bottom w:val="single" w:color="000000" w:sz="4" w:space="0"/>
              <w:right w:val="nil"/>
            </w:tcBorders>
            <w:shd w:val="clear" w:color="auto" w:fill="auto"/>
            <w:vAlign w:val="center"/>
          </w:tcPr>
          <w:p w14:paraId="685BFE0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Network 2 vs. 3</w:t>
            </w:r>
          </w:p>
        </w:tc>
      </w:tr>
      <w:tr w14:paraId="613DA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3299" w:type="dxa"/>
            <w:tcBorders>
              <w:top w:val="nil"/>
              <w:left w:val="nil"/>
              <w:bottom w:val="nil"/>
              <w:right w:val="nil"/>
            </w:tcBorders>
            <w:shd w:val="clear" w:color="auto" w:fill="auto"/>
            <w:vAlign w:val="center"/>
          </w:tcPr>
          <w:p w14:paraId="7A05617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sz w:val="21"/>
                <w:szCs w:val="21"/>
                <w:u w:val="none"/>
              </w:rPr>
              <w:t>Descriptive network density</w:t>
            </w:r>
          </w:p>
        </w:tc>
        <w:tc>
          <w:tcPr>
            <w:tcW w:w="2034" w:type="dxa"/>
            <w:tcBorders>
              <w:top w:val="nil"/>
              <w:left w:val="nil"/>
              <w:bottom w:val="nil"/>
              <w:right w:val="nil"/>
            </w:tcBorders>
            <w:shd w:val="clear" w:color="auto" w:fill="auto"/>
            <w:vAlign w:val="center"/>
          </w:tcPr>
          <w:p w14:paraId="1B56082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0.46 (70/153)</w:t>
            </w:r>
          </w:p>
        </w:tc>
        <w:tc>
          <w:tcPr>
            <w:tcW w:w="1741" w:type="dxa"/>
            <w:tcBorders>
              <w:top w:val="nil"/>
              <w:left w:val="nil"/>
              <w:bottom w:val="nil"/>
              <w:right w:val="nil"/>
            </w:tcBorders>
            <w:shd w:val="clear" w:color="auto" w:fill="auto"/>
            <w:vAlign w:val="center"/>
          </w:tcPr>
          <w:p w14:paraId="3E6764D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0.41 (62/153)</w:t>
            </w:r>
          </w:p>
        </w:tc>
        <w:tc>
          <w:tcPr>
            <w:tcW w:w="1992" w:type="dxa"/>
            <w:tcBorders>
              <w:top w:val="nil"/>
              <w:left w:val="nil"/>
              <w:bottom w:val="nil"/>
              <w:right w:val="nil"/>
            </w:tcBorders>
            <w:shd w:val="clear" w:color="auto" w:fill="auto"/>
            <w:vAlign w:val="center"/>
          </w:tcPr>
          <w:p w14:paraId="293C9E2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0.60 (92/153)</w:t>
            </w:r>
          </w:p>
        </w:tc>
        <w:tc>
          <w:tcPr>
            <w:tcW w:w="1758" w:type="dxa"/>
            <w:tcBorders>
              <w:top w:val="nil"/>
              <w:left w:val="nil"/>
              <w:bottom w:val="nil"/>
              <w:right w:val="nil"/>
            </w:tcBorders>
            <w:shd w:val="clear" w:color="auto" w:fill="auto"/>
            <w:vAlign w:val="center"/>
          </w:tcPr>
          <w:p w14:paraId="5847F64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675" w:type="dxa"/>
            <w:tcBorders>
              <w:top w:val="nil"/>
              <w:left w:val="nil"/>
              <w:bottom w:val="nil"/>
              <w:right w:val="nil"/>
            </w:tcBorders>
            <w:shd w:val="clear" w:color="auto" w:fill="auto"/>
            <w:vAlign w:val="center"/>
          </w:tcPr>
          <w:p w14:paraId="4D05C26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784" w:type="dxa"/>
            <w:tcBorders>
              <w:top w:val="nil"/>
              <w:left w:val="nil"/>
              <w:bottom w:val="nil"/>
              <w:right w:val="nil"/>
            </w:tcBorders>
            <w:shd w:val="clear" w:color="auto" w:fill="auto"/>
            <w:vAlign w:val="center"/>
          </w:tcPr>
          <w:p w14:paraId="3A2FA43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r>
      <w:tr w14:paraId="62B51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3299" w:type="dxa"/>
            <w:tcBorders>
              <w:top w:val="nil"/>
              <w:left w:val="nil"/>
              <w:bottom w:val="nil"/>
              <w:right w:val="nil"/>
            </w:tcBorders>
            <w:shd w:val="clear" w:color="auto" w:fill="auto"/>
            <w:vAlign w:val="center"/>
          </w:tcPr>
          <w:p w14:paraId="2685F7E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sz w:val="21"/>
                <w:szCs w:val="21"/>
                <w:u w:val="none"/>
              </w:rPr>
              <w:t>Global EI (signed connectivity)</w:t>
            </w:r>
          </w:p>
        </w:tc>
        <w:tc>
          <w:tcPr>
            <w:tcW w:w="2034" w:type="dxa"/>
            <w:tcBorders>
              <w:top w:val="nil"/>
              <w:left w:val="nil"/>
              <w:bottom w:val="nil"/>
              <w:right w:val="nil"/>
            </w:tcBorders>
            <w:shd w:val="clear" w:color="auto" w:fill="auto"/>
            <w:vAlign w:val="center"/>
          </w:tcPr>
          <w:p w14:paraId="7281142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4.64</w:t>
            </w:r>
          </w:p>
        </w:tc>
        <w:tc>
          <w:tcPr>
            <w:tcW w:w="1741" w:type="dxa"/>
            <w:tcBorders>
              <w:top w:val="nil"/>
              <w:left w:val="nil"/>
              <w:bottom w:val="nil"/>
              <w:right w:val="nil"/>
            </w:tcBorders>
            <w:shd w:val="clear" w:color="auto" w:fill="auto"/>
            <w:vAlign w:val="center"/>
          </w:tcPr>
          <w:p w14:paraId="6C9676C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4.00</w:t>
            </w:r>
          </w:p>
        </w:tc>
        <w:tc>
          <w:tcPr>
            <w:tcW w:w="1992" w:type="dxa"/>
            <w:tcBorders>
              <w:top w:val="nil"/>
              <w:left w:val="nil"/>
              <w:bottom w:val="nil"/>
              <w:right w:val="nil"/>
            </w:tcBorders>
            <w:shd w:val="clear" w:color="auto" w:fill="auto"/>
            <w:vAlign w:val="center"/>
          </w:tcPr>
          <w:p w14:paraId="6944B52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5.03</w:t>
            </w:r>
          </w:p>
        </w:tc>
        <w:tc>
          <w:tcPr>
            <w:tcW w:w="1758" w:type="dxa"/>
            <w:tcBorders>
              <w:top w:val="nil"/>
              <w:left w:val="nil"/>
              <w:bottom w:val="nil"/>
              <w:right w:val="nil"/>
            </w:tcBorders>
            <w:shd w:val="clear" w:color="auto" w:fill="auto"/>
            <w:vAlign w:val="center"/>
          </w:tcPr>
          <w:p w14:paraId="5017ADA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675" w:type="dxa"/>
            <w:tcBorders>
              <w:top w:val="nil"/>
              <w:left w:val="nil"/>
              <w:bottom w:val="nil"/>
              <w:right w:val="nil"/>
            </w:tcBorders>
            <w:shd w:val="clear" w:color="auto" w:fill="auto"/>
            <w:vAlign w:val="center"/>
          </w:tcPr>
          <w:p w14:paraId="43C2B8F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784" w:type="dxa"/>
            <w:tcBorders>
              <w:top w:val="nil"/>
              <w:left w:val="nil"/>
              <w:bottom w:val="nil"/>
              <w:right w:val="nil"/>
            </w:tcBorders>
            <w:shd w:val="clear" w:color="auto" w:fill="auto"/>
            <w:vAlign w:val="center"/>
          </w:tcPr>
          <w:p w14:paraId="3660169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r>
      <w:tr w14:paraId="043C9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3299" w:type="dxa"/>
            <w:tcBorders>
              <w:top w:val="nil"/>
              <w:left w:val="nil"/>
              <w:bottom w:val="nil"/>
              <w:right w:val="nil"/>
            </w:tcBorders>
            <w:shd w:val="clear" w:color="auto" w:fill="auto"/>
            <w:vAlign w:val="center"/>
          </w:tcPr>
          <w:p w14:paraId="75985E4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NCT results</w:t>
            </w:r>
          </w:p>
        </w:tc>
        <w:tc>
          <w:tcPr>
            <w:tcW w:w="2034" w:type="dxa"/>
            <w:tcBorders>
              <w:top w:val="nil"/>
              <w:left w:val="nil"/>
              <w:bottom w:val="nil"/>
              <w:right w:val="nil"/>
            </w:tcBorders>
            <w:shd w:val="clear" w:color="auto" w:fill="auto"/>
            <w:vAlign w:val="center"/>
          </w:tcPr>
          <w:p w14:paraId="0B0B1AF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741" w:type="dxa"/>
            <w:tcBorders>
              <w:top w:val="nil"/>
              <w:left w:val="nil"/>
              <w:bottom w:val="nil"/>
              <w:right w:val="nil"/>
            </w:tcBorders>
            <w:shd w:val="clear" w:color="auto" w:fill="auto"/>
            <w:vAlign w:val="center"/>
          </w:tcPr>
          <w:p w14:paraId="30D7E77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992" w:type="dxa"/>
            <w:tcBorders>
              <w:top w:val="nil"/>
              <w:left w:val="nil"/>
              <w:bottom w:val="nil"/>
              <w:right w:val="nil"/>
            </w:tcBorders>
            <w:shd w:val="clear" w:color="auto" w:fill="auto"/>
            <w:vAlign w:val="center"/>
          </w:tcPr>
          <w:p w14:paraId="5DCCFF4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758" w:type="dxa"/>
            <w:tcBorders>
              <w:top w:val="nil"/>
              <w:left w:val="nil"/>
              <w:bottom w:val="nil"/>
              <w:right w:val="nil"/>
            </w:tcBorders>
            <w:shd w:val="clear" w:color="auto" w:fill="auto"/>
            <w:vAlign w:val="center"/>
          </w:tcPr>
          <w:p w14:paraId="6AC2DDE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675" w:type="dxa"/>
            <w:tcBorders>
              <w:top w:val="nil"/>
              <w:left w:val="nil"/>
              <w:bottom w:val="nil"/>
              <w:right w:val="nil"/>
            </w:tcBorders>
            <w:shd w:val="clear" w:color="auto" w:fill="auto"/>
            <w:vAlign w:val="center"/>
          </w:tcPr>
          <w:p w14:paraId="4C4E2EA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784" w:type="dxa"/>
            <w:tcBorders>
              <w:top w:val="nil"/>
              <w:left w:val="nil"/>
              <w:bottom w:val="nil"/>
              <w:right w:val="nil"/>
            </w:tcBorders>
            <w:shd w:val="clear" w:color="auto" w:fill="auto"/>
            <w:vAlign w:val="center"/>
          </w:tcPr>
          <w:p w14:paraId="045B150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r>
      <w:tr w14:paraId="419F7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3299" w:type="dxa"/>
            <w:tcBorders>
              <w:top w:val="nil"/>
              <w:left w:val="nil"/>
              <w:bottom w:val="nil"/>
              <w:right w:val="nil"/>
            </w:tcBorders>
            <w:shd w:val="clear" w:color="auto" w:fill="auto"/>
            <w:vAlign w:val="center"/>
          </w:tcPr>
          <w:p w14:paraId="4C4EE56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Network structure invariance test, p</w:t>
            </w:r>
          </w:p>
        </w:tc>
        <w:tc>
          <w:tcPr>
            <w:tcW w:w="2034" w:type="dxa"/>
            <w:tcBorders>
              <w:top w:val="nil"/>
              <w:left w:val="nil"/>
              <w:bottom w:val="nil"/>
              <w:right w:val="nil"/>
            </w:tcBorders>
            <w:shd w:val="clear" w:color="auto" w:fill="auto"/>
            <w:vAlign w:val="center"/>
          </w:tcPr>
          <w:p w14:paraId="7E85950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741" w:type="dxa"/>
            <w:tcBorders>
              <w:top w:val="nil"/>
              <w:left w:val="nil"/>
              <w:bottom w:val="nil"/>
              <w:right w:val="nil"/>
            </w:tcBorders>
            <w:shd w:val="clear" w:color="auto" w:fill="auto"/>
            <w:vAlign w:val="center"/>
          </w:tcPr>
          <w:p w14:paraId="63A32DF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992" w:type="dxa"/>
            <w:tcBorders>
              <w:top w:val="nil"/>
              <w:left w:val="nil"/>
              <w:bottom w:val="nil"/>
              <w:right w:val="nil"/>
            </w:tcBorders>
            <w:shd w:val="clear" w:color="auto" w:fill="auto"/>
            <w:vAlign w:val="center"/>
          </w:tcPr>
          <w:p w14:paraId="466354D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758" w:type="dxa"/>
            <w:tcBorders>
              <w:top w:val="nil"/>
              <w:left w:val="nil"/>
              <w:bottom w:val="nil"/>
              <w:right w:val="nil"/>
            </w:tcBorders>
            <w:shd w:val="clear" w:color="auto" w:fill="auto"/>
            <w:vAlign w:val="center"/>
          </w:tcPr>
          <w:p w14:paraId="4411FE8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0.001</w:t>
            </w:r>
          </w:p>
        </w:tc>
        <w:tc>
          <w:tcPr>
            <w:tcW w:w="1675" w:type="dxa"/>
            <w:tcBorders>
              <w:top w:val="nil"/>
              <w:left w:val="nil"/>
              <w:bottom w:val="nil"/>
              <w:right w:val="nil"/>
            </w:tcBorders>
            <w:shd w:val="clear" w:color="auto" w:fill="auto"/>
            <w:vAlign w:val="center"/>
          </w:tcPr>
          <w:p w14:paraId="4986834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0.001</w:t>
            </w:r>
          </w:p>
        </w:tc>
        <w:tc>
          <w:tcPr>
            <w:tcW w:w="1784" w:type="dxa"/>
            <w:tcBorders>
              <w:top w:val="nil"/>
              <w:left w:val="nil"/>
              <w:bottom w:val="nil"/>
              <w:right w:val="nil"/>
            </w:tcBorders>
            <w:shd w:val="clear" w:color="auto" w:fill="auto"/>
            <w:vAlign w:val="center"/>
          </w:tcPr>
          <w:p w14:paraId="03FEB6F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0.001</w:t>
            </w:r>
          </w:p>
        </w:tc>
      </w:tr>
      <w:tr w14:paraId="050D7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3299" w:type="dxa"/>
            <w:tcBorders>
              <w:top w:val="nil"/>
              <w:left w:val="nil"/>
              <w:bottom w:val="nil"/>
              <w:right w:val="nil"/>
            </w:tcBorders>
            <w:shd w:val="clear" w:color="auto" w:fill="auto"/>
            <w:vAlign w:val="center"/>
          </w:tcPr>
          <w:p w14:paraId="2E03776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Absolute difference in global EI</w:t>
            </w:r>
          </w:p>
        </w:tc>
        <w:tc>
          <w:tcPr>
            <w:tcW w:w="2034" w:type="dxa"/>
            <w:tcBorders>
              <w:top w:val="nil"/>
              <w:left w:val="nil"/>
              <w:bottom w:val="nil"/>
              <w:right w:val="nil"/>
            </w:tcBorders>
            <w:shd w:val="clear" w:color="auto" w:fill="auto"/>
            <w:vAlign w:val="center"/>
          </w:tcPr>
          <w:p w14:paraId="3BDE52D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741" w:type="dxa"/>
            <w:tcBorders>
              <w:top w:val="nil"/>
              <w:left w:val="nil"/>
              <w:bottom w:val="nil"/>
              <w:right w:val="nil"/>
            </w:tcBorders>
            <w:shd w:val="clear" w:color="auto" w:fill="auto"/>
            <w:vAlign w:val="center"/>
          </w:tcPr>
          <w:p w14:paraId="2222ECB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992" w:type="dxa"/>
            <w:tcBorders>
              <w:top w:val="nil"/>
              <w:left w:val="nil"/>
              <w:bottom w:val="nil"/>
              <w:right w:val="nil"/>
            </w:tcBorders>
            <w:shd w:val="clear" w:color="auto" w:fill="auto"/>
            <w:vAlign w:val="center"/>
          </w:tcPr>
          <w:p w14:paraId="09A11F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758" w:type="dxa"/>
            <w:tcBorders>
              <w:top w:val="nil"/>
              <w:left w:val="nil"/>
              <w:bottom w:val="nil"/>
              <w:right w:val="nil"/>
            </w:tcBorders>
            <w:shd w:val="clear" w:color="auto" w:fill="auto"/>
            <w:vAlign w:val="center"/>
          </w:tcPr>
          <w:p w14:paraId="1E7C039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0.63</w:t>
            </w:r>
          </w:p>
        </w:tc>
        <w:tc>
          <w:tcPr>
            <w:tcW w:w="1675" w:type="dxa"/>
            <w:tcBorders>
              <w:top w:val="nil"/>
              <w:left w:val="nil"/>
              <w:bottom w:val="nil"/>
              <w:right w:val="nil"/>
            </w:tcBorders>
            <w:shd w:val="clear" w:color="auto" w:fill="auto"/>
            <w:vAlign w:val="center"/>
          </w:tcPr>
          <w:p w14:paraId="46E22E6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0.39</w:t>
            </w:r>
          </w:p>
        </w:tc>
        <w:tc>
          <w:tcPr>
            <w:tcW w:w="1784" w:type="dxa"/>
            <w:tcBorders>
              <w:top w:val="nil"/>
              <w:left w:val="nil"/>
              <w:bottom w:val="nil"/>
              <w:right w:val="nil"/>
            </w:tcBorders>
            <w:shd w:val="clear" w:color="auto" w:fill="auto"/>
            <w:vAlign w:val="center"/>
          </w:tcPr>
          <w:p w14:paraId="4C78A1C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1.02</w:t>
            </w:r>
          </w:p>
        </w:tc>
      </w:tr>
      <w:tr w14:paraId="10971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3299" w:type="dxa"/>
            <w:tcBorders>
              <w:top w:val="nil"/>
              <w:left w:val="nil"/>
              <w:bottom w:val="single" w:color="000000" w:sz="4" w:space="0"/>
              <w:right w:val="nil"/>
            </w:tcBorders>
            <w:shd w:val="clear" w:color="auto" w:fill="auto"/>
            <w:vAlign w:val="center"/>
          </w:tcPr>
          <w:p w14:paraId="06CB0CB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Global EI invariance test, p</w:t>
            </w:r>
          </w:p>
        </w:tc>
        <w:tc>
          <w:tcPr>
            <w:tcW w:w="2034" w:type="dxa"/>
            <w:tcBorders>
              <w:top w:val="nil"/>
              <w:left w:val="nil"/>
              <w:bottom w:val="single" w:color="000000" w:sz="4" w:space="0"/>
              <w:right w:val="nil"/>
            </w:tcBorders>
            <w:shd w:val="clear" w:color="auto" w:fill="auto"/>
            <w:vAlign w:val="center"/>
          </w:tcPr>
          <w:p w14:paraId="239EE81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741" w:type="dxa"/>
            <w:tcBorders>
              <w:top w:val="nil"/>
              <w:left w:val="nil"/>
              <w:bottom w:val="single" w:color="000000" w:sz="4" w:space="0"/>
              <w:right w:val="nil"/>
            </w:tcBorders>
            <w:shd w:val="clear" w:color="auto" w:fill="auto"/>
            <w:vAlign w:val="center"/>
          </w:tcPr>
          <w:p w14:paraId="2B8B59C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992" w:type="dxa"/>
            <w:tcBorders>
              <w:top w:val="nil"/>
              <w:left w:val="nil"/>
              <w:bottom w:val="single" w:color="000000" w:sz="4" w:space="0"/>
              <w:right w:val="nil"/>
            </w:tcBorders>
            <w:shd w:val="clear" w:color="auto" w:fill="auto"/>
            <w:vAlign w:val="center"/>
          </w:tcPr>
          <w:p w14:paraId="3177982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t>
            </w:r>
          </w:p>
        </w:tc>
        <w:tc>
          <w:tcPr>
            <w:tcW w:w="1758" w:type="dxa"/>
            <w:tcBorders>
              <w:top w:val="nil"/>
              <w:left w:val="nil"/>
              <w:bottom w:val="single" w:color="000000" w:sz="4" w:space="0"/>
              <w:right w:val="nil"/>
            </w:tcBorders>
            <w:shd w:val="clear" w:color="auto" w:fill="auto"/>
            <w:vAlign w:val="center"/>
          </w:tcPr>
          <w:p w14:paraId="5D5444F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0.026</w:t>
            </w:r>
          </w:p>
        </w:tc>
        <w:tc>
          <w:tcPr>
            <w:tcW w:w="1675" w:type="dxa"/>
            <w:tcBorders>
              <w:top w:val="nil"/>
              <w:left w:val="nil"/>
              <w:bottom w:val="single" w:color="000000" w:sz="4" w:space="0"/>
              <w:right w:val="nil"/>
            </w:tcBorders>
            <w:shd w:val="clear" w:color="auto" w:fill="auto"/>
            <w:vAlign w:val="center"/>
          </w:tcPr>
          <w:p w14:paraId="7634F43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0.005</w:t>
            </w:r>
          </w:p>
        </w:tc>
        <w:tc>
          <w:tcPr>
            <w:tcW w:w="1784" w:type="dxa"/>
            <w:tcBorders>
              <w:top w:val="nil"/>
              <w:left w:val="nil"/>
              <w:bottom w:val="single" w:color="000000" w:sz="4" w:space="0"/>
              <w:right w:val="nil"/>
            </w:tcBorders>
            <w:shd w:val="clear" w:color="auto" w:fill="auto"/>
            <w:vAlign w:val="center"/>
          </w:tcPr>
          <w:p w14:paraId="63CBE38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0.002</w:t>
            </w:r>
          </w:p>
        </w:tc>
      </w:tr>
      <w:tr w14:paraId="4A9A7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jc w:val="center"/>
        </w:trPr>
        <w:tc>
          <w:tcPr>
            <w:tcW w:w="14283" w:type="dxa"/>
            <w:gridSpan w:val="7"/>
            <w:tcBorders>
              <w:top w:val="nil"/>
              <w:left w:val="nil"/>
              <w:bottom w:val="nil"/>
              <w:right w:val="nil"/>
            </w:tcBorders>
            <w:shd w:val="clear" w:color="auto" w:fill="auto"/>
            <w:vAlign w:val="center"/>
          </w:tcPr>
          <w:p w14:paraId="6382F9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Note: EI = expected influence; NCT = Network Comparison Test. Network density was calculated as the proportion of nonzero edges among the 153 possible edges and is reported descriptively. Global EI was calculated as signed connectivity by setting abs = FALSE. The global EI difference represents the absolute difference between the two networks.</w:t>
            </w:r>
          </w:p>
        </w:tc>
      </w:tr>
    </w:tbl>
    <w:p w14:paraId="6878EE4E">
      <w:pPr>
        <w:rPr>
          <w:rFonts w:hint="default" w:ascii="Times New Roman" w:hAnsi="Times New Roman" w:eastAsia="宋体"/>
          <w:lang w:val="en-US" w:eastAsia="zh-CN"/>
        </w:rPr>
      </w:pPr>
    </w:p>
    <w:p w14:paraId="0DA6D37F">
      <w:pPr>
        <w:rPr>
          <w:rFonts w:hint="default" w:ascii="Times New Roman" w:hAnsi="Times New Roman" w:eastAsia="宋体"/>
          <w:lang w:val="en-US" w:eastAsia="zh-CN"/>
        </w:rPr>
      </w:pPr>
    </w:p>
    <w:p w14:paraId="54FDB5E4">
      <w:pPr>
        <w:rPr>
          <w:rFonts w:hint="default" w:ascii="Times New Roman" w:hAnsi="Times New Roman" w:eastAsia="宋体"/>
          <w:lang w:val="en-US" w:eastAsia="zh-CN"/>
        </w:rPr>
      </w:pPr>
    </w:p>
    <w:p w14:paraId="7DDBFFDD">
      <w:pPr>
        <w:rPr>
          <w:rFonts w:hint="default" w:ascii="Times New Roman" w:hAnsi="Times New Roman" w:eastAsia="宋体"/>
          <w:lang w:val="en-US" w:eastAsia="zh-CN"/>
        </w:rPr>
      </w:pPr>
    </w:p>
    <w:p w14:paraId="78D4E1AD">
      <w:pPr>
        <w:rPr>
          <w:rFonts w:hint="default" w:ascii="Times New Roman" w:hAnsi="Times New Roman" w:eastAsia="宋体"/>
          <w:lang w:val="en-US" w:eastAsia="zh-CN"/>
        </w:rPr>
      </w:pPr>
    </w:p>
    <w:p w14:paraId="44028B09">
      <w:pPr>
        <w:rPr>
          <w:rFonts w:hint="default" w:ascii="Times New Roman" w:hAnsi="Times New Roman" w:eastAsia="宋体"/>
          <w:lang w:val="en-US" w:eastAsia="zh-CN"/>
        </w:rPr>
      </w:pPr>
    </w:p>
    <w:p w14:paraId="44B94CAB">
      <w:pPr>
        <w:rPr>
          <w:rFonts w:hint="default" w:ascii="Times New Roman" w:hAnsi="Times New Roman" w:eastAsia="宋体"/>
          <w:lang w:val="en-US" w:eastAsia="zh-CN"/>
        </w:rPr>
      </w:pPr>
    </w:p>
    <w:p w14:paraId="3D32729F">
      <w:pPr>
        <w:rPr>
          <w:rFonts w:hint="default" w:ascii="Times New Roman" w:hAnsi="Times New Roman" w:eastAsia="宋体"/>
          <w:lang w:val="en-US" w:eastAsia="zh-CN"/>
        </w:rPr>
      </w:pPr>
    </w:p>
    <w:p w14:paraId="4C2D0988">
      <w:pPr>
        <w:rPr>
          <w:rFonts w:hint="default" w:ascii="Times New Roman" w:hAnsi="Times New Roman" w:eastAsia="宋体"/>
          <w:lang w:val="en-US" w:eastAsia="zh-CN"/>
        </w:rPr>
      </w:pPr>
      <w:r>
        <w:drawing>
          <wp:inline distT="0" distB="0" distL="114300" distR="114300">
            <wp:extent cx="5418455" cy="3291205"/>
            <wp:effectExtent l="4445" t="4445" r="12700" b="6350"/>
            <wp:docPr id="4" name="图表 1" descr="7b0a202020202263686172745265734964223a20223530303533343139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6BA589E1">
      <w:pPr>
        <w:rPr>
          <w:rFonts w:hint="default" w:ascii="Times New Roman" w:hAnsi="Times New Roman" w:eastAsia="宋体"/>
          <w:lang w:val="en-US" w:eastAsia="zh-CN"/>
        </w:rPr>
      </w:pPr>
    </w:p>
    <w:p w14:paraId="14074969">
      <w:pPr>
        <w:rPr>
          <w:rFonts w:hint="default" w:ascii="Times New Roman" w:hAnsi="Times New Roman" w:eastAsia="宋体"/>
          <w:lang w:val="en-US" w:eastAsia="zh-CN"/>
        </w:rPr>
      </w:pPr>
      <w:r>
        <w:rPr>
          <w:rFonts w:hint="default" w:ascii="Times New Roman" w:hAnsi="Times New Roman" w:eastAsia="宋体"/>
          <w:lang w:val="en-US" w:eastAsia="zh-CN"/>
        </w:rPr>
        <w:t>Fig. S1. Model-estimated mean scores for the nine patient safety culture dimensions in the four-profile solution.</w:t>
      </w:r>
    </w:p>
    <w:p w14:paraId="52C77A0D">
      <w:pPr>
        <w:rPr>
          <w:rFonts w:hint="default" w:ascii="Times New Roman" w:hAnsi="Times New Roman" w:eastAsia="宋体"/>
          <w:lang w:val="en-US" w:eastAsia="zh-CN"/>
        </w:rPr>
      </w:pPr>
    </w:p>
    <w:p w14:paraId="1B49D061">
      <w:pPr>
        <w:rPr>
          <w:rFonts w:hint="default" w:ascii="Times New Roman" w:hAnsi="Times New Roman" w:eastAsia="宋体"/>
          <w:lang w:val="en-US" w:eastAsia="zh-CN"/>
        </w:rPr>
      </w:pPr>
    </w:p>
    <w:p w14:paraId="28196428">
      <w:pPr>
        <w:rPr>
          <w:rFonts w:hint="default" w:ascii="Times New Roman" w:hAnsi="Times New Roman" w:eastAsia="宋体"/>
          <w:lang w:val="en-US" w:eastAsia="zh-CN"/>
        </w:rPr>
      </w:pPr>
    </w:p>
    <w:p w14:paraId="462CE780">
      <w:pPr>
        <w:rPr>
          <w:rFonts w:hint="default" w:ascii="Times New Roman" w:hAnsi="Times New Roman" w:eastAsia="宋体"/>
          <w:lang w:val="en-US" w:eastAsia="zh-CN"/>
        </w:rPr>
      </w:pPr>
    </w:p>
    <w:p w14:paraId="6EAE16D7">
      <w:pPr>
        <w:rPr>
          <w:rFonts w:hint="default" w:ascii="Times New Roman" w:hAnsi="Times New Roman" w:eastAsia="宋体"/>
          <w:lang w:val="en-US" w:eastAsia="zh-CN"/>
        </w:rPr>
      </w:pPr>
    </w:p>
    <w:p w14:paraId="3099B213">
      <w:pPr>
        <w:rPr>
          <w:rFonts w:hint="default" w:ascii="Times New Roman" w:hAnsi="Times New Roman" w:eastAsia="宋体"/>
          <w:lang w:val="en-US" w:eastAsia="zh-CN"/>
        </w:rPr>
      </w:pPr>
    </w:p>
    <w:p w14:paraId="4F39448A">
      <w:pPr>
        <w:rPr>
          <w:rFonts w:hint="default" w:ascii="Times New Roman" w:hAnsi="Times New Roman" w:eastAsia="宋体"/>
          <w:lang w:val="en-US" w:eastAsia="zh-CN"/>
        </w:rPr>
      </w:pPr>
    </w:p>
    <w:p w14:paraId="2078FA70">
      <w:pPr>
        <w:rPr>
          <w:rFonts w:hint="default" w:ascii="Times New Roman" w:hAnsi="Times New Roman" w:eastAsia="宋体"/>
          <w:lang w:val="en-US" w:eastAsia="zh-CN"/>
        </w:rPr>
      </w:pPr>
      <w:r>
        <w:drawing>
          <wp:inline distT="0" distB="0" distL="114300" distR="114300">
            <wp:extent cx="5418455" cy="3291205"/>
            <wp:effectExtent l="4445" t="4445" r="12700" b="6350"/>
            <wp:docPr id="6" name="图表 1" descr="7b0a202020202263686172745265734964223a20223530303533343139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64E5F353">
      <w:pPr>
        <w:rPr>
          <w:rFonts w:hint="default" w:ascii="Times New Roman" w:hAnsi="Times New Roman" w:eastAsia="宋体"/>
          <w:lang w:val="en-US" w:eastAsia="zh-CN"/>
        </w:rPr>
      </w:pPr>
    </w:p>
    <w:p w14:paraId="0849CF3C">
      <w:pPr>
        <w:rPr>
          <w:rFonts w:hint="default" w:ascii="Times New Roman" w:hAnsi="Times New Roman" w:eastAsia="宋体"/>
          <w:lang w:val="en-US" w:eastAsia="zh-CN"/>
        </w:rPr>
      </w:pPr>
      <w:r>
        <w:rPr>
          <w:rFonts w:hint="default" w:ascii="Times New Roman" w:hAnsi="Times New Roman" w:eastAsia="宋体"/>
          <w:lang w:val="en-US" w:eastAsia="zh-CN"/>
        </w:rPr>
        <w:t>Fig. S</w:t>
      </w:r>
      <w:r>
        <w:rPr>
          <w:rFonts w:hint="eastAsia" w:ascii="Times New Roman" w:hAnsi="Times New Roman" w:eastAsia="宋体"/>
          <w:lang w:val="en-US" w:eastAsia="zh-CN"/>
        </w:rPr>
        <w:t>2</w:t>
      </w:r>
      <w:r>
        <w:rPr>
          <w:rFonts w:hint="default" w:ascii="Times New Roman" w:hAnsi="Times New Roman" w:eastAsia="宋体"/>
          <w:lang w:val="en-US" w:eastAsia="zh-CN"/>
        </w:rPr>
        <w:t>. Model-estimated mean scores for the nine patient safety culture dimensions in the five-profile solution.</w:t>
      </w:r>
    </w:p>
    <w:p w14:paraId="1A9EE310">
      <w:pPr>
        <w:rPr>
          <w:rFonts w:hint="default" w:ascii="Times New Roman" w:hAnsi="Times New Roman" w:eastAsia="宋体"/>
          <w:lang w:val="en-US" w:eastAsia="zh-CN"/>
        </w:rPr>
      </w:pPr>
    </w:p>
    <w:p w14:paraId="4BFBF848">
      <w:pPr>
        <w:rPr>
          <w:rFonts w:hint="default" w:ascii="Times New Roman" w:hAnsi="Times New Roman" w:eastAsia="宋体"/>
          <w:lang w:val="en-US" w:eastAsia="zh-CN"/>
        </w:rPr>
      </w:pPr>
      <w:r>
        <w:rPr>
          <w:rFonts w:hint="default" w:ascii="Times New Roman" w:hAnsi="Times New Roman" w:eastAsia="宋体"/>
          <w:lang w:val="en-US" w:eastAsia="zh-CN"/>
        </w:rPr>
        <w:drawing>
          <wp:inline distT="0" distB="0" distL="114300" distR="114300">
            <wp:extent cx="6050915" cy="4841240"/>
            <wp:effectExtent l="0" t="0" r="6985" b="10160"/>
            <wp:docPr id="1" name="图片 1" descr="Network1_low_case_dropping_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Network1_low_case_dropping_EI"/>
                    <pic:cNvPicPr>
                      <a:picLocks noChangeAspect="1"/>
                    </pic:cNvPicPr>
                  </pic:nvPicPr>
                  <pic:blipFill>
                    <a:blip r:embed="rId6"/>
                    <a:stretch>
                      <a:fillRect/>
                    </a:stretch>
                  </pic:blipFill>
                  <pic:spPr>
                    <a:xfrm>
                      <a:off x="0" y="0"/>
                      <a:ext cx="6050915" cy="4841240"/>
                    </a:xfrm>
                    <a:prstGeom prst="rect">
                      <a:avLst/>
                    </a:prstGeom>
                  </pic:spPr>
                </pic:pic>
              </a:graphicData>
            </a:graphic>
          </wp:inline>
        </w:drawing>
      </w:r>
    </w:p>
    <w:p w14:paraId="7C257914">
      <w:pPr>
        <w:rPr>
          <w:rFonts w:hint="default" w:ascii="Times New Roman" w:hAnsi="Times New Roman" w:eastAsia="宋体"/>
          <w:lang w:val="en-US" w:eastAsia="zh-CN"/>
        </w:rPr>
      </w:pPr>
      <w:r>
        <w:rPr>
          <w:rFonts w:hint="default" w:ascii="Times New Roman" w:hAnsi="Times New Roman" w:eastAsia="宋体"/>
          <w:lang w:val="en-US" w:eastAsia="zh-CN"/>
        </w:rPr>
        <w:t>Fig. S</w:t>
      </w:r>
      <w:r>
        <w:rPr>
          <w:rFonts w:hint="eastAsia" w:ascii="Times New Roman" w:hAnsi="Times New Roman" w:eastAsia="宋体"/>
          <w:lang w:val="en-US" w:eastAsia="zh-CN"/>
        </w:rPr>
        <w:t>3</w:t>
      </w:r>
      <w:r>
        <w:rPr>
          <w:rFonts w:hint="default" w:ascii="Times New Roman" w:hAnsi="Times New Roman" w:eastAsia="宋体"/>
          <w:lang w:val="en-US" w:eastAsia="zh-CN"/>
        </w:rPr>
        <w:t>. Case-dropping bootstrap analysis of the stability of expected influence in the low perceived patient safety culture profile network.</w:t>
      </w:r>
    </w:p>
    <w:p w14:paraId="34A11D06">
      <w:pP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6132830" cy="4906645"/>
            <wp:effectExtent l="0" t="0" r="1270" b="8255"/>
            <wp:docPr id="2" name="图片 2" descr="Network2_moderate_case_dropping_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Network2_moderate_case_dropping_EI"/>
                    <pic:cNvPicPr>
                      <a:picLocks noChangeAspect="1"/>
                    </pic:cNvPicPr>
                  </pic:nvPicPr>
                  <pic:blipFill>
                    <a:blip r:embed="rId7"/>
                    <a:stretch>
                      <a:fillRect/>
                    </a:stretch>
                  </pic:blipFill>
                  <pic:spPr>
                    <a:xfrm>
                      <a:off x="0" y="0"/>
                      <a:ext cx="6132830" cy="4906645"/>
                    </a:xfrm>
                    <a:prstGeom prst="rect">
                      <a:avLst/>
                    </a:prstGeom>
                  </pic:spPr>
                </pic:pic>
              </a:graphicData>
            </a:graphic>
          </wp:inline>
        </w:drawing>
      </w:r>
    </w:p>
    <w:p w14:paraId="5F960EB9">
      <w:pPr>
        <w:rPr>
          <w:rFonts w:hint="default" w:ascii="Times New Roman" w:hAnsi="Times New Roman" w:eastAsia="宋体"/>
          <w:lang w:val="en-US" w:eastAsia="zh-CN"/>
        </w:rPr>
      </w:pPr>
      <w:r>
        <w:rPr>
          <w:rFonts w:hint="default" w:ascii="Times New Roman" w:hAnsi="Times New Roman" w:eastAsia="宋体"/>
          <w:lang w:val="en-US" w:eastAsia="zh-CN"/>
        </w:rPr>
        <w:t>Fig. S</w:t>
      </w:r>
      <w:r>
        <w:rPr>
          <w:rFonts w:hint="eastAsia" w:ascii="Times New Roman" w:hAnsi="Times New Roman" w:eastAsia="宋体"/>
          <w:lang w:val="en-US" w:eastAsia="zh-CN"/>
        </w:rPr>
        <w:t>4</w:t>
      </w:r>
      <w:r>
        <w:rPr>
          <w:rFonts w:hint="default" w:ascii="Times New Roman" w:hAnsi="Times New Roman" w:eastAsia="宋体"/>
          <w:lang w:val="en-US" w:eastAsia="zh-CN"/>
        </w:rPr>
        <w:t>. Case-dropping bootstrap analysis of the stability of expected influence in the moderate perceived patient safety culture profile network.</w:t>
      </w:r>
    </w:p>
    <w:p w14:paraId="2B72C01F">
      <w:pP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6169025" cy="4935220"/>
            <wp:effectExtent l="0" t="0" r="3175" b="5080"/>
            <wp:docPr id="3" name="图片 3" descr="Network3_high_case_dropping_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Network3_high_case_dropping_EI"/>
                    <pic:cNvPicPr>
                      <a:picLocks noChangeAspect="1"/>
                    </pic:cNvPicPr>
                  </pic:nvPicPr>
                  <pic:blipFill>
                    <a:blip r:embed="rId8"/>
                    <a:stretch>
                      <a:fillRect/>
                    </a:stretch>
                  </pic:blipFill>
                  <pic:spPr>
                    <a:xfrm>
                      <a:off x="0" y="0"/>
                      <a:ext cx="6169025" cy="4935220"/>
                    </a:xfrm>
                    <a:prstGeom prst="rect">
                      <a:avLst/>
                    </a:prstGeom>
                  </pic:spPr>
                </pic:pic>
              </a:graphicData>
            </a:graphic>
          </wp:inline>
        </w:drawing>
      </w:r>
    </w:p>
    <w:p w14:paraId="70E44027">
      <w:pPr>
        <w:rPr>
          <w:rFonts w:hint="eastAsia" w:ascii="Times New Roman" w:hAnsi="Times New Roman" w:eastAsia="宋体"/>
          <w:lang w:val="en-US" w:eastAsia="zh-CN"/>
        </w:rPr>
      </w:pPr>
      <w:r>
        <w:rPr>
          <w:rFonts w:hint="eastAsia" w:ascii="Times New Roman" w:hAnsi="Times New Roman" w:eastAsia="宋体"/>
          <w:lang w:val="en-US" w:eastAsia="zh-CN"/>
        </w:rPr>
        <w:t xml:space="preserve">Fig. S5. Case-dropping bootstrap analysis of the stability of expected influence in the high perceived patient safety culture profile network. </w:t>
      </w:r>
    </w:p>
    <w:p w14:paraId="0FB45A4B">
      <w:pP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5800090" cy="4640580"/>
            <wp:effectExtent l="0" t="0" r="3810" b="7620"/>
            <wp:docPr id="5" name="图片 5" descr="Network1_low_edge_accu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Network1_low_edge_accuracy"/>
                    <pic:cNvPicPr>
                      <a:picLocks noChangeAspect="1"/>
                    </pic:cNvPicPr>
                  </pic:nvPicPr>
                  <pic:blipFill>
                    <a:blip r:embed="rId9"/>
                    <a:stretch>
                      <a:fillRect/>
                    </a:stretch>
                  </pic:blipFill>
                  <pic:spPr>
                    <a:xfrm>
                      <a:off x="0" y="0"/>
                      <a:ext cx="5800090" cy="4640580"/>
                    </a:xfrm>
                    <a:prstGeom prst="rect">
                      <a:avLst/>
                    </a:prstGeom>
                  </pic:spPr>
                </pic:pic>
              </a:graphicData>
            </a:graphic>
          </wp:inline>
        </w:drawing>
      </w:r>
    </w:p>
    <w:p w14:paraId="792E80A2">
      <w:pPr>
        <w:rPr>
          <w:rFonts w:hint="default" w:ascii="Times New Roman" w:hAnsi="Times New Roman"/>
          <w:lang w:val="en-US" w:eastAsia="zh-CN"/>
        </w:rPr>
      </w:pPr>
      <w:r>
        <w:rPr>
          <w:rFonts w:hint="default" w:ascii="Times New Roman" w:hAnsi="Times New Roman"/>
          <w:lang w:val="en-US" w:eastAsia="zh-CN"/>
        </w:rPr>
        <w:t>Fig. S</w:t>
      </w:r>
      <w:r>
        <w:rPr>
          <w:rFonts w:hint="eastAsia" w:ascii="Times New Roman" w:hAnsi="Times New Roman"/>
          <w:lang w:val="en-US" w:eastAsia="zh-CN"/>
        </w:rPr>
        <w:t>6</w:t>
      </w:r>
      <w:r>
        <w:rPr>
          <w:rFonts w:hint="default" w:ascii="Times New Roman" w:hAnsi="Times New Roman"/>
          <w:lang w:val="en-US" w:eastAsia="zh-CN"/>
        </w:rPr>
        <w:t>. Accuracy of edge-weight estimates in the low perceived patient safety culture profile network. Black points represent bootstrap means, red points represent sample estimates, and gray bars represent bootstrapped 95% confidence intervals.</w:t>
      </w:r>
    </w:p>
    <w:p w14:paraId="7734D667">
      <w:pP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5864860" cy="4692650"/>
            <wp:effectExtent l="0" t="0" r="2540" b="6350"/>
            <wp:docPr id="7" name="图片 7" descr="Network2_moderate_edge_accu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Network2_moderate_edge_accuracy"/>
                    <pic:cNvPicPr>
                      <a:picLocks noChangeAspect="1"/>
                    </pic:cNvPicPr>
                  </pic:nvPicPr>
                  <pic:blipFill>
                    <a:blip r:embed="rId10"/>
                    <a:stretch>
                      <a:fillRect/>
                    </a:stretch>
                  </pic:blipFill>
                  <pic:spPr>
                    <a:xfrm>
                      <a:off x="0" y="0"/>
                      <a:ext cx="5864860" cy="4692650"/>
                    </a:xfrm>
                    <a:prstGeom prst="rect">
                      <a:avLst/>
                    </a:prstGeom>
                  </pic:spPr>
                </pic:pic>
              </a:graphicData>
            </a:graphic>
          </wp:inline>
        </w:drawing>
      </w:r>
    </w:p>
    <w:p w14:paraId="47214F17">
      <w:pPr>
        <w:rPr>
          <w:rFonts w:hint="default" w:ascii="Times New Roman" w:hAnsi="Times New Roman"/>
          <w:lang w:val="en-US" w:eastAsia="zh-CN"/>
        </w:rPr>
      </w:pPr>
      <w:r>
        <w:rPr>
          <w:rFonts w:hint="default" w:ascii="Times New Roman" w:hAnsi="Times New Roman"/>
          <w:lang w:val="en-US" w:eastAsia="zh-CN"/>
        </w:rPr>
        <w:t>Fig. S</w:t>
      </w:r>
      <w:r>
        <w:rPr>
          <w:rFonts w:hint="eastAsia" w:ascii="Times New Roman" w:hAnsi="Times New Roman"/>
          <w:lang w:val="en-US" w:eastAsia="zh-CN"/>
        </w:rPr>
        <w:t>7</w:t>
      </w:r>
      <w:r>
        <w:rPr>
          <w:rFonts w:hint="default" w:ascii="Times New Roman" w:hAnsi="Times New Roman"/>
          <w:lang w:val="en-US" w:eastAsia="zh-CN"/>
        </w:rPr>
        <w:t>. Accuracy of edge-weight estimates in the moderate perceived patient safety culture profile network. Black points represent bootstrap means, red points represent sample estimates, and gray bars represent bootstrapped 95% confidence intervals.</w:t>
      </w:r>
    </w:p>
    <w:p w14:paraId="08BC469A">
      <w:pP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5845810" cy="4677410"/>
            <wp:effectExtent l="0" t="0" r="8890" b="8890"/>
            <wp:docPr id="8" name="图片 8" descr="Network3_high_edge_accu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Network3_high_edge_accuracy"/>
                    <pic:cNvPicPr>
                      <a:picLocks noChangeAspect="1"/>
                    </pic:cNvPicPr>
                  </pic:nvPicPr>
                  <pic:blipFill>
                    <a:blip r:embed="rId11"/>
                    <a:stretch>
                      <a:fillRect/>
                    </a:stretch>
                  </pic:blipFill>
                  <pic:spPr>
                    <a:xfrm>
                      <a:off x="0" y="0"/>
                      <a:ext cx="5845810" cy="4677410"/>
                    </a:xfrm>
                    <a:prstGeom prst="rect">
                      <a:avLst/>
                    </a:prstGeom>
                  </pic:spPr>
                </pic:pic>
              </a:graphicData>
            </a:graphic>
          </wp:inline>
        </w:drawing>
      </w:r>
    </w:p>
    <w:p w14:paraId="6483E641">
      <w:pPr>
        <w:rPr>
          <w:rFonts w:hint="default" w:ascii="Times New Roman" w:hAnsi="Times New Roman"/>
          <w:lang w:val="en-US" w:eastAsia="zh-CN"/>
        </w:rPr>
      </w:pPr>
      <w:r>
        <w:rPr>
          <w:rFonts w:hint="default" w:ascii="Times New Roman" w:hAnsi="Times New Roman"/>
          <w:lang w:val="en-US" w:eastAsia="zh-CN"/>
        </w:rPr>
        <w:t>Fig. S</w:t>
      </w:r>
      <w:r>
        <w:rPr>
          <w:rFonts w:hint="eastAsia" w:ascii="Times New Roman" w:hAnsi="Times New Roman"/>
          <w:lang w:val="en-US" w:eastAsia="zh-CN"/>
        </w:rPr>
        <w:t>8</w:t>
      </w:r>
      <w:r>
        <w:rPr>
          <w:rFonts w:hint="default" w:ascii="Times New Roman" w:hAnsi="Times New Roman"/>
          <w:lang w:val="en-US" w:eastAsia="zh-CN"/>
        </w:rPr>
        <w:t>. Accuracy of edge-weight estimates in the high perceived patient safety culture profile network. Black points represent bootstrap means, red points represent sample estimates, and gray bars represent bootstrapped 95% confidence intervals.</w:t>
      </w:r>
    </w:p>
    <w:p w14:paraId="432207E1">
      <w:pP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7774305" cy="4443095"/>
            <wp:effectExtent l="0" t="0" r="10795" b="1905"/>
            <wp:docPr id="9" name="图片 9" descr="Network1_low_edge_difference_nonz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Network1_low_edge_difference_nonzero"/>
                    <pic:cNvPicPr>
                      <a:picLocks noChangeAspect="1"/>
                    </pic:cNvPicPr>
                  </pic:nvPicPr>
                  <pic:blipFill>
                    <a:blip r:embed="rId12"/>
                    <a:stretch>
                      <a:fillRect/>
                    </a:stretch>
                  </pic:blipFill>
                  <pic:spPr>
                    <a:xfrm>
                      <a:off x="0" y="0"/>
                      <a:ext cx="7774305" cy="4443095"/>
                    </a:xfrm>
                    <a:prstGeom prst="rect">
                      <a:avLst/>
                    </a:prstGeom>
                  </pic:spPr>
                </pic:pic>
              </a:graphicData>
            </a:graphic>
          </wp:inline>
        </w:drawing>
      </w:r>
    </w:p>
    <w:p w14:paraId="4AE6D1E5">
      <w:pPr>
        <w:rPr>
          <w:rFonts w:hint="eastAsia" w:ascii="Times New Roman" w:hAnsi="Times New Roman" w:eastAsia="宋体"/>
          <w:lang w:eastAsia="zh-CN"/>
        </w:rPr>
      </w:pPr>
      <w:r>
        <w:rPr>
          <w:rFonts w:hint="eastAsia" w:ascii="Times New Roman" w:hAnsi="Times New Roman" w:eastAsia="宋体"/>
          <w:lang w:eastAsia="zh-CN"/>
        </w:rPr>
        <w:t>Fig</w:t>
      </w:r>
      <w:r>
        <w:rPr>
          <w:rFonts w:hint="default" w:ascii="Times New Roman" w:hAnsi="Times New Roman" w:eastAsia="宋体" w:cs="Times New Roman"/>
          <w:lang w:eastAsia="zh-CN"/>
        </w:rPr>
        <w:t>. S</w:t>
      </w:r>
      <w:r>
        <w:rPr>
          <w:rFonts w:hint="eastAsia" w:ascii="Times New Roman" w:hAnsi="Times New Roman" w:eastAsia="宋体" w:cs="Times New Roman"/>
          <w:lang w:val="en-US" w:eastAsia="zh-CN"/>
        </w:rPr>
        <w:t>9</w:t>
      </w:r>
      <w:r>
        <w:rPr>
          <w:rFonts w:hint="default" w:ascii="Times New Roman" w:hAnsi="Times New Roman" w:eastAsia="宋体" w:cs="Times New Roman"/>
          <w:lang w:eastAsia="zh-CN"/>
        </w:rPr>
        <w:t>. Bootstrapped difference tests (α = 0.05) for nonzero edge weights in the low perceived patient safety culture profile network. Gray boxes indicate pairs of edge weights that did not differ significantly, whereas black boxes indicate pairs that differed significantly. Colored boxes correspond to the edge colors in Fig. 2(a).</w:t>
      </w:r>
    </w:p>
    <w:p w14:paraId="57839FC8">
      <w:pP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7757160" cy="4432935"/>
            <wp:effectExtent l="0" t="0" r="2540" b="12065"/>
            <wp:docPr id="10" name="图片 10" descr="Network2_moderate_edge_difference_nonz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Network2_moderate_edge_difference_nonzero"/>
                    <pic:cNvPicPr>
                      <a:picLocks noChangeAspect="1"/>
                    </pic:cNvPicPr>
                  </pic:nvPicPr>
                  <pic:blipFill>
                    <a:blip r:embed="rId13"/>
                    <a:stretch>
                      <a:fillRect/>
                    </a:stretch>
                  </pic:blipFill>
                  <pic:spPr>
                    <a:xfrm>
                      <a:off x="0" y="0"/>
                      <a:ext cx="7757160" cy="4432935"/>
                    </a:xfrm>
                    <a:prstGeom prst="rect">
                      <a:avLst/>
                    </a:prstGeom>
                  </pic:spPr>
                </pic:pic>
              </a:graphicData>
            </a:graphic>
          </wp:inline>
        </w:drawing>
      </w:r>
    </w:p>
    <w:p w14:paraId="562A2147">
      <w:pPr>
        <w:rPr>
          <w:rFonts w:hint="default" w:ascii="Times New Roman" w:hAnsi="Times New Roman"/>
          <w:lang w:val="en-US" w:eastAsia="zh-CN"/>
        </w:rPr>
      </w:pPr>
      <w:r>
        <w:rPr>
          <w:rFonts w:hint="default" w:ascii="Times New Roman" w:hAnsi="Times New Roman"/>
          <w:lang w:val="en-US" w:eastAsia="zh-CN"/>
        </w:rPr>
        <w:t>Fig. S</w:t>
      </w:r>
      <w:r>
        <w:rPr>
          <w:rFonts w:hint="eastAsia" w:ascii="Times New Roman" w:hAnsi="Times New Roman"/>
          <w:lang w:val="en-US" w:eastAsia="zh-CN"/>
        </w:rPr>
        <w:t>10</w:t>
      </w:r>
      <w:r>
        <w:rPr>
          <w:rFonts w:hint="default" w:ascii="Times New Roman" w:hAnsi="Times New Roman"/>
          <w:lang w:val="en-US" w:eastAsia="zh-CN"/>
        </w:rPr>
        <w:t>. Bootstrapped difference tests (α = 0.05) for nonzero edge weights in the moderate perceived patient safety culture profile network. Gray boxes indicate pairs of edge weights that did not differ significantly, whereas black boxes indicate pairs that differed significantly. Colored boxes correspond to the edge colors in Fig. 2(d).</w:t>
      </w:r>
    </w:p>
    <w:p w14:paraId="1731E8ED">
      <w:pPr>
        <w:rPr>
          <w:rFonts w:hint="eastAsia" w:ascii="Times New Roman" w:hAnsi="Times New Roman" w:eastAsia="宋体"/>
          <w:lang w:eastAsia="zh-CN"/>
        </w:rPr>
      </w:pPr>
      <w:r>
        <w:rPr>
          <w:rFonts w:hint="eastAsia" w:ascii="Times New Roman" w:hAnsi="Times New Roman" w:eastAsia="宋体"/>
          <w:lang w:eastAsia="zh-CN"/>
        </w:rPr>
        <w:drawing>
          <wp:inline distT="0" distB="0" distL="114300" distR="114300">
            <wp:extent cx="7931785" cy="4532630"/>
            <wp:effectExtent l="0" t="0" r="5715" b="1270"/>
            <wp:docPr id="11" name="图片 11" descr="Network3_high_edge_difference_nonz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Network3_high_edge_difference_nonzero"/>
                    <pic:cNvPicPr>
                      <a:picLocks noChangeAspect="1"/>
                    </pic:cNvPicPr>
                  </pic:nvPicPr>
                  <pic:blipFill>
                    <a:blip r:embed="rId14"/>
                    <a:stretch>
                      <a:fillRect/>
                    </a:stretch>
                  </pic:blipFill>
                  <pic:spPr>
                    <a:xfrm>
                      <a:off x="0" y="0"/>
                      <a:ext cx="7931785" cy="4532630"/>
                    </a:xfrm>
                    <a:prstGeom prst="rect">
                      <a:avLst/>
                    </a:prstGeom>
                  </pic:spPr>
                </pic:pic>
              </a:graphicData>
            </a:graphic>
          </wp:inline>
        </w:drawing>
      </w:r>
    </w:p>
    <w:p w14:paraId="7D924813">
      <w:pPr>
        <w:rPr>
          <w:rFonts w:hint="default" w:ascii="Times New Roman" w:hAnsi="Times New Roman"/>
          <w:lang w:val="en-US" w:eastAsia="zh-CN"/>
        </w:rPr>
      </w:pPr>
      <w:r>
        <w:rPr>
          <w:rFonts w:hint="default" w:ascii="Times New Roman" w:hAnsi="Times New Roman"/>
          <w:lang w:val="en-US" w:eastAsia="zh-CN"/>
        </w:rPr>
        <w:t>Fig. S</w:t>
      </w:r>
      <w:r>
        <w:rPr>
          <w:rFonts w:hint="eastAsia" w:ascii="Times New Roman" w:hAnsi="Times New Roman"/>
          <w:lang w:val="en-US" w:eastAsia="zh-CN"/>
        </w:rPr>
        <w:t>11</w:t>
      </w:r>
      <w:r>
        <w:rPr>
          <w:rFonts w:hint="default" w:ascii="Times New Roman" w:hAnsi="Times New Roman"/>
          <w:lang w:val="en-US" w:eastAsia="zh-CN"/>
        </w:rPr>
        <w:t>. Bootstrapped difference tests (α = 0.05) for nonzero edge weights in the high perceived patient safety culture profile network. Gray boxes indicate pairs of edge weights that did not differ significantly, whereas black boxes indicate pairs that differed significantly. Colored boxes correspond to the edge colors in Fig. 2(g).</w:t>
      </w:r>
    </w:p>
    <w:p w14:paraId="1B9FDD42">
      <w:pPr>
        <w:rPr>
          <w:rFonts w:hint="eastAsia" w:ascii="Times New Roman" w:hAnsi="Times New Roman"/>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F55829"/>
    <w:rsid w:val="0617364B"/>
    <w:rsid w:val="11C72224"/>
    <w:rsid w:val="12493BFF"/>
    <w:rsid w:val="172B4755"/>
    <w:rsid w:val="17F55829"/>
    <w:rsid w:val="1E917E41"/>
    <w:rsid w:val="258C3291"/>
    <w:rsid w:val="2BD82C0B"/>
    <w:rsid w:val="2C933131"/>
    <w:rsid w:val="32BF2D77"/>
    <w:rsid w:val="39644874"/>
    <w:rsid w:val="3B8A7BC5"/>
    <w:rsid w:val="3BA951BE"/>
    <w:rsid w:val="3BFB108D"/>
    <w:rsid w:val="461B60BF"/>
    <w:rsid w:val="52601B49"/>
    <w:rsid w:val="68F760C0"/>
    <w:rsid w:val="6DFE0B35"/>
    <w:rsid w:val="7601621B"/>
    <w:rsid w:val="7D254B52"/>
    <w:rsid w:val="7F2F7B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pacing w:line="240" w:lineRule="auto"/>
    </w:pPr>
    <w:rPr>
      <w:rFonts w:ascii="Arial" w:hAnsi="Arial"/>
      <w:sz w:val="20"/>
    </w:rPr>
  </w:style>
  <w:style w:type="character" w:styleId="5">
    <w:name w:val="page number"/>
    <w:basedOn w:val="4"/>
    <w:qFormat/>
    <w:uiPriority w:val="0"/>
  </w:style>
  <w:style w:type="character" w:styleId="6">
    <w:name w:val="Emphasis"/>
    <w:basedOn w:val="4"/>
    <w:qFormat/>
    <w:uiPriority w:val="0"/>
    <w:rPr>
      <w:i/>
    </w:rPr>
  </w:style>
  <w:style w:type="paragraph" w:customStyle="1" w:styleId="7">
    <w:name w:val="TableTitle"/>
    <w:basedOn w:val="1"/>
    <w:qFormat/>
    <w:uiPriority w:val="0"/>
  </w:style>
  <w:style w:type="paragraph" w:customStyle="1" w:styleId="8">
    <w:name w:val="TableHeader"/>
    <w:basedOn w:val="9"/>
    <w:qFormat/>
    <w:uiPriority w:val="0"/>
    <w:pPr>
      <w:spacing w:before="120" w:line="240" w:lineRule="auto"/>
      <w:ind w:firstLine="0"/>
    </w:pPr>
    <w:rPr>
      <w:b/>
    </w:rPr>
  </w:style>
  <w:style w:type="paragraph" w:customStyle="1" w:styleId="9">
    <w:name w:val="Para"/>
    <w:basedOn w:val="1"/>
    <w:qFormat/>
    <w:uiPriority w:val="0"/>
    <w:pPr>
      <w:spacing w:line="360" w:lineRule="auto"/>
      <w:ind w:firstLine="288"/>
    </w:pPr>
  </w:style>
  <w:style w:type="paragraph" w:customStyle="1" w:styleId="10">
    <w:name w:val="TableSubHead"/>
    <w:basedOn w:val="8"/>
    <w:qFormat/>
    <w:uiPriority w:val="0"/>
  </w:style>
  <w:style w:type="paragraph" w:customStyle="1" w:styleId="11">
    <w:name w:val="TableNote"/>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chart" Target="charts/chart2.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D&#30424;&#26700;&#38754;\&#24739;&#32773;&#23433;&#20840;&#25991;&#21270;\&#24739;&#32773;&#23433;&#20840;&#25991;&#21270;&#22270;&#29255;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D&#30424;&#26700;&#38754;\&#24739;&#32773;&#23433;&#20840;&#25991;&#21270;\&#24739;&#32773;&#23433;&#20840;&#25991;&#21270;&#22270;&#2925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321015085955"/>
          <c:y val="0.0429352068696331"/>
          <c:w val="0.884738627061162"/>
          <c:h val="0.781498829039813"/>
        </c:manualLayout>
      </c:layout>
      <c:lineChart>
        <c:grouping val="standard"/>
        <c:varyColors val="0"/>
        <c:ser>
          <c:idx val="1"/>
          <c:order val="0"/>
          <c:tx>
            <c:strRef>
              <c:f>[患者安全文化图片1.xlsx]Sheet4!$B$1</c:f>
              <c:strCache>
                <c:ptCount val="1"/>
                <c:pt idx="0">
                  <c:v>Profile 1: n = 242, 7.2%</c:v>
                </c:pt>
              </c:strCache>
            </c:strRef>
          </c:tx>
          <c:spPr>
            <a:ln w="19050" cap="rnd">
              <a:solidFill>
                <a:srgbClr val="00B050"/>
              </a:solidFill>
              <a:round/>
            </a:ln>
            <a:effectLst/>
          </c:spPr>
          <c:marker>
            <c:symbol val="triangle"/>
            <c:size val="3"/>
            <c:spPr>
              <a:solidFill>
                <a:srgbClr val="00B050"/>
              </a:solidFill>
              <a:ln w="9525">
                <a:solidFill>
                  <a:srgbClr val="00B050"/>
                </a:solidFill>
              </a:ln>
              <a:effectLst/>
            </c:spPr>
          </c:marker>
          <c:dLbls>
            <c:delete val="1"/>
          </c:dLbls>
          <c:cat>
            <c:strRef>
              <c:f>[患者安全文化图片1.xlsx]Sheet4!$A$2:$A$10</c:f>
              <c:strCache>
                <c:ptCount val="9"/>
                <c:pt idx="0">
                  <c:v>PSS</c:v>
                </c:pt>
                <c:pt idx="1">
                  <c:v>SWP</c:v>
                </c:pt>
                <c:pt idx="2">
                  <c:v>RTE</c:v>
                </c:pt>
                <c:pt idx="3">
                  <c:v>CAE</c:v>
                </c:pt>
                <c:pt idx="4">
                  <c:v>CO</c:v>
                </c:pt>
                <c:pt idx="5">
                  <c:v>HIE</c:v>
                </c:pt>
                <c:pt idx="6">
                  <c:v>OLCI</c:v>
                </c:pt>
                <c:pt idx="7">
                  <c:v>TW</c:v>
                </c:pt>
                <c:pt idx="8">
                  <c:v>RPSE</c:v>
                </c:pt>
              </c:strCache>
            </c:strRef>
          </c:cat>
          <c:val>
            <c:numRef>
              <c:f>[患者安全文化图片1.xlsx]Sheet4!$B$2:$B$10</c:f>
              <c:numCache>
                <c:formatCode>General</c:formatCode>
                <c:ptCount val="9"/>
                <c:pt idx="0">
                  <c:v>19.612</c:v>
                </c:pt>
                <c:pt idx="1">
                  <c:v>11.019</c:v>
                </c:pt>
                <c:pt idx="2">
                  <c:v>10.873</c:v>
                </c:pt>
                <c:pt idx="3">
                  <c:v>5.084</c:v>
                </c:pt>
                <c:pt idx="4">
                  <c:v>9.373</c:v>
                </c:pt>
                <c:pt idx="5">
                  <c:v>9.178</c:v>
                </c:pt>
                <c:pt idx="6">
                  <c:v>8.027</c:v>
                </c:pt>
                <c:pt idx="7">
                  <c:v>8.79</c:v>
                </c:pt>
                <c:pt idx="8">
                  <c:v>4.224</c:v>
                </c:pt>
              </c:numCache>
            </c:numRef>
          </c:val>
          <c:smooth val="0"/>
        </c:ser>
        <c:ser>
          <c:idx val="2"/>
          <c:order val="1"/>
          <c:tx>
            <c:strRef>
              <c:f>[患者安全文化图片1.xlsx]Sheet4!$C$1</c:f>
              <c:strCache>
                <c:ptCount val="1"/>
                <c:pt idx="0">
                  <c:v>Profile 2: n = 583, 17.4%</c:v>
                </c:pt>
              </c:strCache>
            </c:strRef>
          </c:tx>
          <c:spPr>
            <a:ln w="19050" cap="sq">
              <a:solidFill>
                <a:schemeClr val="accent2"/>
              </a:solidFill>
              <a:round/>
              <a:headEnd type="none"/>
              <a:tailEnd type="none"/>
            </a:ln>
            <a:effectLst/>
          </c:spPr>
          <c:marker>
            <c:symbol val="square"/>
            <c:size val="3"/>
            <c:spPr>
              <a:solidFill>
                <a:schemeClr val="accent2"/>
              </a:solidFill>
              <a:ln w="0" cap="sq">
                <a:solidFill>
                  <a:schemeClr val="accent2"/>
                </a:solidFill>
                <a:bevel/>
                <a:headEnd type="none" w="lg" len="lg"/>
                <a:tailEnd type="none"/>
              </a:ln>
              <a:effectLst/>
            </c:spPr>
          </c:marker>
          <c:dLbls>
            <c:delete val="1"/>
          </c:dLbls>
          <c:cat>
            <c:strRef>
              <c:f>[患者安全文化图片1.xlsx]Sheet4!$A$2:$A$10</c:f>
              <c:strCache>
                <c:ptCount val="9"/>
                <c:pt idx="0">
                  <c:v>PSS</c:v>
                </c:pt>
                <c:pt idx="1">
                  <c:v>SWP</c:v>
                </c:pt>
                <c:pt idx="2">
                  <c:v>RTE</c:v>
                </c:pt>
                <c:pt idx="3">
                  <c:v>CAE</c:v>
                </c:pt>
                <c:pt idx="4">
                  <c:v>CO</c:v>
                </c:pt>
                <c:pt idx="5">
                  <c:v>HIE</c:v>
                </c:pt>
                <c:pt idx="6">
                  <c:v>OLCI</c:v>
                </c:pt>
                <c:pt idx="7">
                  <c:v>TW</c:v>
                </c:pt>
                <c:pt idx="8">
                  <c:v>RPSE</c:v>
                </c:pt>
              </c:strCache>
            </c:strRef>
          </c:cat>
          <c:val>
            <c:numRef>
              <c:f>[患者安全文化图片1.xlsx]Sheet4!$C$2:$C$10</c:f>
              <c:numCache>
                <c:formatCode>General</c:formatCode>
                <c:ptCount val="9"/>
                <c:pt idx="0">
                  <c:v>20.366</c:v>
                </c:pt>
                <c:pt idx="1">
                  <c:v>11.48</c:v>
                </c:pt>
                <c:pt idx="2">
                  <c:v>11.008</c:v>
                </c:pt>
                <c:pt idx="3">
                  <c:v>11.117</c:v>
                </c:pt>
                <c:pt idx="4">
                  <c:v>13.399</c:v>
                </c:pt>
                <c:pt idx="5">
                  <c:v>9.658</c:v>
                </c:pt>
                <c:pt idx="6">
                  <c:v>10.025</c:v>
                </c:pt>
                <c:pt idx="7">
                  <c:v>10.195</c:v>
                </c:pt>
                <c:pt idx="8">
                  <c:v>6.229</c:v>
                </c:pt>
              </c:numCache>
            </c:numRef>
          </c:val>
          <c:smooth val="0"/>
        </c:ser>
        <c:ser>
          <c:idx val="3"/>
          <c:order val="2"/>
          <c:tx>
            <c:strRef>
              <c:f>[患者安全文化图片1.xlsx]Sheet4!$D$1</c:f>
              <c:strCache>
                <c:ptCount val="1"/>
                <c:pt idx="0">
                  <c:v>Profile 3: n = 1,172, 35.0%</c:v>
                </c:pt>
              </c:strCache>
            </c:strRef>
          </c:tx>
          <c:spPr>
            <a:ln w="19050" cap="rnd" cmpd="sng">
              <a:solidFill>
                <a:srgbClr val="C00000"/>
              </a:solidFill>
              <a:prstDash val="solid"/>
              <a:round/>
            </a:ln>
            <a:effectLst/>
          </c:spPr>
          <c:marker>
            <c:symbol val="circle"/>
            <c:size val="3"/>
            <c:spPr>
              <a:solidFill>
                <a:srgbClr val="C00000"/>
              </a:solidFill>
              <a:ln w="9525">
                <a:solidFill>
                  <a:srgbClr val="C00000"/>
                </a:solidFill>
              </a:ln>
              <a:effectLst/>
            </c:spPr>
          </c:marker>
          <c:dLbls>
            <c:delete val="1"/>
          </c:dLbls>
          <c:cat>
            <c:strRef>
              <c:f>[患者安全文化图片1.xlsx]Sheet4!$A$2:$A$10</c:f>
              <c:strCache>
                <c:ptCount val="9"/>
                <c:pt idx="0">
                  <c:v>PSS</c:v>
                </c:pt>
                <c:pt idx="1">
                  <c:v>SWP</c:v>
                </c:pt>
                <c:pt idx="2">
                  <c:v>RTE</c:v>
                </c:pt>
                <c:pt idx="3">
                  <c:v>CAE</c:v>
                </c:pt>
                <c:pt idx="4">
                  <c:v>CO</c:v>
                </c:pt>
                <c:pt idx="5">
                  <c:v>HIE</c:v>
                </c:pt>
                <c:pt idx="6">
                  <c:v>OLCI</c:v>
                </c:pt>
                <c:pt idx="7">
                  <c:v>TW</c:v>
                </c:pt>
                <c:pt idx="8">
                  <c:v>RPSE</c:v>
                </c:pt>
              </c:strCache>
            </c:strRef>
          </c:cat>
          <c:val>
            <c:numRef>
              <c:f>[患者安全文化图片1.xlsx]Sheet4!$D$2:$D$10</c:f>
              <c:numCache>
                <c:formatCode>General</c:formatCode>
                <c:ptCount val="9"/>
                <c:pt idx="0">
                  <c:v>25.211</c:v>
                </c:pt>
                <c:pt idx="1">
                  <c:v>14.731</c:v>
                </c:pt>
                <c:pt idx="2">
                  <c:v>15.225</c:v>
                </c:pt>
                <c:pt idx="3">
                  <c:v>11.627</c:v>
                </c:pt>
                <c:pt idx="4">
                  <c:v>14.765</c:v>
                </c:pt>
                <c:pt idx="5">
                  <c:v>12.383</c:v>
                </c:pt>
                <c:pt idx="6">
                  <c:v>12.135</c:v>
                </c:pt>
                <c:pt idx="7">
                  <c:v>12.437</c:v>
                </c:pt>
                <c:pt idx="8">
                  <c:v>6.874</c:v>
                </c:pt>
              </c:numCache>
            </c:numRef>
          </c:val>
          <c:smooth val="0"/>
        </c:ser>
        <c:ser>
          <c:idx val="0"/>
          <c:order val="3"/>
          <c:tx>
            <c:strRef>
              <c:f>[患者安全文化图片1.xlsx]Sheet4!$E$1</c:f>
              <c:strCache>
                <c:ptCount val="1"/>
                <c:pt idx="0">
                  <c:v>Profile 4: n = 1,354, 40.4%</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strRef>
              <c:f>[患者安全文化图片1.xlsx]Sheet4!$A$2:$A$10</c:f>
              <c:strCache>
                <c:ptCount val="9"/>
                <c:pt idx="0">
                  <c:v>PSS</c:v>
                </c:pt>
                <c:pt idx="1">
                  <c:v>SWP</c:v>
                </c:pt>
                <c:pt idx="2">
                  <c:v>RTE</c:v>
                </c:pt>
                <c:pt idx="3">
                  <c:v>CAE</c:v>
                </c:pt>
                <c:pt idx="4">
                  <c:v>CO</c:v>
                </c:pt>
                <c:pt idx="5">
                  <c:v>HIE</c:v>
                </c:pt>
                <c:pt idx="6">
                  <c:v>OLCI</c:v>
                </c:pt>
                <c:pt idx="7">
                  <c:v>TW</c:v>
                </c:pt>
                <c:pt idx="8">
                  <c:v>RPSE</c:v>
                </c:pt>
              </c:strCache>
            </c:strRef>
          </c:cat>
          <c:val>
            <c:numRef>
              <c:f>[患者安全文化图片1.xlsx]Sheet4!$E$2:$E$10</c:f>
              <c:numCache>
                <c:formatCode>General</c:formatCode>
                <c:ptCount val="9"/>
                <c:pt idx="0">
                  <c:v>28.677</c:v>
                </c:pt>
                <c:pt idx="1">
                  <c:v>17.779</c:v>
                </c:pt>
                <c:pt idx="2">
                  <c:v>18.457</c:v>
                </c:pt>
                <c:pt idx="3">
                  <c:v>14.112</c:v>
                </c:pt>
                <c:pt idx="4">
                  <c:v>18.473</c:v>
                </c:pt>
                <c:pt idx="5">
                  <c:v>14.433</c:v>
                </c:pt>
                <c:pt idx="6">
                  <c:v>14.389</c:v>
                </c:pt>
                <c:pt idx="7">
                  <c:v>14.393</c:v>
                </c:pt>
                <c:pt idx="8">
                  <c:v>7.857</c:v>
                </c:pt>
              </c:numCache>
            </c:numRef>
          </c:val>
          <c:smooth val="0"/>
        </c:ser>
        <c:dLbls>
          <c:showLegendKey val="0"/>
          <c:showVal val="0"/>
          <c:showCatName val="0"/>
          <c:showSerName val="0"/>
          <c:showPercent val="0"/>
          <c:showBubbleSize val="0"/>
        </c:dLbls>
        <c:marker val="1"/>
        <c:smooth val="0"/>
        <c:axId val="395791656"/>
        <c:axId val="105563388"/>
      </c:lineChart>
      <c:catAx>
        <c:axId val="395791656"/>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p>
        </c:txPr>
        <c:crossAx val="105563388"/>
        <c:crosses val="autoZero"/>
        <c:auto val="1"/>
        <c:lblAlgn val="ctr"/>
        <c:lblOffset val="100"/>
        <c:noMultiLvlLbl val="0"/>
      </c:catAx>
      <c:valAx>
        <c:axId val="105563388"/>
        <c:scaling>
          <c:orientation val="minMax"/>
          <c:max val="30"/>
        </c:scaling>
        <c:delete val="0"/>
        <c:axPos val="l"/>
        <c:title>
          <c:tx>
            <c:rich>
              <a:bodyPr rot="-5400000" spcFirstLastPara="0" vertOverflow="ellipsis" vert="horz" wrap="square" anchor="ctr" anchorCtr="1"/>
              <a:lstStyle/>
              <a:p>
                <a:pPr defTabSz="914400">
                  <a:defRPr lang="zh-CN" sz="1000" b="0" i="0" u="none" strike="noStrike" kern="1200" baseline="0">
                    <a:solidFill>
                      <a:sysClr val="windowText" lastClr="000000"/>
                    </a:solidFill>
                    <a:latin typeface="+mn-lt"/>
                    <a:ea typeface="+mn-ea"/>
                    <a:cs typeface="+mn-cs"/>
                  </a:defRPr>
                </a:pPr>
                <a:r>
                  <a:rPr lang="en-US" altLang="zh-CN">
                    <a:solidFill>
                      <a:sysClr val="windowText" lastClr="000000"/>
                    </a:solidFill>
                    <a:uFillTx/>
                    <a:latin typeface="Times New Roman" panose="02020603050405020304" charset="0"/>
                  </a:rPr>
                  <a:t> Estimated Mean Scores</a:t>
                </a:r>
                <a:endParaRPr lang="en-US" altLang="zh-CN">
                  <a:solidFill>
                    <a:sysClr val="windowText" lastClr="000000"/>
                  </a:solidFill>
                  <a:uFillTx/>
                  <a:latin typeface="Times New Roman" panose="02020603050405020304" charset="0"/>
                </a:endParaRPr>
              </a:p>
            </c:rich>
          </c:tx>
          <c:layout/>
          <c:overlay val="0"/>
          <c:spPr>
            <a:noFill/>
            <a:ln>
              <a:noFill/>
            </a:ln>
            <a:effectLst/>
          </c:spPr>
        </c:title>
        <c:numFmt formatCode="General" sourceLinked="1"/>
        <c:majorTickMark val="in"/>
        <c:minorTickMark val="none"/>
        <c:tickLblPos val="nextTo"/>
        <c:spPr>
          <a:noFill/>
          <a:ln w="9525">
            <a:solidFill>
              <a:schemeClr val="tx1"/>
            </a:solidFill>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crossAx val="395791656"/>
        <c:crosses val="autoZero"/>
        <c:crossBetween val="between"/>
        <c:majorUnit val="5"/>
      </c:valAx>
      <c:spPr>
        <a:noFill/>
        <a:ln>
          <a:noFill/>
        </a:ln>
        <a:effectLst/>
      </c:spPr>
    </c:plotArea>
    <c:legend>
      <c:legendPos val="r"/>
      <c:layout>
        <c:manualLayout>
          <c:xMode val="edge"/>
          <c:yMode val="edge"/>
          <c:x val="0.695886558068675"/>
          <c:y val="0.044086436426779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
    <c:plotVisOnly val="1"/>
    <c:dispBlanksAs val="gap"/>
    <c:showDLblsOverMax val="0"/>
    <c:extLst>
      <c:ext uri="{0b15fc19-7d7d-44ad-8c2d-2c3a37ce22c3}">
        <chartProps xmlns="https://web.wps.cn/et/2018/main" chartId="{76d8d9be-4cd0-42ee-b1fb-ed4da4365bb6}"/>
      </c:ext>
    </c:extLst>
  </c:chart>
  <c:spPr>
    <a:solidFill>
      <a:schemeClr val="bg1"/>
    </a:solidFill>
    <a:ln w="9525" cap="flat" cmpd="sng" algn="ctr">
      <a:solidFill>
        <a:schemeClr val="tx1">
          <a:lumMod val="15000"/>
          <a:lumOff val="85000"/>
        </a:schemeClr>
      </a:solidFill>
      <a:round/>
    </a:ln>
    <a:effectLst/>
  </c:spPr>
  <c:txPr>
    <a:bodyPr/>
    <a:lstStyle/>
    <a:p>
      <a:pPr>
        <a:defRPr lang="zh-CN">
          <a:solidFill>
            <a:sysClr val="windowText" lastClr="000000"/>
          </a:solidFill>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321015085955"/>
          <c:y val="0.0429352068696331"/>
          <c:w val="0.884738627061162"/>
          <c:h val="0.781498829039813"/>
        </c:manualLayout>
      </c:layout>
      <c:lineChart>
        <c:grouping val="standard"/>
        <c:varyColors val="0"/>
        <c:ser>
          <c:idx val="1"/>
          <c:order val="0"/>
          <c:tx>
            <c:strRef>
              <c:f>[患者安全文化图片1.xlsx]Sheet5!$B$1</c:f>
              <c:strCache>
                <c:ptCount val="1"/>
                <c:pt idx="0">
                  <c:v>Profile 1: n = 234, 7.0%</c:v>
                </c:pt>
              </c:strCache>
            </c:strRef>
          </c:tx>
          <c:spPr>
            <a:ln w="19050" cap="rnd">
              <a:solidFill>
                <a:srgbClr val="00B050"/>
              </a:solidFill>
              <a:round/>
            </a:ln>
            <a:effectLst/>
          </c:spPr>
          <c:marker>
            <c:symbol val="triangle"/>
            <c:size val="3"/>
            <c:spPr>
              <a:solidFill>
                <a:srgbClr val="00B050"/>
              </a:solidFill>
              <a:ln w="9525">
                <a:solidFill>
                  <a:srgbClr val="00B050"/>
                </a:solidFill>
              </a:ln>
              <a:effectLst/>
            </c:spPr>
          </c:marker>
          <c:dLbls>
            <c:delete val="1"/>
          </c:dLbls>
          <c:cat>
            <c:strRef>
              <c:f>[患者安全文化图片1.xlsx]Sheet5!$A$2:$A$10</c:f>
              <c:strCache>
                <c:ptCount val="9"/>
                <c:pt idx="0">
                  <c:v>PSS</c:v>
                </c:pt>
                <c:pt idx="1">
                  <c:v>SWP</c:v>
                </c:pt>
                <c:pt idx="2">
                  <c:v>RTE</c:v>
                </c:pt>
                <c:pt idx="3">
                  <c:v>CAE</c:v>
                </c:pt>
                <c:pt idx="4">
                  <c:v>CO</c:v>
                </c:pt>
                <c:pt idx="5">
                  <c:v>HIE</c:v>
                </c:pt>
                <c:pt idx="6">
                  <c:v>OLCI</c:v>
                </c:pt>
                <c:pt idx="7">
                  <c:v>TW</c:v>
                </c:pt>
                <c:pt idx="8">
                  <c:v>RPSE</c:v>
                </c:pt>
              </c:strCache>
            </c:strRef>
          </c:cat>
          <c:val>
            <c:numRef>
              <c:f>[患者安全文化图片1.xlsx]Sheet5!$B$2:$B$10</c:f>
              <c:numCache>
                <c:formatCode>General</c:formatCode>
                <c:ptCount val="9"/>
                <c:pt idx="0">
                  <c:v>19.273</c:v>
                </c:pt>
                <c:pt idx="1">
                  <c:v>11.12</c:v>
                </c:pt>
                <c:pt idx="2">
                  <c:v>10.767</c:v>
                </c:pt>
                <c:pt idx="3">
                  <c:v>4.986</c:v>
                </c:pt>
                <c:pt idx="4">
                  <c:v>9.433</c:v>
                </c:pt>
                <c:pt idx="5">
                  <c:v>10.52</c:v>
                </c:pt>
                <c:pt idx="6">
                  <c:v>7.968</c:v>
                </c:pt>
                <c:pt idx="7">
                  <c:v>8.712</c:v>
                </c:pt>
                <c:pt idx="8">
                  <c:v>4.109</c:v>
                </c:pt>
              </c:numCache>
            </c:numRef>
          </c:val>
          <c:smooth val="0"/>
        </c:ser>
        <c:ser>
          <c:idx val="2"/>
          <c:order val="1"/>
          <c:tx>
            <c:strRef>
              <c:f>[患者安全文化图片1.xlsx]Sheet5!$C$1</c:f>
              <c:strCache>
                <c:ptCount val="1"/>
                <c:pt idx="0">
                  <c:v>Profile 2: n = 578, 17.2%</c:v>
                </c:pt>
              </c:strCache>
            </c:strRef>
          </c:tx>
          <c:spPr>
            <a:ln w="19050" cap="sq">
              <a:solidFill>
                <a:schemeClr val="accent2"/>
              </a:solidFill>
              <a:round/>
              <a:headEnd type="none"/>
              <a:tailEnd type="none"/>
            </a:ln>
            <a:effectLst/>
          </c:spPr>
          <c:marker>
            <c:symbol val="square"/>
            <c:size val="3"/>
            <c:spPr>
              <a:solidFill>
                <a:schemeClr val="accent2"/>
              </a:solidFill>
              <a:ln w="0" cap="sq">
                <a:solidFill>
                  <a:schemeClr val="accent2"/>
                </a:solidFill>
                <a:bevel/>
                <a:headEnd type="none" w="lg" len="lg"/>
                <a:tailEnd type="none"/>
              </a:ln>
              <a:effectLst/>
            </c:spPr>
          </c:marker>
          <c:dLbls>
            <c:delete val="1"/>
          </c:dLbls>
          <c:cat>
            <c:strRef>
              <c:f>[患者安全文化图片1.xlsx]Sheet5!$A$2:$A$10</c:f>
              <c:strCache>
                <c:ptCount val="9"/>
                <c:pt idx="0">
                  <c:v>PSS</c:v>
                </c:pt>
                <c:pt idx="1">
                  <c:v>SWP</c:v>
                </c:pt>
                <c:pt idx="2">
                  <c:v>RTE</c:v>
                </c:pt>
                <c:pt idx="3">
                  <c:v>CAE</c:v>
                </c:pt>
                <c:pt idx="4">
                  <c:v>CO</c:v>
                </c:pt>
                <c:pt idx="5">
                  <c:v>HIE</c:v>
                </c:pt>
                <c:pt idx="6">
                  <c:v>OLCI</c:v>
                </c:pt>
                <c:pt idx="7">
                  <c:v>TW</c:v>
                </c:pt>
                <c:pt idx="8">
                  <c:v>RPSE</c:v>
                </c:pt>
              </c:strCache>
            </c:strRef>
          </c:cat>
          <c:val>
            <c:numRef>
              <c:f>[患者安全文化图片1.xlsx]Sheet5!$C$2:$C$10</c:f>
              <c:numCache>
                <c:formatCode>General</c:formatCode>
                <c:ptCount val="9"/>
                <c:pt idx="0">
                  <c:v>20.333</c:v>
                </c:pt>
                <c:pt idx="1">
                  <c:v>11.254</c:v>
                </c:pt>
                <c:pt idx="2">
                  <c:v>11.058</c:v>
                </c:pt>
                <c:pt idx="3">
                  <c:v>11.273</c:v>
                </c:pt>
                <c:pt idx="4">
                  <c:v>13.375</c:v>
                </c:pt>
                <c:pt idx="5">
                  <c:v>11.249</c:v>
                </c:pt>
                <c:pt idx="6">
                  <c:v>10.001</c:v>
                </c:pt>
                <c:pt idx="7">
                  <c:v>10.172</c:v>
                </c:pt>
                <c:pt idx="8">
                  <c:v>6.187</c:v>
                </c:pt>
              </c:numCache>
            </c:numRef>
          </c:val>
          <c:smooth val="0"/>
        </c:ser>
        <c:ser>
          <c:idx val="3"/>
          <c:order val="2"/>
          <c:tx>
            <c:strRef>
              <c:f>[患者安全文化图片1.xlsx]Sheet5!$D$1</c:f>
              <c:strCache>
                <c:ptCount val="1"/>
                <c:pt idx="0">
                  <c:v>Profile 3: n = 1,023, 30.5%</c:v>
                </c:pt>
              </c:strCache>
            </c:strRef>
          </c:tx>
          <c:spPr>
            <a:ln w="19050" cap="rnd" cmpd="sng">
              <a:solidFill>
                <a:srgbClr val="C00000"/>
              </a:solidFill>
              <a:prstDash val="solid"/>
              <a:round/>
            </a:ln>
            <a:effectLst/>
          </c:spPr>
          <c:marker>
            <c:symbol val="circle"/>
            <c:size val="3"/>
            <c:spPr>
              <a:solidFill>
                <a:srgbClr val="C00000"/>
              </a:solidFill>
              <a:ln w="9525">
                <a:solidFill>
                  <a:srgbClr val="C00000"/>
                </a:solidFill>
              </a:ln>
              <a:effectLst/>
            </c:spPr>
          </c:marker>
          <c:dLbls>
            <c:delete val="1"/>
          </c:dLbls>
          <c:cat>
            <c:strRef>
              <c:f>[患者安全文化图片1.xlsx]Sheet5!$A$2:$A$10</c:f>
              <c:strCache>
                <c:ptCount val="9"/>
                <c:pt idx="0">
                  <c:v>PSS</c:v>
                </c:pt>
                <c:pt idx="1">
                  <c:v>SWP</c:v>
                </c:pt>
                <c:pt idx="2">
                  <c:v>RTE</c:v>
                </c:pt>
                <c:pt idx="3">
                  <c:v>CAE</c:v>
                </c:pt>
                <c:pt idx="4">
                  <c:v>CO</c:v>
                </c:pt>
                <c:pt idx="5">
                  <c:v>HIE</c:v>
                </c:pt>
                <c:pt idx="6">
                  <c:v>OLCI</c:v>
                </c:pt>
                <c:pt idx="7">
                  <c:v>TW</c:v>
                </c:pt>
                <c:pt idx="8">
                  <c:v>RPSE</c:v>
                </c:pt>
              </c:strCache>
            </c:strRef>
          </c:cat>
          <c:val>
            <c:numRef>
              <c:f>[患者安全文化图片1.xlsx]Sheet5!$D$2:$D$10</c:f>
              <c:numCache>
                <c:formatCode>General</c:formatCode>
                <c:ptCount val="9"/>
                <c:pt idx="0">
                  <c:v>24.933</c:v>
                </c:pt>
                <c:pt idx="1">
                  <c:v>14.482</c:v>
                </c:pt>
                <c:pt idx="2">
                  <c:v>15.148</c:v>
                </c:pt>
                <c:pt idx="3">
                  <c:v>12.5</c:v>
                </c:pt>
                <c:pt idx="4">
                  <c:v>15.06</c:v>
                </c:pt>
                <c:pt idx="5">
                  <c:v>12.477</c:v>
                </c:pt>
                <c:pt idx="6">
                  <c:v>12.082</c:v>
                </c:pt>
                <c:pt idx="7">
                  <c:v>12.309</c:v>
                </c:pt>
                <c:pt idx="8">
                  <c:v>6.739</c:v>
                </c:pt>
              </c:numCache>
            </c:numRef>
          </c:val>
          <c:smooth val="0"/>
        </c:ser>
        <c:ser>
          <c:idx val="0"/>
          <c:order val="3"/>
          <c:tx>
            <c:strRef>
              <c:f>[患者安全文化图片1.xlsx]Sheet5!$E$1</c:f>
              <c:strCache>
                <c:ptCount val="1"/>
                <c:pt idx="0">
                  <c:v>Profile 4: n = 228, 6.8%</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1"/>
          </c:dLbls>
          <c:cat>
            <c:strRef>
              <c:f>[患者安全文化图片1.xlsx]Sheet5!$A$2:$A$10</c:f>
              <c:strCache>
                <c:ptCount val="9"/>
                <c:pt idx="0">
                  <c:v>PSS</c:v>
                </c:pt>
                <c:pt idx="1">
                  <c:v>SWP</c:v>
                </c:pt>
                <c:pt idx="2">
                  <c:v>RTE</c:v>
                </c:pt>
                <c:pt idx="3">
                  <c:v>CAE</c:v>
                </c:pt>
                <c:pt idx="4">
                  <c:v>CO</c:v>
                </c:pt>
                <c:pt idx="5">
                  <c:v>HIE</c:v>
                </c:pt>
                <c:pt idx="6">
                  <c:v>OLCI</c:v>
                </c:pt>
                <c:pt idx="7">
                  <c:v>TW</c:v>
                </c:pt>
                <c:pt idx="8">
                  <c:v>RPSE</c:v>
                </c:pt>
              </c:strCache>
            </c:strRef>
          </c:cat>
          <c:val>
            <c:numRef>
              <c:f>[患者安全文化图片1.xlsx]Sheet5!$E$2:$E$10</c:f>
              <c:numCache>
                <c:formatCode>General</c:formatCode>
                <c:ptCount val="9"/>
                <c:pt idx="0">
                  <c:v>27.568</c:v>
                </c:pt>
                <c:pt idx="1">
                  <c:v>16.649</c:v>
                </c:pt>
                <c:pt idx="2">
                  <c:v>15.771</c:v>
                </c:pt>
                <c:pt idx="3">
                  <c:v>13.4</c:v>
                </c:pt>
                <c:pt idx="4">
                  <c:v>15.525</c:v>
                </c:pt>
                <c:pt idx="5">
                  <c:v>13.606</c:v>
                </c:pt>
                <c:pt idx="6">
                  <c:v>12.809</c:v>
                </c:pt>
                <c:pt idx="7">
                  <c:v>13.502</c:v>
                </c:pt>
                <c:pt idx="8">
                  <c:v>7.842</c:v>
                </c:pt>
              </c:numCache>
            </c:numRef>
          </c:val>
          <c:smooth val="0"/>
        </c:ser>
        <c:ser>
          <c:idx val="4"/>
          <c:order val="4"/>
          <c:tx>
            <c:strRef>
              <c:f>[患者安全文化图片1.xlsx]Sheet5!$F$1</c:f>
              <c:strCache>
                <c:ptCount val="1"/>
                <c:pt idx="0">
                  <c:v>Profile 5: n = 1,288, 38.4%</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dLbls>
            <c:delete val="1"/>
          </c:dLbls>
          <c:cat>
            <c:strRef>
              <c:f>[患者安全文化图片1.xlsx]Sheet5!$A$2:$A$10</c:f>
              <c:strCache>
                <c:ptCount val="9"/>
                <c:pt idx="0">
                  <c:v>PSS</c:v>
                </c:pt>
                <c:pt idx="1">
                  <c:v>SWP</c:v>
                </c:pt>
                <c:pt idx="2">
                  <c:v>RTE</c:v>
                </c:pt>
                <c:pt idx="3">
                  <c:v>CAE</c:v>
                </c:pt>
                <c:pt idx="4">
                  <c:v>CO</c:v>
                </c:pt>
                <c:pt idx="5">
                  <c:v>HIE</c:v>
                </c:pt>
                <c:pt idx="6">
                  <c:v>OLCI</c:v>
                </c:pt>
                <c:pt idx="7">
                  <c:v>TW</c:v>
                </c:pt>
                <c:pt idx="8">
                  <c:v>RPSE</c:v>
                </c:pt>
              </c:strCache>
            </c:strRef>
          </c:cat>
          <c:val>
            <c:numRef>
              <c:f>[患者安全文化图片1.xlsx]Sheet5!$F$2:$F$10</c:f>
              <c:numCache>
                <c:formatCode>General</c:formatCode>
                <c:ptCount val="9"/>
                <c:pt idx="0">
                  <c:v>28.676</c:v>
                </c:pt>
                <c:pt idx="1">
                  <c:v>17.776</c:v>
                </c:pt>
                <c:pt idx="2">
                  <c:v>18.57</c:v>
                </c:pt>
                <c:pt idx="3">
                  <c:v>14.47</c:v>
                </c:pt>
                <c:pt idx="4">
                  <c:v>18.425</c:v>
                </c:pt>
                <c:pt idx="5">
                  <c:v>14.418</c:v>
                </c:pt>
                <c:pt idx="6">
                  <c:v>14.412</c:v>
                </c:pt>
                <c:pt idx="7">
                  <c:v>14.396</c:v>
                </c:pt>
                <c:pt idx="8">
                  <c:v>7.859</c:v>
                </c:pt>
              </c:numCache>
            </c:numRef>
          </c:val>
          <c:smooth val="0"/>
        </c:ser>
        <c:dLbls>
          <c:showLegendKey val="0"/>
          <c:showVal val="0"/>
          <c:showCatName val="0"/>
          <c:showSerName val="0"/>
          <c:showPercent val="0"/>
          <c:showBubbleSize val="0"/>
        </c:dLbls>
        <c:marker val="1"/>
        <c:smooth val="0"/>
        <c:axId val="395791656"/>
        <c:axId val="105563388"/>
      </c:lineChart>
      <c:catAx>
        <c:axId val="395791656"/>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Times New Roman" panose="02020603050405020304" charset="0"/>
                <a:ea typeface="+mn-ea"/>
                <a:cs typeface="Times New Roman" panose="02020603050405020304" charset="0"/>
              </a:defRPr>
            </a:pPr>
          </a:p>
        </c:txPr>
        <c:crossAx val="105563388"/>
        <c:crosses val="autoZero"/>
        <c:auto val="1"/>
        <c:lblAlgn val="ctr"/>
        <c:lblOffset val="100"/>
        <c:noMultiLvlLbl val="0"/>
      </c:catAx>
      <c:valAx>
        <c:axId val="105563388"/>
        <c:scaling>
          <c:orientation val="minMax"/>
          <c:max val="30"/>
        </c:scaling>
        <c:delete val="0"/>
        <c:axPos val="l"/>
        <c:title>
          <c:tx>
            <c:rich>
              <a:bodyPr rot="-5400000" spcFirstLastPara="0" vertOverflow="ellipsis" vert="horz" wrap="square" anchor="ctr" anchorCtr="1"/>
              <a:lstStyle/>
              <a:p>
                <a:pPr defTabSz="914400">
                  <a:defRPr lang="zh-CN" sz="1000" b="0" i="0" u="none" strike="noStrike" kern="1200" baseline="0">
                    <a:solidFill>
                      <a:sysClr val="windowText" lastClr="000000"/>
                    </a:solidFill>
                    <a:latin typeface="+mn-lt"/>
                    <a:ea typeface="+mn-ea"/>
                    <a:cs typeface="+mn-cs"/>
                  </a:defRPr>
                </a:pPr>
                <a:r>
                  <a:rPr lang="en-US" altLang="zh-CN">
                    <a:solidFill>
                      <a:sysClr val="windowText" lastClr="000000"/>
                    </a:solidFill>
                    <a:uFillTx/>
                    <a:latin typeface="Times New Roman" panose="02020603050405020304" charset="0"/>
                  </a:rPr>
                  <a:t> Estimated Mean Scores</a:t>
                </a:r>
                <a:endParaRPr lang="en-US" altLang="zh-CN">
                  <a:solidFill>
                    <a:sysClr val="windowText" lastClr="000000"/>
                  </a:solidFill>
                  <a:uFillTx/>
                  <a:latin typeface="Times New Roman" panose="02020603050405020304" charset="0"/>
                </a:endParaRPr>
              </a:p>
            </c:rich>
          </c:tx>
          <c:layout/>
          <c:overlay val="0"/>
          <c:spPr>
            <a:noFill/>
            <a:ln>
              <a:noFill/>
            </a:ln>
            <a:effectLst/>
          </c:spPr>
        </c:title>
        <c:numFmt formatCode="General" sourceLinked="1"/>
        <c:majorTickMark val="in"/>
        <c:minorTickMark val="none"/>
        <c:tickLblPos val="nextTo"/>
        <c:spPr>
          <a:noFill/>
          <a:ln w="9525">
            <a:solidFill>
              <a:schemeClr val="tx1"/>
            </a:solidFill>
          </a:ln>
          <a:effectLst/>
        </c:spPr>
        <c:txPr>
          <a:bodyPr rot="-6000000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crossAx val="395791656"/>
        <c:crosses val="autoZero"/>
        <c:crossBetween val="between"/>
        <c:majorUnit val="5"/>
      </c:valAx>
      <c:spPr>
        <a:noFill/>
        <a:ln>
          <a:noFill/>
        </a:ln>
        <a:effectLst/>
      </c:spPr>
    </c:plotArea>
    <c:legend>
      <c:legendPos val="r"/>
      <c:layout>
        <c:manualLayout>
          <c:xMode val="edge"/>
          <c:yMode val="edge"/>
          <c:x val="0.673620063283722"/>
          <c:y val="0.027011383368705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
    <c:plotVisOnly val="1"/>
    <c:dispBlanksAs val="gap"/>
    <c:showDLblsOverMax val="0"/>
    <c:extLst>
      <c:ext uri="{0b15fc19-7d7d-44ad-8c2d-2c3a37ce22c3}">
        <chartProps xmlns="https://web.wps.cn/et/2018/main" chartId="{76d8d9be-4cd0-42ee-b1fb-ed4da4365bb6}"/>
      </c:ext>
    </c:extLst>
  </c:chart>
  <c:spPr>
    <a:solidFill>
      <a:schemeClr val="bg1"/>
    </a:solidFill>
    <a:ln w="9525" cap="flat" cmpd="sng" algn="ctr">
      <a:solidFill>
        <a:schemeClr val="tx1">
          <a:lumMod val="15000"/>
          <a:lumOff val="85000"/>
        </a:schemeClr>
      </a:solidFill>
      <a:round/>
    </a:ln>
    <a:effectLst/>
  </c:spPr>
  <c:txPr>
    <a:bodyPr/>
    <a:lstStyle/>
    <a:p>
      <a:pPr>
        <a:defRPr lang="zh-CN">
          <a:solidFill>
            <a:sysClr val="windowText" lastClr="000000"/>
          </a:solidFill>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5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1221</Words>
  <Characters>7471</Characters>
  <Lines>0</Lines>
  <Paragraphs>0</Paragraphs>
  <TotalTime>18</TotalTime>
  <ScaleCrop>false</ScaleCrop>
  <LinksUpToDate>false</LinksUpToDate>
  <CharactersWithSpaces>8329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2026-07-17T05:59:00Z</dcterms:created>
  <dc:creator>贾佳</dc:creator>
  <cp:lastModifiedBy>贾佳</cp:lastModifiedBy>
  <dcterms:modified xsi:type="dcterms:W3CDTF">2026-08-22T12:23:35Z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E5B94D8974EC42C3A7CDAE8CF32C5595_11</vt:lpwstr>
  </property>
  <property fmtid="{D5CDD505-2E9C-101B-9397-08002B2CF9AE}" pid="4" name="KSOTemplateDocerSaveRecord">
    <vt:lpwstr>eyJoZGlkIjoiODViY2JkMjU3NGYzZTEwMzZmMGFkZWViYmNkYWU3NDIiLCJ1c2VySWQiOiIyNDI2NTExODIifQ==</vt:lpwstr>
  </property>
</Properties>
</file>