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DE88B">
      <w:pPr>
        <w:rPr>
          <w:rFonts w:ascii="Times New Roman" w:hAnsi="Times New Roman" w:cs="Times New Roman"/>
          <w:b/>
          <w:bCs/>
          <w:sz w:val="28"/>
          <w:szCs w:val="28"/>
        </w:rPr>
      </w:pPr>
      <w:bookmarkStart w:id="0" w:name="OLE_LINK76"/>
      <w:r>
        <w:rPr>
          <w:rFonts w:ascii="Times New Roman" w:hAnsi="Times New Roman" w:cs="Times New Roman"/>
          <w:b/>
          <w:bCs/>
          <w:sz w:val="28"/>
          <w:szCs w:val="28"/>
        </w:rPr>
        <w:t xml:space="preserve">Supplementary </w:t>
      </w:r>
      <w:r>
        <w:rPr>
          <w:rFonts w:hint="eastAsia" w:ascii="Times New Roman" w:hAnsi="Times New Roman" w:cs="Times New Roman"/>
          <w:b/>
          <w:bCs/>
          <w:sz w:val="28"/>
          <w:szCs w:val="28"/>
        </w:rPr>
        <w:t>Appendix 3</w:t>
      </w:r>
      <w:bookmarkStart w:id="2" w:name="_GoBack"/>
      <w:bookmarkEnd w:id="2"/>
    </w:p>
    <w:bookmarkEnd w:id="0"/>
    <w:p w14:paraId="5CB96BA4">
      <w:pPr>
        <w:jc w:val="center"/>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Geriatric </w:t>
      </w:r>
      <w:r>
        <w:rPr>
          <w:rFonts w:hint="eastAsia" w:ascii="Times New Roman" w:hAnsi="Times New Roman" w:cs="Times New Roman"/>
          <w:b/>
          <w:bCs/>
          <w:sz w:val="28"/>
          <w:szCs w:val="28"/>
          <w:lang w:val="en-US" w:eastAsia="zh-CN"/>
        </w:rPr>
        <w:t>N</w:t>
      </w:r>
      <w:r>
        <w:rPr>
          <w:rFonts w:hint="default" w:ascii="Times New Roman" w:hAnsi="Times New Roman" w:cs="Times New Roman"/>
          <w:b/>
          <w:bCs/>
          <w:sz w:val="28"/>
          <w:szCs w:val="28"/>
          <w:lang w:val="en-US" w:eastAsia="zh-CN"/>
        </w:rPr>
        <w:t xml:space="preserve">ursing </w:t>
      </w:r>
      <w:r>
        <w:rPr>
          <w:rFonts w:hint="eastAsia" w:ascii="Times New Roman" w:hAnsi="Times New Roman" w:cs="Times New Roman"/>
          <w:b/>
          <w:bCs/>
          <w:sz w:val="28"/>
          <w:szCs w:val="28"/>
          <w:lang w:val="en-US" w:eastAsia="zh-CN"/>
        </w:rPr>
        <w:t>K</w:t>
      </w:r>
      <w:r>
        <w:rPr>
          <w:rFonts w:hint="default" w:ascii="Times New Roman" w:hAnsi="Times New Roman" w:cs="Times New Roman"/>
          <w:b/>
          <w:bCs/>
          <w:sz w:val="28"/>
          <w:szCs w:val="28"/>
          <w:lang w:val="en-US" w:eastAsia="zh-CN"/>
        </w:rPr>
        <w:t xml:space="preserve">nowledge </w:t>
      </w:r>
      <w:r>
        <w:rPr>
          <w:rFonts w:hint="eastAsia" w:ascii="Times New Roman" w:hAnsi="Times New Roman" w:cs="Times New Roman"/>
          <w:b/>
          <w:bCs/>
          <w:sz w:val="28"/>
          <w:szCs w:val="28"/>
          <w:lang w:val="en-US" w:eastAsia="zh-CN"/>
        </w:rPr>
        <w:t>T</w:t>
      </w:r>
      <w:r>
        <w:rPr>
          <w:rFonts w:hint="default" w:ascii="Times New Roman" w:hAnsi="Times New Roman" w:cs="Times New Roman"/>
          <w:b/>
          <w:bCs/>
          <w:sz w:val="28"/>
          <w:szCs w:val="28"/>
          <w:lang w:val="en-US" w:eastAsia="zh-CN"/>
        </w:rPr>
        <w:t xml:space="preserve">est </w:t>
      </w:r>
      <w:r>
        <w:rPr>
          <w:rFonts w:hint="eastAsia" w:ascii="Times New Roman" w:hAnsi="Times New Roman" w:cs="Times New Roman"/>
          <w:b/>
          <w:bCs/>
          <w:sz w:val="28"/>
          <w:szCs w:val="28"/>
          <w:lang w:val="en-US" w:eastAsia="zh-CN"/>
        </w:rPr>
        <w:t>Q</w:t>
      </w:r>
      <w:r>
        <w:rPr>
          <w:rFonts w:hint="default" w:ascii="Times New Roman" w:hAnsi="Times New Roman" w:cs="Times New Roman"/>
          <w:b/>
          <w:bCs/>
          <w:sz w:val="28"/>
          <w:szCs w:val="28"/>
          <w:lang w:val="en-US" w:eastAsia="zh-CN"/>
        </w:rPr>
        <w:t>uestionnaire</w:t>
      </w:r>
    </w:p>
    <w:p w14:paraId="765E71EA">
      <w:pPr>
        <w:rPr>
          <w:rFonts w:hint="default" w:ascii="Times New Roman" w:hAnsi="Times New Roman" w:cs="Times New Roman"/>
          <w:b w:val="0"/>
          <w:bCs w:val="0"/>
          <w:sz w:val="24"/>
          <w:szCs w:val="32"/>
          <w:lang w:val="en-US" w:eastAsia="zh-CN"/>
        </w:rPr>
      </w:pPr>
    </w:p>
    <w:p w14:paraId="765841C6">
      <w:pPr>
        <w:rPr>
          <w:rFonts w:hint="default" w:ascii="Times New Roman" w:hAnsi="Times New Roman" w:cs="Times New Roman"/>
          <w:b w:val="0"/>
          <w:bCs w:val="0"/>
          <w:sz w:val="24"/>
          <w:szCs w:val="32"/>
          <w:lang w:val="en-US" w:eastAsia="zh-CN"/>
        </w:rPr>
      </w:pPr>
      <w:bookmarkStart w:id="1" w:name="OLE_LINK75"/>
      <w:r>
        <w:rPr>
          <w:rFonts w:ascii="Times New Roman" w:hAnsi="Times New Roman" w:cs="Times New Roman"/>
          <w:b/>
          <w:bCs/>
          <w:sz w:val="24"/>
        </w:rPr>
        <w:t>【Introduction】</w:t>
      </w:r>
      <w:bookmarkEnd w:id="1"/>
    </w:p>
    <w:p w14:paraId="1B1E5550">
      <w:pPr>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With the rapid growth of the older population, there is an increasing need for nurses to provide evidence-based care to older adults with complex health needs. Knowledge of geriatric nursing is essential for ensuring patient safety, maintaining functional ability, and improving the quality of life of older adults.</w:t>
      </w:r>
    </w:p>
    <w:p w14:paraId="38FBD4E5">
      <w:pPr>
        <w:rPr>
          <w:rFonts w:hint="default" w:ascii="Times New Roman" w:hAnsi="Times New Roman" w:cs="Times New Roman"/>
          <w:b w:val="0"/>
          <w:bCs w:val="0"/>
          <w:sz w:val="24"/>
          <w:szCs w:val="32"/>
          <w:lang w:val="en-US" w:eastAsia="zh-CN"/>
        </w:rPr>
      </w:pPr>
    </w:p>
    <w:p w14:paraId="3ECD0131">
      <w:pPr>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 xml:space="preserve">The questions in this test were developed in accordance with the </w:t>
      </w:r>
      <w:r>
        <w:rPr>
          <w:rFonts w:hint="default" w:ascii="Times New Roman" w:hAnsi="Times New Roman" w:cs="Times New Roman"/>
          <w:b w:val="0"/>
          <w:bCs w:val="0"/>
          <w:i/>
          <w:iCs/>
          <w:sz w:val="24"/>
          <w:szCs w:val="32"/>
          <w:lang w:val="en-US" w:eastAsia="zh-CN"/>
        </w:rPr>
        <w:t>Practice Guidelines for Geriatric Nursing</w:t>
      </w:r>
      <w:r>
        <w:rPr>
          <w:rFonts w:hint="default"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i/>
          <w:iCs/>
          <w:sz w:val="24"/>
          <w:szCs w:val="32"/>
          <w:lang w:val="en-US" w:eastAsia="zh-CN"/>
        </w:rPr>
        <w:t xml:space="preserve">the Training Syllabus for Professional Nurses in Geriatric Nursing </w:t>
      </w:r>
      <w:r>
        <w:rPr>
          <w:rFonts w:hint="default" w:ascii="Times New Roman" w:hAnsi="Times New Roman" w:cs="Times New Roman"/>
          <w:b w:val="0"/>
          <w:bCs w:val="0"/>
          <w:sz w:val="24"/>
          <w:szCs w:val="32"/>
          <w:lang w:val="en-US" w:eastAsia="zh-CN"/>
        </w:rPr>
        <w:t>issued by the National Health Commission of China, and relevant standards within China's medical industry.The examination consists of 30 single-choice questions, 10 true-or-false questions, and 10 multiple-choice questions, with a total score of 100 points. Single-choice questions are worth 2 points each, true-or-false questions are worth 1 point each, and multiple-choice questions are worth 3 points each.</w:t>
      </w:r>
    </w:p>
    <w:p w14:paraId="53BF4120">
      <w:pPr>
        <w:rPr>
          <w:rFonts w:hint="default" w:ascii="Times New Roman" w:hAnsi="Times New Roman" w:cs="Times New Roman"/>
          <w:b w:val="0"/>
          <w:bCs w:val="0"/>
          <w:sz w:val="24"/>
          <w:szCs w:val="32"/>
          <w:lang w:val="en-US" w:eastAsia="zh-CN"/>
        </w:rPr>
      </w:pPr>
    </w:p>
    <w:p w14:paraId="7FA55D12">
      <w:pPr>
        <w:rPr>
          <w:rFonts w:hint="default" w:ascii="Times New Roman" w:hAnsi="Times New Roman" w:cs="Times New Roman"/>
          <w:b/>
          <w:bCs/>
          <w:sz w:val="24"/>
          <w:szCs w:val="32"/>
          <w:lang w:val="en-US" w:eastAsia="zh-CN"/>
        </w:rPr>
      </w:pPr>
    </w:p>
    <w:p w14:paraId="615A4F63">
      <w:pPr>
        <w:rPr>
          <w:rFonts w:hint="eastAsia" w:ascii="Times New Roman" w:hAnsi="Times New Roman" w:cs="Times New Roman"/>
          <w:b/>
          <w:bCs/>
          <w:sz w:val="24"/>
        </w:rPr>
      </w:pPr>
      <w:r>
        <w:rPr>
          <w:rFonts w:ascii="Times New Roman" w:hAnsi="Times New Roman" w:cs="Times New Roman"/>
          <w:b/>
          <w:bCs/>
          <w:sz w:val="24"/>
        </w:rPr>
        <w:t>P</w:t>
      </w:r>
      <w:r>
        <w:rPr>
          <w:rFonts w:hint="eastAsia" w:ascii="Times New Roman" w:hAnsi="Times New Roman" w:cs="Times New Roman"/>
          <w:b/>
          <w:bCs/>
          <w:sz w:val="24"/>
        </w:rPr>
        <w:t>art 1</w:t>
      </w:r>
      <w:r>
        <w:rPr>
          <w:rFonts w:ascii="Times New Roman" w:hAnsi="Times New Roman" w:cs="Times New Roman"/>
          <w:b/>
          <w:bCs/>
          <w:sz w:val="24"/>
        </w:rPr>
        <w:t>: Single - choice Questions</w:t>
      </w:r>
    </w:p>
    <w:p w14:paraId="158F96F8">
      <w:pPr>
        <w:rPr>
          <w:rFonts w:hint="eastAsia" w:ascii="Times New Roman" w:hAnsi="Times New Roman" w:cs="Times New Roman"/>
          <w:sz w:val="24"/>
        </w:rPr>
      </w:pPr>
      <w:r>
        <w:rPr>
          <w:rFonts w:ascii="Times New Roman" w:hAnsi="Times New Roman" w:cs="Times New Roman"/>
          <w:sz w:val="24"/>
        </w:rPr>
        <w:t xml:space="preserve">1. </w:t>
      </w:r>
      <w:r>
        <w:rPr>
          <w:rFonts w:hint="eastAsia" w:ascii="Times New Roman" w:hAnsi="Times New Roman" w:cs="Times New Roman"/>
          <w:sz w:val="24"/>
        </w:rPr>
        <w:t>An older adult with severe dementia requires an invasive procedure and lacks decision-making capacity. From a legal perspective, which of the following represents the appropriate informed consent process?</w:t>
      </w:r>
    </w:p>
    <w:p w14:paraId="7B430CC1">
      <w:pPr>
        <w:rPr>
          <w:rFonts w:hint="eastAsia" w:ascii="Times New Roman" w:hAnsi="Times New Roman" w:cs="Times New Roman"/>
          <w:sz w:val="24"/>
        </w:rPr>
      </w:pPr>
      <w:r>
        <w:rPr>
          <w:rFonts w:hint="eastAsia" w:ascii="Times New Roman" w:hAnsi="Times New Roman" w:cs="Times New Roman"/>
          <w:sz w:val="24"/>
        </w:rPr>
        <w:t>A. The nurse signs the consent form based on professional judgment</w:t>
      </w:r>
    </w:p>
    <w:p w14:paraId="1D5C2F05">
      <w:pPr>
        <w:rPr>
          <w:rFonts w:hint="eastAsia" w:ascii="Times New Roman" w:hAnsi="Times New Roman" w:cs="Times New Roman"/>
          <w:sz w:val="24"/>
        </w:rPr>
      </w:pPr>
      <w:r>
        <w:rPr>
          <w:rFonts w:hint="eastAsia" w:ascii="Times New Roman" w:hAnsi="Times New Roman" w:cs="Times New Roman"/>
          <w:sz w:val="24"/>
        </w:rPr>
        <w:t>B. Informed consent may be waived because the patient lacks decision-making capacity</w:t>
      </w:r>
    </w:p>
    <w:p w14:paraId="4B01F0EF">
      <w:pPr>
        <w:rPr>
          <w:rFonts w:hint="eastAsia" w:ascii="Times New Roman" w:hAnsi="Times New Roman" w:cs="Times New Roman"/>
          <w:sz w:val="24"/>
        </w:rPr>
      </w:pPr>
      <w:r>
        <w:rPr>
          <w:rFonts w:hint="eastAsia" w:ascii="Times New Roman" w:hAnsi="Times New Roman" w:cs="Times New Roman"/>
          <w:sz w:val="24"/>
        </w:rPr>
        <w:t>C. The patient's legal guardian provides informed consent and signs the consent form based on the patient's best interests</w:t>
      </w:r>
    </w:p>
    <w:p w14:paraId="63ADFD66">
      <w:pPr>
        <w:rPr>
          <w:rFonts w:hint="eastAsia" w:ascii="Times New Roman" w:hAnsi="Times New Roman" w:cs="Times New Roman"/>
          <w:sz w:val="24"/>
        </w:rPr>
      </w:pPr>
      <w:r>
        <w:rPr>
          <w:rFonts w:hint="eastAsia" w:ascii="Times New Roman" w:hAnsi="Times New Roman" w:cs="Times New Roman"/>
          <w:sz w:val="24"/>
        </w:rPr>
        <w:t>D. Wait until the patient becomes lucid before making a decision</w:t>
      </w:r>
    </w:p>
    <w:p w14:paraId="28ED6387">
      <w:pPr>
        <w:rPr>
          <w:rFonts w:hint="eastAsia" w:ascii="Times New Roman" w:hAnsi="Times New Roman" w:cs="Times New Roman"/>
          <w:sz w:val="24"/>
        </w:rPr>
      </w:pPr>
      <w:r>
        <w:rPr>
          <w:rFonts w:hint="eastAsia" w:ascii="Times New Roman" w:hAnsi="Times New Roman" w:cs="Times New Roman"/>
          <w:sz w:val="24"/>
        </w:rPr>
        <w:t>E. The head of the department signs the consent form on the patient's behalf</w:t>
      </w:r>
    </w:p>
    <w:p w14:paraId="6A5AAA83">
      <w:pPr>
        <w:rPr>
          <w:rFonts w:hint="eastAsia" w:ascii="Times New Roman" w:hAnsi="Times New Roman" w:cs="Times New Roman"/>
          <w:sz w:val="24"/>
        </w:rPr>
      </w:pPr>
    </w:p>
    <w:p w14:paraId="2A5C2675">
      <w:pPr>
        <w:numPr>
          <w:ilvl w:val="0"/>
          <w:numId w:val="1"/>
        </w:numPr>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When using physical restraints for an older patient who is agitated or at risk of self-harm, which legal and ethical principle should guide practice?</w:t>
      </w:r>
    </w:p>
    <w:p w14:paraId="27A92BE8">
      <w:pPr>
        <w:numPr>
          <w:ilvl w:val="0"/>
          <w:numId w:val="0"/>
        </w:numPr>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A. The principle of convenience for nursing staff</w:t>
      </w:r>
    </w:p>
    <w:p w14:paraId="182ACFCD">
      <w:pPr>
        <w:numPr>
          <w:ilvl w:val="0"/>
          <w:numId w:val="0"/>
        </w:numPr>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B. The principle of maximizing the duration of restraint use</w:t>
      </w:r>
    </w:p>
    <w:p w14:paraId="49700683">
      <w:pPr>
        <w:numPr>
          <w:ilvl w:val="0"/>
          <w:numId w:val="0"/>
        </w:numPr>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C. Physical restraints should be used only when alternative measures have been ineffective and appropriate informed consent has been obtained</w:t>
      </w:r>
    </w:p>
    <w:p w14:paraId="1CC76F4B">
      <w:pPr>
        <w:numPr>
          <w:ilvl w:val="0"/>
          <w:numId w:val="0"/>
        </w:numPr>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D. The patient's own consent must always be obtained, regardless of decision-making capacity</w:t>
      </w:r>
    </w:p>
    <w:p w14:paraId="7D181EBE">
      <w:pPr>
        <w:numPr>
          <w:ilvl w:val="0"/>
          <w:numId w:val="0"/>
        </w:numPr>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E. A verbal physician order alone is sufficient</w:t>
      </w:r>
    </w:p>
    <w:p w14:paraId="1E80A46F">
      <w:pPr>
        <w:numPr>
          <w:ilvl w:val="0"/>
          <w:numId w:val="0"/>
        </w:numPr>
        <w:rPr>
          <w:rFonts w:hint="default" w:ascii="Times New Roman" w:hAnsi="Times New Roman" w:cs="Times New Roman" w:eastAsiaTheme="minorEastAsia"/>
          <w:sz w:val="24"/>
          <w:lang w:val="en-US" w:eastAsia="zh-CN"/>
        </w:rPr>
      </w:pPr>
    </w:p>
    <w:p w14:paraId="427CF0BC">
      <w:pPr>
        <w:numPr>
          <w:ilvl w:val="0"/>
          <w:numId w:val="1"/>
        </w:numPr>
        <w:ind w:left="0" w:leftChars="0" w:firstLine="0" w:firstLineChars="0"/>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When assisting an older patient with chest percussion to promote sputum clearance, which technique and direction are correct?</w:t>
      </w:r>
    </w:p>
    <w:p w14:paraId="57A60B72">
      <w:pPr>
        <w:numPr>
          <w:ilvl w:val="0"/>
          <w:numId w:val="0"/>
        </w:numPr>
        <w:ind w:leftChars="0"/>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A. Keep the hand flat and percuss from top to bottom</w:t>
      </w:r>
    </w:p>
    <w:p w14:paraId="0056C45E">
      <w:pPr>
        <w:numPr>
          <w:ilvl w:val="0"/>
          <w:numId w:val="0"/>
        </w:numPr>
        <w:ind w:leftChars="0"/>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B. Cup the hand and percuss from the lower to the upper lung fields and from the peripheral to the central airways</w:t>
      </w:r>
    </w:p>
    <w:p w14:paraId="7C0A2C50">
      <w:pPr>
        <w:numPr>
          <w:ilvl w:val="0"/>
          <w:numId w:val="0"/>
        </w:numPr>
        <w:ind w:leftChars="0"/>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C. Make a fist and gently tap from the center outward</w:t>
      </w:r>
    </w:p>
    <w:p w14:paraId="1E182E59">
      <w:pPr>
        <w:numPr>
          <w:ilvl w:val="0"/>
          <w:numId w:val="0"/>
        </w:numPr>
        <w:ind w:leftChars="0"/>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D. Lightly flick with the fingertips in a random pattern</w:t>
      </w:r>
    </w:p>
    <w:p w14:paraId="1D268808">
      <w:pPr>
        <w:numPr>
          <w:ilvl w:val="0"/>
          <w:numId w:val="0"/>
        </w:numPr>
        <w:ind w:leftChars="0"/>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E. Percuss directly over the spine to stimulate the cough reflex</w:t>
      </w:r>
    </w:p>
    <w:p w14:paraId="61C1C90F">
      <w:pPr>
        <w:rPr>
          <w:rFonts w:ascii="Times New Roman" w:hAnsi="Times New Roman" w:cs="Times New Roman"/>
          <w:sz w:val="24"/>
        </w:rPr>
      </w:pPr>
    </w:p>
    <w:p w14:paraId="63C07690">
      <w:pPr>
        <w:numPr>
          <w:ilvl w:val="0"/>
          <w:numId w:val="1"/>
        </w:numPr>
        <w:ind w:left="0" w:leftChars="0" w:firstLine="0" w:firstLineChars="0"/>
        <w:rPr>
          <w:rFonts w:hint="eastAsia" w:ascii="Times New Roman" w:hAnsi="Times New Roman" w:cs="Times New Roman"/>
          <w:sz w:val="24"/>
        </w:rPr>
      </w:pPr>
      <w:r>
        <w:rPr>
          <w:rFonts w:hint="eastAsia" w:ascii="Times New Roman" w:hAnsi="Times New Roman" w:cs="Times New Roman"/>
          <w:sz w:val="24"/>
        </w:rPr>
        <w:t xml:space="preserve">Enteral tube feeding is recommended when an older adult's oral intake falls below what percentage of the target nutritional requirement? </w:t>
      </w:r>
    </w:p>
    <w:p w14:paraId="032BFF57">
      <w:pPr>
        <w:rPr>
          <w:rFonts w:hint="eastAsia" w:ascii="Times New Roman" w:hAnsi="Times New Roman" w:cs="Times New Roman"/>
          <w:sz w:val="24"/>
        </w:rPr>
      </w:pPr>
      <w:r>
        <w:rPr>
          <w:rFonts w:hint="eastAsia" w:ascii="Times New Roman" w:hAnsi="Times New Roman" w:cs="Times New Roman"/>
          <w:sz w:val="24"/>
        </w:rPr>
        <w:t>A. 30%</w:t>
      </w:r>
    </w:p>
    <w:p w14:paraId="71D9DF6C">
      <w:pPr>
        <w:rPr>
          <w:rFonts w:hint="eastAsia" w:ascii="Times New Roman" w:hAnsi="Times New Roman" w:cs="Times New Roman"/>
          <w:sz w:val="24"/>
        </w:rPr>
      </w:pPr>
      <w:r>
        <w:rPr>
          <w:rFonts w:hint="eastAsia" w:ascii="Times New Roman" w:hAnsi="Times New Roman" w:cs="Times New Roman"/>
          <w:sz w:val="24"/>
        </w:rPr>
        <w:t>B. 40%</w:t>
      </w:r>
    </w:p>
    <w:p w14:paraId="0EBD7D2D">
      <w:pPr>
        <w:rPr>
          <w:rFonts w:hint="eastAsia" w:ascii="Times New Roman" w:hAnsi="Times New Roman" w:cs="Times New Roman"/>
          <w:sz w:val="24"/>
        </w:rPr>
      </w:pPr>
      <w:r>
        <w:rPr>
          <w:rFonts w:hint="eastAsia" w:ascii="Times New Roman" w:hAnsi="Times New Roman" w:cs="Times New Roman"/>
          <w:sz w:val="24"/>
        </w:rPr>
        <w:t>C. 50%</w:t>
      </w:r>
    </w:p>
    <w:p w14:paraId="3983A5A4">
      <w:pPr>
        <w:rPr>
          <w:rFonts w:hint="eastAsia" w:ascii="Times New Roman" w:hAnsi="Times New Roman" w:cs="Times New Roman"/>
          <w:sz w:val="24"/>
        </w:rPr>
      </w:pPr>
      <w:r>
        <w:rPr>
          <w:rFonts w:hint="eastAsia" w:ascii="Times New Roman" w:hAnsi="Times New Roman" w:cs="Times New Roman"/>
          <w:sz w:val="24"/>
        </w:rPr>
        <w:t xml:space="preserve">D. 60% </w:t>
      </w:r>
    </w:p>
    <w:p w14:paraId="0C462009">
      <w:pPr>
        <w:rPr>
          <w:rFonts w:ascii="Times New Roman" w:hAnsi="Times New Roman" w:cs="Times New Roman"/>
          <w:sz w:val="24"/>
        </w:rPr>
      </w:pPr>
      <w:r>
        <w:rPr>
          <w:rFonts w:hint="eastAsia" w:ascii="Times New Roman" w:hAnsi="Times New Roman" w:cs="Times New Roman"/>
          <w:sz w:val="24"/>
        </w:rPr>
        <w:t>E. 70%</w:t>
      </w:r>
    </w:p>
    <w:p w14:paraId="70487085">
      <w:pPr>
        <w:rPr>
          <w:rFonts w:ascii="Times New Roman" w:hAnsi="Times New Roman" w:cs="Times New Roman"/>
          <w:sz w:val="24"/>
        </w:rPr>
      </w:pPr>
    </w:p>
    <w:p w14:paraId="017C1517">
      <w:pPr>
        <w:numPr>
          <w:ilvl w:val="0"/>
          <w:numId w:val="1"/>
        </w:numPr>
        <w:ind w:left="0" w:leftChars="0" w:firstLine="0" w:firstLineChars="0"/>
        <w:rPr>
          <w:rFonts w:hint="eastAsia" w:ascii="Times New Roman" w:hAnsi="Times New Roman" w:cs="Times New Roman"/>
          <w:sz w:val="24"/>
        </w:rPr>
      </w:pPr>
      <w:r>
        <w:rPr>
          <w:rFonts w:hint="eastAsia" w:ascii="Times New Roman" w:hAnsi="Times New Roman" w:cs="Times New Roman"/>
          <w:sz w:val="24"/>
        </w:rPr>
        <w:t>What is the recommended daily protein intake for older adults under normal conditions?</w:t>
      </w:r>
    </w:p>
    <w:p w14:paraId="38EED593">
      <w:pPr>
        <w:rPr>
          <w:rFonts w:hint="eastAsia" w:ascii="Times New Roman" w:hAnsi="Times New Roman" w:cs="Times New Roman" w:eastAsiaTheme="minorEastAsia"/>
          <w:sz w:val="24"/>
          <w:lang w:val="en-US" w:eastAsia="zh-CN"/>
        </w:rPr>
      </w:pPr>
      <w:r>
        <w:rPr>
          <w:rFonts w:hint="eastAsia" w:ascii="Times New Roman" w:hAnsi="Times New Roman" w:cs="Times New Roman"/>
          <w:sz w:val="24"/>
        </w:rPr>
        <w:t>A. 0.5</w:t>
      </w:r>
      <w:r>
        <w:rPr>
          <w:rFonts w:hint="eastAsia" w:ascii="Times New Roman" w:hAnsi="Times New Roman" w:cs="Times New Roman"/>
          <w:sz w:val="24"/>
          <w:lang w:val="en-US" w:eastAsia="zh-CN"/>
        </w:rPr>
        <w:t>-</w:t>
      </w:r>
      <w:r>
        <w:rPr>
          <w:rFonts w:hint="eastAsia" w:ascii="Times New Roman" w:hAnsi="Times New Roman" w:cs="Times New Roman"/>
          <w:sz w:val="24"/>
        </w:rPr>
        <w:t>0.8 g</w:t>
      </w:r>
      <w:r>
        <w:rPr>
          <w:rFonts w:hint="eastAsia" w:ascii="Times New Roman" w:hAnsi="Times New Roman" w:cs="Times New Roman"/>
          <w:sz w:val="24"/>
          <w:lang w:val="en-US" w:eastAsia="zh-CN"/>
        </w:rPr>
        <w:t>/(</w:t>
      </w:r>
      <w:r>
        <w:rPr>
          <w:rFonts w:hint="eastAsia" w:ascii="Times New Roman" w:hAnsi="Times New Roman" w:cs="Times New Roman"/>
          <w:sz w:val="24"/>
        </w:rPr>
        <w:t>kg·d</w:t>
      </w:r>
      <w:r>
        <w:rPr>
          <w:rFonts w:hint="eastAsia" w:ascii="Times New Roman" w:hAnsi="Times New Roman" w:cs="Times New Roman"/>
          <w:sz w:val="24"/>
          <w:lang w:val="en-US" w:eastAsia="zh-CN"/>
        </w:rPr>
        <w:t>)</w:t>
      </w:r>
    </w:p>
    <w:p w14:paraId="736E1175">
      <w:pPr>
        <w:rPr>
          <w:rFonts w:hint="eastAsia" w:ascii="Times New Roman" w:hAnsi="Times New Roman" w:cs="Times New Roman"/>
          <w:sz w:val="24"/>
        </w:rPr>
      </w:pPr>
      <w:r>
        <w:rPr>
          <w:rFonts w:hint="eastAsia" w:ascii="Times New Roman" w:hAnsi="Times New Roman" w:cs="Times New Roman"/>
          <w:sz w:val="24"/>
        </w:rPr>
        <w:t>B. 1.0</w:t>
      </w:r>
      <w:r>
        <w:rPr>
          <w:rFonts w:hint="eastAsia" w:ascii="Times New Roman" w:hAnsi="Times New Roman" w:cs="Times New Roman"/>
          <w:sz w:val="24"/>
          <w:lang w:val="en-US" w:eastAsia="zh-CN"/>
        </w:rPr>
        <w:t>-</w:t>
      </w:r>
      <w:r>
        <w:rPr>
          <w:rFonts w:hint="eastAsia" w:ascii="Times New Roman" w:hAnsi="Times New Roman" w:cs="Times New Roman"/>
          <w:sz w:val="24"/>
        </w:rPr>
        <w:t>1.5 g/</w:t>
      </w:r>
      <w:r>
        <w:rPr>
          <w:rFonts w:hint="eastAsia" w:ascii="Times New Roman" w:hAnsi="Times New Roman" w:cs="Times New Roman"/>
          <w:sz w:val="24"/>
          <w:lang w:val="en-US" w:eastAsia="zh-CN"/>
        </w:rPr>
        <w:t>(</w:t>
      </w:r>
      <w:r>
        <w:rPr>
          <w:rFonts w:hint="eastAsia" w:ascii="Times New Roman" w:hAnsi="Times New Roman" w:cs="Times New Roman"/>
          <w:sz w:val="24"/>
        </w:rPr>
        <w:t>kg·d</w:t>
      </w:r>
      <w:r>
        <w:rPr>
          <w:rFonts w:hint="eastAsia" w:ascii="Times New Roman" w:hAnsi="Times New Roman" w:cs="Times New Roman"/>
          <w:sz w:val="24"/>
          <w:lang w:val="en-US" w:eastAsia="zh-CN"/>
        </w:rPr>
        <w:t>)</w:t>
      </w:r>
    </w:p>
    <w:p w14:paraId="02F0BCF7">
      <w:pPr>
        <w:rPr>
          <w:rFonts w:hint="eastAsia" w:ascii="Times New Roman" w:hAnsi="Times New Roman" w:cs="Times New Roman"/>
          <w:sz w:val="24"/>
        </w:rPr>
      </w:pPr>
      <w:r>
        <w:rPr>
          <w:rFonts w:hint="eastAsia" w:ascii="Times New Roman" w:hAnsi="Times New Roman" w:cs="Times New Roman"/>
          <w:sz w:val="24"/>
        </w:rPr>
        <w:t>C. 1.5</w:t>
      </w:r>
      <w:r>
        <w:rPr>
          <w:rFonts w:hint="eastAsia" w:ascii="Times New Roman" w:hAnsi="Times New Roman" w:cs="Times New Roman"/>
          <w:sz w:val="24"/>
          <w:lang w:val="en-US" w:eastAsia="zh-CN"/>
        </w:rPr>
        <w:t>-</w:t>
      </w:r>
      <w:r>
        <w:rPr>
          <w:rFonts w:hint="eastAsia" w:ascii="Times New Roman" w:hAnsi="Times New Roman" w:cs="Times New Roman"/>
          <w:sz w:val="24"/>
        </w:rPr>
        <w:t>2.0 g/</w:t>
      </w:r>
      <w:r>
        <w:rPr>
          <w:rFonts w:hint="eastAsia" w:ascii="Times New Roman" w:hAnsi="Times New Roman" w:cs="Times New Roman"/>
          <w:sz w:val="24"/>
          <w:lang w:val="en-US" w:eastAsia="zh-CN"/>
        </w:rPr>
        <w:t>(</w:t>
      </w:r>
      <w:r>
        <w:rPr>
          <w:rFonts w:hint="eastAsia" w:ascii="Times New Roman" w:hAnsi="Times New Roman" w:cs="Times New Roman"/>
          <w:sz w:val="24"/>
        </w:rPr>
        <w:t>kg·d</w:t>
      </w:r>
      <w:r>
        <w:rPr>
          <w:rFonts w:hint="eastAsia" w:ascii="Times New Roman" w:hAnsi="Times New Roman" w:cs="Times New Roman"/>
          <w:sz w:val="24"/>
          <w:lang w:val="en-US" w:eastAsia="zh-CN"/>
        </w:rPr>
        <w:t>)</w:t>
      </w:r>
    </w:p>
    <w:p w14:paraId="4C58B01A">
      <w:pPr>
        <w:rPr>
          <w:rFonts w:hint="eastAsia" w:ascii="Times New Roman" w:hAnsi="Times New Roman" w:cs="Times New Roman"/>
          <w:sz w:val="24"/>
        </w:rPr>
      </w:pPr>
      <w:r>
        <w:rPr>
          <w:rFonts w:hint="eastAsia" w:ascii="Times New Roman" w:hAnsi="Times New Roman" w:cs="Times New Roman"/>
          <w:sz w:val="24"/>
        </w:rPr>
        <w:t>D. 2.0</w:t>
      </w:r>
      <w:r>
        <w:rPr>
          <w:rFonts w:hint="eastAsia" w:ascii="Times New Roman" w:hAnsi="Times New Roman" w:cs="Times New Roman"/>
          <w:sz w:val="24"/>
          <w:lang w:val="en-US" w:eastAsia="zh-CN"/>
        </w:rPr>
        <w:t>-</w:t>
      </w:r>
      <w:r>
        <w:rPr>
          <w:rFonts w:hint="eastAsia" w:ascii="Times New Roman" w:hAnsi="Times New Roman" w:cs="Times New Roman"/>
          <w:sz w:val="24"/>
        </w:rPr>
        <w:t>2.5 g/</w:t>
      </w:r>
      <w:r>
        <w:rPr>
          <w:rFonts w:hint="eastAsia" w:ascii="Times New Roman" w:hAnsi="Times New Roman" w:cs="Times New Roman"/>
          <w:sz w:val="24"/>
          <w:lang w:val="en-US" w:eastAsia="zh-CN"/>
        </w:rPr>
        <w:t>(</w:t>
      </w:r>
      <w:r>
        <w:rPr>
          <w:rFonts w:hint="eastAsia" w:ascii="Times New Roman" w:hAnsi="Times New Roman" w:cs="Times New Roman"/>
          <w:sz w:val="24"/>
        </w:rPr>
        <w:t>kg·d</w:t>
      </w:r>
      <w:r>
        <w:rPr>
          <w:rFonts w:hint="eastAsia" w:ascii="Times New Roman" w:hAnsi="Times New Roman" w:cs="Times New Roman"/>
          <w:sz w:val="24"/>
          <w:lang w:val="en-US" w:eastAsia="zh-CN"/>
        </w:rPr>
        <w:t>)</w:t>
      </w:r>
    </w:p>
    <w:p w14:paraId="3C959F7D">
      <w:pPr>
        <w:rPr>
          <w:rFonts w:hint="eastAsia" w:ascii="Times New Roman" w:hAnsi="Times New Roman" w:cs="Times New Roman"/>
          <w:sz w:val="24"/>
          <w:lang w:val="en-US" w:eastAsia="zh-CN"/>
        </w:rPr>
      </w:pPr>
      <w:r>
        <w:rPr>
          <w:rFonts w:hint="eastAsia" w:ascii="Times New Roman" w:hAnsi="Times New Roman" w:cs="Times New Roman"/>
          <w:sz w:val="24"/>
        </w:rPr>
        <w:t>E. 0.8</w:t>
      </w:r>
      <w:r>
        <w:rPr>
          <w:rFonts w:hint="eastAsia" w:ascii="Times New Roman" w:hAnsi="Times New Roman" w:cs="Times New Roman"/>
          <w:sz w:val="24"/>
          <w:lang w:val="en-US" w:eastAsia="zh-CN"/>
        </w:rPr>
        <w:t>-</w:t>
      </w:r>
      <w:r>
        <w:rPr>
          <w:rFonts w:hint="eastAsia" w:ascii="Times New Roman" w:hAnsi="Times New Roman" w:cs="Times New Roman"/>
          <w:sz w:val="24"/>
        </w:rPr>
        <w:t>1.0 g/</w:t>
      </w:r>
      <w:r>
        <w:rPr>
          <w:rFonts w:hint="eastAsia" w:ascii="Times New Roman" w:hAnsi="Times New Roman" w:cs="Times New Roman"/>
          <w:sz w:val="24"/>
          <w:lang w:val="en-US" w:eastAsia="zh-CN"/>
        </w:rPr>
        <w:t>(</w:t>
      </w:r>
      <w:r>
        <w:rPr>
          <w:rFonts w:hint="eastAsia" w:ascii="Times New Roman" w:hAnsi="Times New Roman" w:cs="Times New Roman"/>
          <w:sz w:val="24"/>
        </w:rPr>
        <w:t>kg·d</w:t>
      </w:r>
      <w:r>
        <w:rPr>
          <w:rFonts w:hint="eastAsia" w:ascii="Times New Roman" w:hAnsi="Times New Roman" w:cs="Times New Roman"/>
          <w:sz w:val="24"/>
          <w:lang w:val="en-US" w:eastAsia="zh-CN"/>
        </w:rPr>
        <w:t>)</w:t>
      </w:r>
    </w:p>
    <w:p w14:paraId="143207A4">
      <w:pPr>
        <w:rPr>
          <w:rFonts w:hint="eastAsia" w:ascii="Times New Roman" w:hAnsi="Times New Roman" w:cs="Times New Roman"/>
          <w:sz w:val="24"/>
          <w:lang w:val="en-US" w:eastAsia="zh-CN"/>
        </w:rPr>
      </w:pPr>
    </w:p>
    <w:p w14:paraId="7F43F5A4">
      <w:pPr>
        <w:numPr>
          <w:ilvl w:val="0"/>
          <w:numId w:val="1"/>
        </w:numPr>
        <w:ind w:left="0" w:leftChars="0" w:firstLine="0" w:firstLineChars="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An older patient reports "dizziness and darkening of vision when standing up" after taking antihypertensive medication. What should the nurse suspect first? </w:t>
      </w:r>
    </w:p>
    <w:p w14:paraId="0AB3137A">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Drug allergy</w:t>
      </w:r>
    </w:p>
    <w:p w14:paraId="38C075AC">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Orthostatic hypotension</w:t>
      </w:r>
    </w:p>
    <w:p w14:paraId="692E4C8A">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Worsening cerebral hypoperfusion</w:t>
      </w:r>
    </w:p>
    <w:p w14:paraId="3B1E450A">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Hypoglycemia</w:t>
      </w:r>
    </w:p>
    <w:p w14:paraId="123ADFEC">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Anxiety attack</w:t>
      </w:r>
    </w:p>
    <w:p w14:paraId="3B39BA7F">
      <w:pPr>
        <w:rPr>
          <w:rFonts w:hint="eastAsia" w:ascii="Times New Roman" w:hAnsi="Times New Roman" w:cs="Times New Roman"/>
          <w:sz w:val="24"/>
          <w:lang w:val="en-US" w:eastAsia="zh-CN"/>
        </w:rPr>
      </w:pPr>
    </w:p>
    <w:p w14:paraId="6D0A64E7">
      <w:pPr>
        <w:numPr>
          <w:ilvl w:val="0"/>
          <w:numId w:val="1"/>
        </w:numPr>
        <w:ind w:left="0" w:leftChars="0" w:firstLine="0" w:firstLineChars="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Which hearing threshold is considered normal?</w:t>
      </w:r>
    </w:p>
    <w:p w14:paraId="6F97DD10">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&lt;20 dB</w:t>
      </w:r>
    </w:p>
    <w:p w14:paraId="1ECCF73A">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20-35 dB</w:t>
      </w:r>
    </w:p>
    <w:p w14:paraId="2B0E7851">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35-50 dB</w:t>
      </w:r>
    </w:p>
    <w:p w14:paraId="25E58C90">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50-65 dB</w:t>
      </w:r>
    </w:p>
    <w:p w14:paraId="31C3F96D">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&gt;90 dB</w:t>
      </w:r>
    </w:p>
    <w:p w14:paraId="1EC37F05">
      <w:pPr>
        <w:rPr>
          <w:rFonts w:hint="eastAsia" w:ascii="Times New Roman" w:hAnsi="Times New Roman" w:cs="Times New Roman"/>
          <w:sz w:val="24"/>
          <w:lang w:val="en-US" w:eastAsia="zh-CN"/>
        </w:rPr>
      </w:pPr>
    </w:p>
    <w:p w14:paraId="42B3E446">
      <w:pPr>
        <w:numPr>
          <w:ilvl w:val="0"/>
          <w:numId w:val="1"/>
        </w:numPr>
        <w:ind w:left="0" w:leftChars="0" w:firstLine="0" w:firstLineChars="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Difficulty hearing conversations in a noisy environment is most consistent with which level of hearing loss? </w:t>
      </w:r>
    </w:p>
    <w:p w14:paraId="421930B0">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Mild hearing loss</w:t>
      </w:r>
    </w:p>
    <w:p w14:paraId="294CEB8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Moderate hearing loss</w:t>
      </w:r>
    </w:p>
    <w:p w14:paraId="083DBD4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Severe hearing loss</w:t>
      </w:r>
    </w:p>
    <w:p w14:paraId="13472F60">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Profound hearing loss</w:t>
      </w:r>
    </w:p>
    <w:p w14:paraId="3F72C17E">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Complete deafness</w:t>
      </w:r>
    </w:p>
    <w:p w14:paraId="7ACF74A5">
      <w:pPr>
        <w:rPr>
          <w:rFonts w:hint="eastAsia" w:ascii="Times New Roman" w:hAnsi="Times New Roman" w:cs="Times New Roman"/>
          <w:sz w:val="24"/>
          <w:lang w:val="en-US" w:eastAsia="zh-CN"/>
        </w:rPr>
      </w:pPr>
    </w:p>
    <w:p w14:paraId="10376FF6">
      <w:pPr>
        <w:numPr>
          <w:ilvl w:val="0"/>
          <w:numId w:val="1"/>
        </w:numPr>
        <w:ind w:left="0" w:leftChars="0" w:firstLine="0" w:firstLineChars="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For an older patient with senile pruritus, when is the best time to apply a moisturizer after bathing? </w:t>
      </w:r>
    </w:p>
    <w:p w14:paraId="07A2BFFF">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30 minutes after bathing</w:t>
      </w:r>
    </w:p>
    <w:p w14:paraId="53BF3708">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Within 3 minutes after bathing</w:t>
      </w:r>
    </w:p>
    <w:p w14:paraId="2B668D8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One hour before bedtime</w:t>
      </w:r>
    </w:p>
    <w:p w14:paraId="7250F9E8">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When itching occurs</w:t>
      </w:r>
    </w:p>
    <w:p w14:paraId="2FC06D8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At a fixed time each day</w:t>
      </w:r>
    </w:p>
    <w:p w14:paraId="62B3D7AB">
      <w:pPr>
        <w:rPr>
          <w:rFonts w:hint="eastAsia" w:ascii="Times New Roman" w:hAnsi="Times New Roman" w:cs="Times New Roman"/>
          <w:sz w:val="24"/>
          <w:lang w:val="en-US" w:eastAsia="zh-CN"/>
        </w:rPr>
      </w:pPr>
    </w:p>
    <w:p w14:paraId="6A093A2C">
      <w:pPr>
        <w:numPr>
          <w:ilvl w:val="0"/>
          <w:numId w:val="1"/>
        </w:numPr>
        <w:ind w:left="0" w:leftChars="0" w:firstLine="0" w:firstLineChars="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When assisting an older adult with hemiplegia from a sitting to a standing position, where should the nurse stand?</w:t>
      </w:r>
    </w:p>
    <w:p w14:paraId="2FAD7829">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On the unaffected side</w:t>
      </w:r>
    </w:p>
    <w:p w14:paraId="744D9A33">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B. On the affected side </w:t>
      </w:r>
    </w:p>
    <w:p w14:paraId="11C923CE">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Directly behind the patient</w:t>
      </w:r>
    </w:p>
    <w:p w14:paraId="2FA188D6">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Directly in front of the patient</w:t>
      </w:r>
    </w:p>
    <w:p w14:paraId="79485191">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Any position is acceptable</w:t>
      </w:r>
    </w:p>
    <w:p w14:paraId="1C7623AA">
      <w:pPr>
        <w:rPr>
          <w:rFonts w:hint="eastAsia" w:ascii="Times New Roman" w:hAnsi="Times New Roman" w:cs="Times New Roman"/>
          <w:sz w:val="24"/>
          <w:lang w:val="en-US" w:eastAsia="zh-CN"/>
        </w:rPr>
      </w:pPr>
    </w:p>
    <w:p w14:paraId="46B8F957">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11. When an older patient is positioned lying on the affected side, how should the affected upper limb be positioned?</w:t>
      </w:r>
    </w:p>
    <w:p w14:paraId="3D72DE7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Retracted behind the body with the elbow flexed</w:t>
      </w:r>
    </w:p>
    <w:p w14:paraId="59FC9B0B">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Extended forward with the shoulder abducted and the elbow and wrist extended</w:t>
      </w:r>
    </w:p>
    <w:p w14:paraId="09D167A9">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Allowed to hang naturally with the palm facing downward</w:t>
      </w:r>
    </w:p>
    <w:p w14:paraId="5AC401E6">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Crossed over the chest with the hand clenched into a fist</w:t>
      </w:r>
    </w:p>
    <w:p w14:paraId="4A1869E9">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Suspended to avoid pressure</w:t>
      </w:r>
    </w:p>
    <w:p w14:paraId="6F8EBAA0">
      <w:pPr>
        <w:rPr>
          <w:rFonts w:hint="eastAsia" w:ascii="Times New Roman" w:hAnsi="Times New Roman" w:cs="Times New Roman"/>
          <w:sz w:val="24"/>
          <w:lang w:val="en-US" w:eastAsia="zh-CN"/>
        </w:rPr>
      </w:pPr>
    </w:p>
    <w:p w14:paraId="4E7EFD8C">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12. What is the optimal time to initiate early rehabilitation nursing for a patient with post-stroke hemiplegia?</w:t>
      </w:r>
    </w:p>
    <w:p w14:paraId="666A6708">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Within 24 hours after vital signs become stable</w:t>
      </w:r>
    </w:p>
    <w:p w14:paraId="39677E7F">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48-72 hours after vital signs are stable and neurological symptoms have ceased progressing</w:t>
      </w:r>
    </w:p>
    <w:p w14:paraId="7124B3EB">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One week after stroke onset</w:t>
      </w:r>
    </w:p>
    <w:p w14:paraId="1A92092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Two weeks after stroke onset</w:t>
      </w:r>
    </w:p>
    <w:p w14:paraId="5211B296">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After neurological recovery has begun</w:t>
      </w:r>
    </w:p>
    <w:p w14:paraId="0F418C9E">
      <w:pPr>
        <w:rPr>
          <w:rFonts w:hint="eastAsia" w:ascii="Times New Roman" w:hAnsi="Times New Roman" w:cs="Times New Roman"/>
          <w:sz w:val="24"/>
          <w:lang w:val="en-US" w:eastAsia="zh-CN"/>
        </w:rPr>
      </w:pPr>
    </w:p>
    <w:p w14:paraId="5F08D6D0">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13. Which of the following best describes an advance directive?</w:t>
      </w:r>
    </w:p>
    <w:p w14:paraId="01A00177">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An emergency medical consent form signed by family members when a patient becomes critically ill</w:t>
      </w:r>
    </w:p>
    <w:p w14:paraId="11626DF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A document completed while a person is healthy or mentally competent that specifies the medical care they wish to receive or refuse at the end stage of an incurable illness or injury</w:t>
      </w:r>
    </w:p>
    <w:p w14:paraId="03EC48BF">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A legally required document for all adults covering inheritance distribution and medical wishes</w:t>
      </w:r>
    </w:p>
    <w:p w14:paraId="6BA7BA3F">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A document primarily used to appoint a healthcare proxy and specify all methods of medical expense payment</w:t>
      </w:r>
    </w:p>
    <w:p w14:paraId="230A0050">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E. A </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Do Not Resuscitate</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 xml:space="preserve"> consent form completed with a physician during the terminal stage of illness</w:t>
      </w:r>
    </w:p>
    <w:p w14:paraId="0F393826">
      <w:pPr>
        <w:rPr>
          <w:rFonts w:hint="eastAsia" w:ascii="Times New Roman" w:hAnsi="Times New Roman" w:cs="Times New Roman"/>
          <w:sz w:val="24"/>
          <w:lang w:val="en-US" w:eastAsia="zh-CN"/>
        </w:rPr>
      </w:pPr>
    </w:p>
    <w:p w14:paraId="3D5D4577">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14. Which of the following statements about oral care for terminally ill patients is incorrect?</w:t>
      </w:r>
    </w:p>
    <w:p w14:paraId="327A5B7C">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Before the procedure, the nurse should assess the needs and preferences of the patient and family and explain the purpose and key points of oral care</w:t>
      </w:r>
    </w:p>
    <w:p w14:paraId="7F124E42">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A sponge swab moistened with mouth rinse should be used to clean the teeth, buccal mucosa, tongue, sublingual area, and hard palate</w:t>
      </w:r>
    </w:p>
    <w:p w14:paraId="6C75ABE6">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After cleaning, a thin layer of ointment may be applied to moisturize the lips. For patients who breathe through the mouth, moist gauze may be used to help maintain oral moisture</w:t>
      </w:r>
    </w:p>
    <w:p w14:paraId="30772173">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To stimulate saliva production, patients should be encouraged to chew regular chewing gum or suck on sugary candies and drink more fruit juice</w:t>
      </w:r>
    </w:p>
    <w:p w14:paraId="7AFBB69D">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For oral malodor, patients may be advised to drink green tea or use mouth rinses</w:t>
      </w:r>
    </w:p>
    <w:p w14:paraId="27FC7C9A">
      <w:pPr>
        <w:rPr>
          <w:rFonts w:hint="eastAsia" w:ascii="Times New Roman" w:hAnsi="Times New Roman" w:cs="Times New Roman"/>
          <w:sz w:val="24"/>
          <w:lang w:val="en-US" w:eastAsia="zh-CN"/>
        </w:rPr>
      </w:pPr>
    </w:p>
    <w:p w14:paraId="74471E77">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15. When using the Teach-Back technique to assess an older adult with diabetes for understanding of dietary management, which statement is most appropriate? </w:t>
      </w:r>
    </w:p>
    <w:p w14:paraId="726647AC">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A. </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Do you remember that people with diabetes should not eat sweets?</w:t>
      </w:r>
      <w:r>
        <w:rPr>
          <w:rFonts w:hint="default" w:ascii="Times New Roman" w:hAnsi="Times New Roman" w:cs="Times New Roman"/>
          <w:sz w:val="24"/>
          <w:lang w:val="en-US" w:eastAsia="zh-CN"/>
        </w:rPr>
        <w:t>”</w:t>
      </w:r>
    </w:p>
    <w:p w14:paraId="06C31ADF">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B. </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Can you tell me approximately how much staple food you usually eat in one meal?</w:t>
      </w:r>
      <w:r>
        <w:rPr>
          <w:rFonts w:hint="default" w:ascii="Times New Roman" w:hAnsi="Times New Roman" w:cs="Times New Roman"/>
          <w:sz w:val="24"/>
          <w:lang w:val="en-US" w:eastAsia="zh-CN"/>
        </w:rPr>
        <w:t>”</w:t>
      </w:r>
    </w:p>
    <w:p w14:paraId="18D4FD04">
      <w:pP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 xml:space="preserve">C. </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You understood all the dietary advice I just explained, didn't you?</w:t>
      </w:r>
      <w:r>
        <w:rPr>
          <w:rFonts w:hint="default" w:ascii="Times New Roman" w:hAnsi="Times New Roman" w:cs="Times New Roman"/>
          <w:sz w:val="24"/>
          <w:lang w:val="en-US" w:eastAsia="zh-CN"/>
        </w:rPr>
        <w:t>”</w:t>
      </w:r>
    </w:p>
    <w:p w14:paraId="0AA7A4A7">
      <w:pP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 xml:space="preserve">D. </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You know that a diabetic diet should control calorie intake, right?</w:t>
      </w:r>
      <w:r>
        <w:rPr>
          <w:rFonts w:hint="default" w:ascii="Times New Roman" w:hAnsi="Times New Roman" w:cs="Times New Roman"/>
          <w:sz w:val="24"/>
          <w:lang w:val="en-US" w:eastAsia="zh-CN"/>
        </w:rPr>
        <w:t>”</w:t>
      </w:r>
    </w:p>
    <w:p w14:paraId="6C5DAE1A">
      <w:pP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 xml:space="preserve">E. </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You know which foods you should avoid, don't you?</w:t>
      </w:r>
      <w:r>
        <w:rPr>
          <w:rFonts w:hint="default" w:ascii="Times New Roman" w:hAnsi="Times New Roman" w:cs="Times New Roman"/>
          <w:sz w:val="24"/>
          <w:lang w:val="en-US" w:eastAsia="zh-CN"/>
        </w:rPr>
        <w:t>”</w:t>
      </w:r>
    </w:p>
    <w:p w14:paraId="3B984E6B">
      <w:pPr>
        <w:rPr>
          <w:rFonts w:hint="eastAsia" w:ascii="Times New Roman" w:hAnsi="Times New Roman" w:cs="Times New Roman"/>
          <w:sz w:val="24"/>
          <w:lang w:val="en-US" w:eastAsia="zh-CN"/>
        </w:rPr>
      </w:pPr>
    </w:p>
    <w:p w14:paraId="2C63D1C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16. Which of the following is the simplest intervention for maintaining static balance? </w:t>
      </w:r>
    </w:p>
    <w:p w14:paraId="097C82B9">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Weight-shifting training</w:t>
      </w:r>
    </w:p>
    <w:p w14:paraId="43E3C509">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Wall-sit exercise</w:t>
      </w:r>
    </w:p>
    <w:p w14:paraId="65A3DB3F">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Single-leg standing</w:t>
      </w:r>
    </w:p>
    <w:p w14:paraId="20F73B3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Assisted balance training</w:t>
      </w:r>
    </w:p>
    <w:p w14:paraId="33AA3DCB">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Seated leg raises</w:t>
      </w:r>
    </w:p>
    <w:p w14:paraId="45AE9E98">
      <w:pPr>
        <w:rPr>
          <w:rFonts w:hint="eastAsia" w:ascii="Times New Roman" w:hAnsi="Times New Roman" w:cs="Times New Roman"/>
          <w:sz w:val="24"/>
          <w:lang w:val="en-US" w:eastAsia="zh-CN"/>
        </w:rPr>
      </w:pPr>
    </w:p>
    <w:p w14:paraId="3E3D889E">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17. For an older adult who uses a wheelchair for prolonged periods, how often should pressure relief be performed to prevent pressure injuries? </w:t>
      </w:r>
    </w:p>
    <w:p w14:paraId="13F5A838">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Every 1 hour</w:t>
      </w:r>
    </w:p>
    <w:p w14:paraId="3EBD8FBD">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Every 30 minutes</w:t>
      </w:r>
    </w:p>
    <w:p w14:paraId="679BDB3A">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Every 2 hours</w:t>
      </w:r>
    </w:p>
    <w:p w14:paraId="56E75F1D">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Every 15 minutes</w:t>
      </w:r>
    </w:p>
    <w:p w14:paraId="6DBA16B3">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Pressure relief is not necessary</w:t>
      </w:r>
    </w:p>
    <w:p w14:paraId="5D05ECDF">
      <w:pPr>
        <w:rPr>
          <w:rFonts w:hint="eastAsia" w:ascii="Times New Roman" w:hAnsi="Times New Roman" w:cs="Times New Roman"/>
          <w:sz w:val="24"/>
          <w:lang w:val="en-US" w:eastAsia="zh-CN"/>
        </w:rPr>
      </w:pPr>
    </w:p>
    <w:p w14:paraId="0EBDE2FB">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18. What is the simplest method for determining the appropriate length of an axillary crutch?</w:t>
      </w:r>
    </w:p>
    <w:p w14:paraId="6A7E2173">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Height − 31 cm</w:t>
      </w:r>
    </w:p>
    <w:p w14:paraId="53A7F958">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Height − 36 cm</w:t>
      </w:r>
    </w:p>
    <w:p w14:paraId="3E14F29D">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Height − 41 cm</w:t>
      </w:r>
    </w:p>
    <w:p w14:paraId="6A60F8A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Height − 46 cm</w:t>
      </w:r>
    </w:p>
    <w:p w14:paraId="35E2453B">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Height − 51 cm</w:t>
      </w:r>
    </w:p>
    <w:p w14:paraId="216ED2B9">
      <w:pPr>
        <w:rPr>
          <w:rFonts w:hint="eastAsia" w:ascii="Times New Roman" w:hAnsi="Times New Roman" w:cs="Times New Roman"/>
          <w:sz w:val="24"/>
          <w:lang w:val="en-US" w:eastAsia="zh-CN"/>
        </w:rPr>
      </w:pPr>
    </w:p>
    <w:p w14:paraId="148C2E12">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19. Which of the following is NOT a typical clinical manifestation of age-related cataracts? </w:t>
      </w:r>
    </w:p>
    <w:p w14:paraId="284CC96D">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Painless decline in visual acuity</w:t>
      </w:r>
    </w:p>
    <w:p w14:paraId="6FC4B7E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Visual distortion</w:t>
      </w:r>
    </w:p>
    <w:p w14:paraId="28B740EC">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Fixed black spots in the visual field</w:t>
      </w:r>
    </w:p>
    <w:p w14:paraId="0481C171">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Refractive changes</w:t>
      </w:r>
    </w:p>
    <w:p w14:paraId="577DBD5B">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Diplopia</w:t>
      </w:r>
    </w:p>
    <w:p w14:paraId="47A12B79">
      <w:pPr>
        <w:rPr>
          <w:rFonts w:hint="eastAsia" w:ascii="Times New Roman" w:hAnsi="Times New Roman" w:cs="Times New Roman"/>
          <w:sz w:val="24"/>
          <w:lang w:val="en-US" w:eastAsia="zh-CN"/>
        </w:rPr>
      </w:pPr>
    </w:p>
    <w:p w14:paraId="12A43D23">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20. What is the most effective treatment for age-related cataracts?</w:t>
      </w:r>
    </w:p>
    <w:p w14:paraId="371AF051">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Pharmacological treatment</w:t>
      </w:r>
    </w:p>
    <w:p w14:paraId="51F6988D">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Surgical treatment</w:t>
      </w:r>
    </w:p>
    <w:p w14:paraId="53727172">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Laser treatment</w:t>
      </w:r>
    </w:p>
    <w:p w14:paraId="02330F8B">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Corrective lenses</w:t>
      </w:r>
    </w:p>
    <w:p w14:paraId="09989B6E">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Radiation therapy</w:t>
      </w:r>
    </w:p>
    <w:p w14:paraId="32176B2C">
      <w:pPr>
        <w:rPr>
          <w:rFonts w:hint="eastAsia" w:ascii="Times New Roman" w:hAnsi="Times New Roman" w:cs="Times New Roman"/>
          <w:sz w:val="24"/>
          <w:lang w:val="en-US" w:eastAsia="zh-CN"/>
        </w:rPr>
      </w:pPr>
    </w:p>
    <w:p w14:paraId="57F2EF41">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21. Which of the following is the correct way to use a walker? </w:t>
      </w:r>
    </w:p>
    <w:p w14:paraId="1EA80EF7">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Adjust the walker height arbitrarily</w:t>
      </w:r>
    </w:p>
    <w:p w14:paraId="1D00E078">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Hold the walker handles firmly with both hands and move the walker forward while maintaining a slight forward lean</w:t>
      </w:r>
    </w:p>
    <w:p w14:paraId="0ED9D39C">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Look at the ground while walking</w:t>
      </w:r>
    </w:p>
    <w:p w14:paraId="72EE1E0E">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Drag the walker while walking</w:t>
      </w:r>
    </w:p>
    <w:p w14:paraId="4C68DA92">
      <w:pPr>
        <w:rPr>
          <w:rFonts w:hint="eastAsia" w:ascii="Times New Roman" w:hAnsi="Times New Roman" w:cs="Times New Roman"/>
          <w:sz w:val="24"/>
          <w:lang w:val="en-US" w:eastAsia="zh-CN"/>
        </w:rPr>
      </w:pPr>
    </w:p>
    <w:p w14:paraId="49E2041D">
      <w:pP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22. Polypharmacy is commonly defined as the concurrent use of ____ .</w:t>
      </w:r>
    </w:p>
    <w:p w14:paraId="6DB8A572">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 3 medications</w:t>
      </w:r>
    </w:p>
    <w:p w14:paraId="4DDFA656">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 4 medications</w:t>
      </w:r>
    </w:p>
    <w:p w14:paraId="743B19AA">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 5 medications</w:t>
      </w:r>
    </w:p>
    <w:p w14:paraId="426F1B7B">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 6 medications</w:t>
      </w:r>
    </w:p>
    <w:p w14:paraId="5D5D965F">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 10 medications</w:t>
      </w:r>
    </w:p>
    <w:p w14:paraId="6833EE23">
      <w:pPr>
        <w:rPr>
          <w:rFonts w:hint="eastAsia" w:ascii="Times New Roman" w:hAnsi="Times New Roman" w:cs="Times New Roman"/>
          <w:sz w:val="24"/>
          <w:lang w:val="en-US" w:eastAsia="zh-CN"/>
        </w:rPr>
      </w:pPr>
    </w:p>
    <w:p w14:paraId="5BCC6F4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23. The population aged _____ is growing most rapidly and is the major source of future long-term care needs. Population aging at this level places increasing demands on long-term care services, healthcare workforce resources, and families. </w:t>
      </w:r>
    </w:p>
    <w:p w14:paraId="2DF76481">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60 years and older</w:t>
      </w:r>
    </w:p>
    <w:p w14:paraId="180575DD">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65 years and older</w:t>
      </w:r>
    </w:p>
    <w:p w14:paraId="6101B343">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70 years and older</w:t>
      </w:r>
    </w:p>
    <w:p w14:paraId="38F11661">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75 years and older</w:t>
      </w:r>
    </w:p>
    <w:p w14:paraId="20871BE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80 years and older</w:t>
      </w:r>
    </w:p>
    <w:p w14:paraId="64C06E7A">
      <w:pPr>
        <w:rPr>
          <w:rFonts w:hint="eastAsia" w:ascii="Times New Roman" w:hAnsi="Times New Roman" w:cs="Times New Roman"/>
          <w:sz w:val="24"/>
          <w:lang w:val="en-US" w:eastAsia="zh-CN"/>
        </w:rPr>
      </w:pPr>
    </w:p>
    <w:p w14:paraId="58E322C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24. Which of the following are important care considerations for patients with cognitive impairment? </w:t>
      </w:r>
    </w:p>
    <w:p w14:paraId="7D2EA8D0">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Speak slowly and calmly, use simple language, and allow sufficient time for responses</w:t>
      </w:r>
    </w:p>
    <w:p w14:paraId="3E21B393">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Prevent missed doses, medication errors, and medication hoarding; monitor therapeutic effects and adverse reactions</w:t>
      </w:r>
    </w:p>
    <w:p w14:paraId="2353791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Ensure safety and prevent wandering, falls, burns, and other accidents</w:t>
      </w:r>
    </w:p>
    <w:p w14:paraId="2BF60A39">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Integrate activities of daily living training into home life and encourage participation in achievable tasks</w:t>
      </w:r>
    </w:p>
    <w:p w14:paraId="65DB02D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All of the above</w:t>
      </w:r>
    </w:p>
    <w:p w14:paraId="1E366461">
      <w:pPr>
        <w:rPr>
          <w:rFonts w:hint="eastAsia" w:ascii="Times New Roman" w:hAnsi="Times New Roman" w:cs="Times New Roman"/>
          <w:sz w:val="24"/>
          <w:lang w:val="en-US" w:eastAsia="zh-CN"/>
        </w:rPr>
      </w:pPr>
    </w:p>
    <w:p w14:paraId="055D431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25. Which of the following is NOT a characteristic of diseases in older adults? </w:t>
      </w:r>
    </w:p>
    <w:p w14:paraId="10A028B6">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Insidious onset and atypical clinical manifestations</w:t>
      </w:r>
    </w:p>
    <w:p w14:paraId="20DAD398">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Slow disease progression</w:t>
      </w:r>
    </w:p>
    <w:p w14:paraId="019DA43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Increased risk of complications such as falls, pressure injuries, aspiration, and venous thromboembolism</w:t>
      </w:r>
    </w:p>
    <w:p w14:paraId="24610A90">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Multiple chronic conditions and multimorbidity are common</w:t>
      </w:r>
    </w:p>
    <w:p w14:paraId="4397D463">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Depression, anxiety, and other emotional disorders occur more frequently</w:t>
      </w:r>
    </w:p>
    <w:p w14:paraId="180903A6">
      <w:pPr>
        <w:rPr>
          <w:rFonts w:hint="eastAsia" w:ascii="Times New Roman" w:hAnsi="Times New Roman" w:cs="Times New Roman"/>
          <w:sz w:val="24"/>
          <w:lang w:val="en-US" w:eastAsia="zh-CN"/>
        </w:rPr>
      </w:pPr>
    </w:p>
    <w:p w14:paraId="6C94CFA6">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26. Which of the following is NOT a typical clinical manifestation of depressive disorder in older adults?</w:t>
      </w:r>
    </w:p>
    <w:p w14:paraId="2BD9027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Depressed mood</w:t>
      </w:r>
    </w:p>
    <w:p w14:paraId="59E0FF1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Loss of interest and enjoyment</w:t>
      </w:r>
    </w:p>
    <w:p w14:paraId="31C22EC0">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Reduced energy, increased fatigue, and decreased activity</w:t>
      </w:r>
    </w:p>
    <w:p w14:paraId="737B71CE">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Increased appetite</w:t>
      </w:r>
    </w:p>
    <w:p w14:paraId="4492DEA9">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Reduced self-esteem and self-confidence</w:t>
      </w:r>
    </w:p>
    <w:p w14:paraId="75C6EC7F">
      <w:pPr>
        <w:rPr>
          <w:rFonts w:hint="eastAsia" w:ascii="Times New Roman" w:hAnsi="Times New Roman" w:cs="Times New Roman"/>
          <w:sz w:val="24"/>
          <w:lang w:val="en-US" w:eastAsia="zh-CN"/>
        </w:rPr>
      </w:pPr>
    </w:p>
    <w:p w14:paraId="5C08714C">
      <w:pP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27. When should a Comprehensive Geriatric Assessment (CGA) be performed?</w:t>
      </w:r>
    </w:p>
    <w:p w14:paraId="0DECCA1A">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When health status deteriorates rapidly</w:t>
      </w:r>
    </w:p>
    <w:p w14:paraId="2A1AFF43">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When there is a change in living environment</w:t>
      </w:r>
    </w:p>
    <w:p w14:paraId="733FDBEB">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Following an unusual stressful life event</w:t>
      </w:r>
    </w:p>
    <w:p w14:paraId="59B53BB6">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At hospital discharge</w:t>
      </w:r>
    </w:p>
    <w:p w14:paraId="6545020E">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All of the above</w:t>
      </w:r>
    </w:p>
    <w:p w14:paraId="27534DA6">
      <w:pPr>
        <w:rPr>
          <w:rFonts w:hint="eastAsia" w:ascii="Times New Roman" w:hAnsi="Times New Roman" w:cs="Times New Roman"/>
          <w:sz w:val="24"/>
          <w:lang w:val="en-US" w:eastAsia="zh-CN"/>
        </w:rPr>
      </w:pPr>
    </w:p>
    <w:p w14:paraId="7625ACA9">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28. During medication education for an older patient with hypertension, what should the nurse emphasize?</w:t>
      </w:r>
    </w:p>
    <w:p w14:paraId="6FFDFE92">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Medication may be stopped once blood pressure returns to normal</w:t>
      </w:r>
    </w:p>
    <w:p w14:paraId="6F731E21">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If a dose is missed, double the next dose</w:t>
      </w:r>
    </w:p>
    <w:p w14:paraId="1A4620BC">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Medication must be taken at exactly the same time every day</w:t>
      </w:r>
    </w:p>
    <w:p w14:paraId="66EA045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Avoid sudden position changes while taking antihypertensive medications and move slowly when changing posture</w:t>
      </w:r>
    </w:p>
    <w:p w14:paraId="379E0A49">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Medications may be taken together with tea, alcohol, or other beverages</w:t>
      </w:r>
    </w:p>
    <w:p w14:paraId="774E3D97">
      <w:pPr>
        <w:rPr>
          <w:rFonts w:hint="eastAsia" w:ascii="Times New Roman" w:hAnsi="Times New Roman" w:cs="Times New Roman"/>
          <w:sz w:val="24"/>
          <w:lang w:val="en-US" w:eastAsia="zh-CN"/>
        </w:rPr>
      </w:pPr>
    </w:p>
    <w:p w14:paraId="231B12B8">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29. A 65-year-old man is admitted to a rehabilitation unit two months after a stroke. He is conscious but speaks very little. During rehabilitation, family members are required to assist him in transferring to the treatment table. Which physical therapy intervention is most appropriate at this stage?</w:t>
      </w:r>
    </w:p>
    <w:p w14:paraId="4034FFD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Watching competitive sports events</w:t>
      </w:r>
    </w:p>
    <w:p w14:paraId="7943424D">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Bed mobility training</w:t>
      </w:r>
    </w:p>
    <w:p w14:paraId="7D2FA9A2">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Transfer training</w:t>
      </w:r>
    </w:p>
    <w:p w14:paraId="0B000E48">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Standing training</w:t>
      </w:r>
    </w:p>
    <w:p w14:paraId="1C843072">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Jigsaw puzzle training</w:t>
      </w:r>
    </w:p>
    <w:p w14:paraId="6B8CA804">
      <w:pPr>
        <w:rPr>
          <w:rFonts w:hint="eastAsia" w:ascii="Times New Roman" w:hAnsi="Times New Roman" w:cs="Times New Roman"/>
          <w:sz w:val="24"/>
          <w:lang w:val="en-US" w:eastAsia="zh-CN"/>
        </w:rPr>
      </w:pPr>
    </w:p>
    <w:p w14:paraId="04CBBF3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30. Which of the following is NOT a protective factor against depressive disorder in older adults?</w:t>
      </w:r>
    </w:p>
    <w:p w14:paraId="0AB7A5A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A positive therapeutic relationship</w:t>
      </w:r>
    </w:p>
    <w:p w14:paraId="7D80BA8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Having children in the family</w:t>
      </w:r>
    </w:p>
    <w:p w14:paraId="5B7DA139">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C. Adequate social support</w:t>
      </w:r>
    </w:p>
    <w:p w14:paraId="0CBEFB31">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D. Experiencing stressful life events such as bereavement</w:t>
      </w:r>
    </w:p>
    <w:p w14:paraId="4732F8F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E. Good financial status</w:t>
      </w:r>
    </w:p>
    <w:p w14:paraId="4AB704BA">
      <w:pPr>
        <w:rPr>
          <w:rFonts w:hint="eastAsia" w:ascii="Times New Roman" w:hAnsi="Times New Roman" w:cs="Times New Roman"/>
          <w:sz w:val="24"/>
          <w:lang w:val="en-US" w:eastAsia="zh-CN"/>
        </w:rPr>
      </w:pPr>
    </w:p>
    <w:p w14:paraId="7FB58484">
      <w:pPr>
        <w:rPr>
          <w:rFonts w:hint="eastAsia" w:ascii="Times New Roman" w:hAnsi="Times New Roman" w:cs="Times New Roman"/>
          <w:b/>
          <w:bCs/>
          <w:sz w:val="24"/>
        </w:rPr>
      </w:pPr>
      <w:r>
        <w:rPr>
          <w:rFonts w:ascii="Times New Roman" w:hAnsi="Times New Roman" w:cs="Times New Roman"/>
          <w:b/>
          <w:bCs/>
          <w:sz w:val="24"/>
        </w:rPr>
        <w:t>P</w:t>
      </w:r>
      <w:r>
        <w:rPr>
          <w:rFonts w:hint="eastAsia" w:ascii="Times New Roman" w:hAnsi="Times New Roman" w:cs="Times New Roman"/>
          <w:b/>
          <w:bCs/>
          <w:sz w:val="24"/>
        </w:rPr>
        <w:t xml:space="preserve">art </w:t>
      </w:r>
      <w:r>
        <w:rPr>
          <w:rFonts w:hint="eastAsia" w:ascii="Times New Roman" w:hAnsi="Times New Roman" w:cs="Times New Roman"/>
          <w:b/>
          <w:bCs/>
          <w:sz w:val="24"/>
          <w:lang w:val="en-US" w:eastAsia="zh-CN"/>
        </w:rPr>
        <w:t>2</w:t>
      </w:r>
      <w:r>
        <w:rPr>
          <w:rFonts w:ascii="Times New Roman" w:hAnsi="Times New Roman" w:cs="Times New Roman"/>
          <w:b/>
          <w:bCs/>
          <w:sz w:val="24"/>
        </w:rPr>
        <w:t xml:space="preserve">: </w:t>
      </w:r>
      <w:r>
        <w:rPr>
          <w:rFonts w:hint="eastAsia" w:ascii="Times New Roman" w:hAnsi="Times New Roman" w:cs="Times New Roman"/>
          <w:b/>
          <w:bCs/>
          <w:sz w:val="24"/>
          <w:lang w:val="en-US" w:eastAsia="zh-CN"/>
        </w:rPr>
        <w:t>T</w:t>
      </w:r>
      <w:r>
        <w:rPr>
          <w:rFonts w:hint="eastAsia" w:ascii="Times New Roman" w:hAnsi="Times New Roman" w:cs="Times New Roman"/>
          <w:b/>
          <w:bCs/>
          <w:sz w:val="24"/>
        </w:rPr>
        <w:t>rue-or-</w:t>
      </w:r>
      <w:r>
        <w:rPr>
          <w:rFonts w:hint="eastAsia" w:ascii="Times New Roman" w:hAnsi="Times New Roman" w:cs="Times New Roman"/>
          <w:b/>
          <w:bCs/>
          <w:sz w:val="24"/>
          <w:lang w:val="en-US" w:eastAsia="zh-CN"/>
        </w:rPr>
        <w:t>F</w:t>
      </w:r>
      <w:r>
        <w:rPr>
          <w:rFonts w:hint="eastAsia" w:ascii="Times New Roman" w:hAnsi="Times New Roman" w:cs="Times New Roman"/>
          <w:b/>
          <w:bCs/>
          <w:sz w:val="24"/>
        </w:rPr>
        <w:t>alse</w:t>
      </w:r>
      <w:r>
        <w:rPr>
          <w:rFonts w:hint="eastAsia" w:ascii="Times New Roman" w:hAnsi="Times New Roman" w:cs="Times New Roman"/>
          <w:b/>
          <w:bCs/>
          <w:sz w:val="24"/>
          <w:lang w:val="en-US" w:eastAsia="zh-CN"/>
        </w:rPr>
        <w:t xml:space="preserve"> </w:t>
      </w:r>
      <w:r>
        <w:rPr>
          <w:rFonts w:ascii="Times New Roman" w:hAnsi="Times New Roman" w:cs="Times New Roman"/>
          <w:b/>
          <w:bCs/>
          <w:sz w:val="24"/>
        </w:rPr>
        <w:t>questions</w:t>
      </w:r>
    </w:p>
    <w:p w14:paraId="4D21343E">
      <w:pPr>
        <w:numPr>
          <w:ilvl w:val="0"/>
          <w:numId w:val="2"/>
        </w:num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For patients with ineffective cough (e.g., stroke or neuromuscular disease), cough training, manually assisted coughing, or mechanical insufflation-exsufflation (MIE) are the preferred airway clearance interventions.</w:t>
      </w:r>
    </w:p>
    <w:p w14:paraId="639C7880">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True</w:t>
      </w:r>
    </w:p>
    <w:p w14:paraId="5547AF9C">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False</w:t>
      </w:r>
    </w:p>
    <w:p w14:paraId="2B65E393">
      <w:pPr>
        <w:rPr>
          <w:rFonts w:hint="eastAsia" w:ascii="Times New Roman" w:hAnsi="Times New Roman" w:cs="Times New Roman"/>
          <w:sz w:val="24"/>
          <w:lang w:val="en-US" w:eastAsia="zh-CN"/>
        </w:rPr>
      </w:pPr>
    </w:p>
    <w:p w14:paraId="704D228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32. Older adults who use hearing aids should wear their hearing aids during hearing assessment.</w:t>
      </w:r>
    </w:p>
    <w:p w14:paraId="250F050C">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True</w:t>
      </w:r>
    </w:p>
    <w:p w14:paraId="02ACE08E">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False</w:t>
      </w:r>
    </w:p>
    <w:p w14:paraId="7289EA4F">
      <w:pPr>
        <w:rPr>
          <w:rFonts w:hint="eastAsia" w:ascii="Times New Roman" w:hAnsi="Times New Roman" w:cs="Times New Roman"/>
          <w:sz w:val="24"/>
          <w:lang w:val="en-US" w:eastAsia="zh-CN"/>
        </w:rPr>
      </w:pPr>
    </w:p>
    <w:p w14:paraId="67F67446">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33. Older adults with depression rarely exhibit suicidal behavior and are therefore at low risk for suicide. </w:t>
      </w:r>
    </w:p>
    <w:p w14:paraId="5E58BED4">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True</w:t>
      </w:r>
    </w:p>
    <w:p w14:paraId="2A0CC3B5">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False</w:t>
      </w:r>
    </w:p>
    <w:p w14:paraId="64386614">
      <w:pPr>
        <w:rPr>
          <w:rFonts w:hint="eastAsia" w:ascii="Times New Roman" w:hAnsi="Times New Roman" w:cs="Times New Roman"/>
          <w:sz w:val="24"/>
          <w:lang w:val="en-US" w:eastAsia="zh-CN"/>
        </w:rPr>
      </w:pPr>
    </w:p>
    <w:p w14:paraId="16CE28AC">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34. For older adults with chronic constipation, pharmacological treatment, particularly laxatives, should be the first-line intervention because it works quickly and effectively. </w:t>
      </w:r>
    </w:p>
    <w:p w14:paraId="4DEE6BCF">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True</w:t>
      </w:r>
    </w:p>
    <w:p w14:paraId="06F738D2">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False</w:t>
      </w:r>
    </w:p>
    <w:p w14:paraId="190BDF64">
      <w:pPr>
        <w:rPr>
          <w:rFonts w:hint="eastAsia" w:ascii="Times New Roman" w:hAnsi="Times New Roman" w:cs="Times New Roman"/>
          <w:sz w:val="24"/>
          <w:lang w:val="en-US" w:eastAsia="zh-CN"/>
        </w:rPr>
      </w:pPr>
    </w:p>
    <w:p w14:paraId="798632EF">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35. Healthy older adults are defined as individuals aged 60 years and above who are fully or largely independent in activities of daily living and who maintain a relatively harmonious state of physical, psychological, and social well-being.</w:t>
      </w:r>
    </w:p>
    <w:p w14:paraId="0BCE893C">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True</w:t>
      </w:r>
    </w:p>
    <w:p w14:paraId="4F8D668D">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False</w:t>
      </w:r>
    </w:p>
    <w:p w14:paraId="44945751">
      <w:pPr>
        <w:rPr>
          <w:rFonts w:hint="eastAsia" w:ascii="Times New Roman" w:hAnsi="Times New Roman" w:cs="Times New Roman"/>
          <w:sz w:val="24"/>
          <w:lang w:val="en-US" w:eastAsia="zh-CN"/>
        </w:rPr>
      </w:pPr>
    </w:p>
    <w:p w14:paraId="2E29A181">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36. Topical corticosteroid ointments may be used long-term to relieve pruritus in older adults with senile pruritus.</w:t>
      </w:r>
    </w:p>
    <w:p w14:paraId="6FC0A9A7">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True</w:t>
      </w:r>
    </w:p>
    <w:p w14:paraId="521401B7">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False</w:t>
      </w:r>
    </w:p>
    <w:p w14:paraId="1F35E1A9">
      <w:pPr>
        <w:rPr>
          <w:rFonts w:hint="eastAsia" w:ascii="Times New Roman" w:hAnsi="Times New Roman" w:cs="Times New Roman"/>
          <w:sz w:val="24"/>
          <w:lang w:val="en-US" w:eastAsia="zh-CN"/>
        </w:rPr>
      </w:pPr>
    </w:p>
    <w:p w14:paraId="41A30EAE">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37. Nutritional risk is equivalent to malnutrition, and a positive nutritional screening result confirms a diagnosis of malnutrition.</w:t>
      </w:r>
    </w:p>
    <w:p w14:paraId="7778DBD8">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True</w:t>
      </w:r>
    </w:p>
    <w:p w14:paraId="49EDAD76">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False</w:t>
      </w:r>
    </w:p>
    <w:p w14:paraId="3DE8044F">
      <w:pPr>
        <w:rPr>
          <w:rFonts w:hint="eastAsia" w:ascii="Times New Roman" w:hAnsi="Times New Roman" w:cs="Times New Roman"/>
          <w:sz w:val="24"/>
          <w:lang w:val="en-US" w:eastAsia="zh-CN"/>
        </w:rPr>
      </w:pPr>
    </w:p>
    <w:p w14:paraId="06B76123">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38. The Montreal Cognitive Assessment (MoCA) is recommended for screening mild cognitive impairment.</w:t>
      </w:r>
    </w:p>
    <w:p w14:paraId="6D85D5FA">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True</w:t>
      </w:r>
    </w:p>
    <w:p w14:paraId="79150D00">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False</w:t>
      </w:r>
    </w:p>
    <w:p w14:paraId="4BD2C375">
      <w:pPr>
        <w:rPr>
          <w:rFonts w:hint="eastAsia" w:ascii="Times New Roman" w:hAnsi="Times New Roman" w:cs="Times New Roman"/>
          <w:sz w:val="24"/>
          <w:lang w:val="en-US" w:eastAsia="zh-CN"/>
        </w:rPr>
      </w:pPr>
    </w:p>
    <w:p w14:paraId="09EB0006">
      <w:pPr>
        <w:numPr>
          <w:ilvl w:val="0"/>
          <w:numId w:val="3"/>
        </w:num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China is currently classified as a mildly aging society. </w:t>
      </w:r>
    </w:p>
    <w:p w14:paraId="627F2640">
      <w:pPr>
        <w:numPr>
          <w:ilvl w:val="0"/>
          <w:numId w:val="0"/>
        </w:num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True</w:t>
      </w:r>
    </w:p>
    <w:p w14:paraId="47D18F93">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False</w:t>
      </w:r>
    </w:p>
    <w:p w14:paraId="0F193B04">
      <w:pPr>
        <w:rPr>
          <w:rFonts w:hint="eastAsia" w:ascii="Times New Roman" w:hAnsi="Times New Roman" w:cs="Times New Roman"/>
          <w:sz w:val="24"/>
          <w:lang w:val="en-US" w:eastAsia="zh-CN"/>
        </w:rPr>
      </w:pPr>
    </w:p>
    <w:p w14:paraId="6A43C570">
      <w:pPr>
        <w:numPr>
          <w:ilvl w:val="0"/>
          <w:numId w:val="3"/>
        </w:numPr>
        <w:ind w:left="0" w:leftChars="0" w:firstLine="0" w:firstLineChars="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Sarcopenia is not considered a geriatric syndrome. </w:t>
      </w:r>
    </w:p>
    <w:p w14:paraId="6931D4B3">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A. True</w:t>
      </w:r>
    </w:p>
    <w:p w14:paraId="73343200">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 False</w:t>
      </w:r>
    </w:p>
    <w:p w14:paraId="34D66EC9">
      <w:pPr>
        <w:rPr>
          <w:rFonts w:ascii="Times New Roman" w:hAnsi="Times New Roman" w:cs="Times New Roman"/>
          <w:sz w:val="24"/>
        </w:rPr>
      </w:pPr>
    </w:p>
    <w:p w14:paraId="627DD340">
      <w:pPr>
        <w:rPr>
          <w:rFonts w:hint="eastAsia" w:ascii="Times New Roman" w:hAnsi="Times New Roman" w:cs="Times New Roman"/>
          <w:b/>
          <w:bCs/>
          <w:sz w:val="24"/>
        </w:rPr>
      </w:pPr>
      <w:r>
        <w:rPr>
          <w:rFonts w:ascii="Times New Roman" w:hAnsi="Times New Roman" w:cs="Times New Roman"/>
          <w:b/>
          <w:bCs/>
          <w:sz w:val="24"/>
        </w:rPr>
        <w:t>P</w:t>
      </w:r>
      <w:r>
        <w:rPr>
          <w:rFonts w:hint="eastAsia" w:ascii="Times New Roman" w:hAnsi="Times New Roman" w:cs="Times New Roman"/>
          <w:b/>
          <w:bCs/>
          <w:sz w:val="24"/>
        </w:rPr>
        <w:t xml:space="preserve">art </w:t>
      </w:r>
      <w:r>
        <w:rPr>
          <w:rFonts w:hint="eastAsia" w:ascii="Times New Roman" w:hAnsi="Times New Roman" w:cs="Times New Roman"/>
          <w:b/>
          <w:bCs/>
          <w:sz w:val="24"/>
          <w:lang w:val="en-US" w:eastAsia="zh-CN"/>
        </w:rPr>
        <w:t>3</w:t>
      </w:r>
      <w:r>
        <w:rPr>
          <w:rFonts w:ascii="Times New Roman" w:hAnsi="Times New Roman" w:cs="Times New Roman"/>
          <w:b/>
          <w:bCs/>
          <w:sz w:val="24"/>
        </w:rPr>
        <w:t>: Multiple-choice questions</w:t>
      </w:r>
    </w:p>
    <w:p w14:paraId="45825DA0">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41. Which of the following should be included in the assessment and monitoring of fall risk among hospitalized patients?</w:t>
      </w:r>
    </w:p>
    <w:p w14:paraId="4CB23357">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A. Assess the patient's medical conditions, history of falls, and medication use</w:t>
      </w:r>
    </w:p>
    <w:p w14:paraId="288BA432">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B. Assess the patient's level of consciousness, vision, gait, muscle strength, balance, and mobility</w:t>
      </w:r>
    </w:p>
    <w:p w14:paraId="36BE343A">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C. Assess environmental safety and the use of assistive devices</w:t>
      </w:r>
    </w:p>
    <w:p w14:paraId="7A885D21">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D. Assess the caregiver's awareness of fall risk and fall prevention strategies</w:t>
      </w:r>
    </w:p>
    <w:p w14:paraId="1ADEDE6A">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E. Assess the caregiver's capabilities and care needs</w:t>
      </w:r>
    </w:p>
    <w:p w14:paraId="33224729">
      <w:pPr>
        <w:numPr>
          <w:ilvl w:val="0"/>
          <w:numId w:val="0"/>
        </w:numPr>
        <w:ind w:leftChars="0"/>
        <w:rPr>
          <w:rFonts w:hint="default" w:ascii="Times New Roman" w:hAnsi="Times New Roman" w:cs="Times New Roman"/>
          <w:b w:val="0"/>
          <w:bCs w:val="0"/>
          <w:sz w:val="24"/>
          <w:szCs w:val="32"/>
          <w:lang w:val="en-US" w:eastAsia="zh-CN"/>
        </w:rPr>
      </w:pPr>
    </w:p>
    <w:p w14:paraId="0134A5B8">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42. Which dietary modifications are appropriate for older adults with chewing and/or swallowing difficulties?</w:t>
      </w:r>
    </w:p>
    <w:p w14:paraId="6D433796">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A. Puree solid foods</w:t>
      </w:r>
    </w:p>
    <w:p w14:paraId="711E8DE9">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B. Add thickening agents to soups and liquids</w:t>
      </w:r>
    </w:p>
    <w:p w14:paraId="2B6568B1">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C. Modify food texture through appropriate cooking methods</w:t>
      </w:r>
    </w:p>
    <w:p w14:paraId="52A6F97C">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D. Provide texture-modified fortified foods</w:t>
      </w:r>
    </w:p>
    <w:p w14:paraId="09B88E24">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E. Offer nutritious snacks between meals</w:t>
      </w:r>
    </w:p>
    <w:p w14:paraId="6B909A5C">
      <w:pPr>
        <w:numPr>
          <w:ilvl w:val="0"/>
          <w:numId w:val="0"/>
        </w:numPr>
        <w:ind w:leftChars="0"/>
        <w:rPr>
          <w:rFonts w:hint="default" w:ascii="Times New Roman" w:hAnsi="Times New Roman" w:cs="Times New Roman"/>
          <w:b w:val="0"/>
          <w:bCs w:val="0"/>
          <w:sz w:val="24"/>
          <w:szCs w:val="32"/>
          <w:lang w:val="en-US" w:eastAsia="zh-CN"/>
        </w:rPr>
      </w:pPr>
    </w:p>
    <w:p w14:paraId="218446F1">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 xml:space="preserve">43. Which of the following are common misconceptions in self-management among older adults with hypertension? </w:t>
      </w:r>
    </w:p>
    <w:p w14:paraId="19C3FB33">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A. Taking antihypertensive medication only when symptoms such as dizziness occur</w:t>
      </w:r>
    </w:p>
    <w:p w14:paraId="171FC6DD">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B. Regularly monitoring and recording blood pressure</w:t>
      </w:r>
    </w:p>
    <w:p w14:paraId="3DBC71C3">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C. Believing that health supplements can replace antihypertensive medications</w:t>
      </w:r>
    </w:p>
    <w:p w14:paraId="03C54E5C">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D. Following excessively restrictive diets that may result in malnutrition</w:t>
      </w:r>
    </w:p>
    <w:p w14:paraId="675A864C">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E. Reducing medication doses independently because of concerns about adverse effects</w:t>
      </w:r>
    </w:p>
    <w:p w14:paraId="409A443D">
      <w:pPr>
        <w:numPr>
          <w:ilvl w:val="0"/>
          <w:numId w:val="0"/>
        </w:numPr>
        <w:ind w:leftChars="0"/>
        <w:rPr>
          <w:rFonts w:hint="default" w:ascii="Times New Roman" w:hAnsi="Times New Roman" w:cs="Times New Roman"/>
          <w:b w:val="0"/>
          <w:bCs w:val="0"/>
          <w:sz w:val="24"/>
          <w:szCs w:val="32"/>
          <w:lang w:val="en-US" w:eastAsia="zh-CN"/>
        </w:rPr>
      </w:pPr>
    </w:p>
    <w:p w14:paraId="7E68E874">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44. Which of the following are the most common chronic diseases among older adults and frequently coexist?</w:t>
      </w:r>
    </w:p>
    <w:p w14:paraId="46418D60">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A. Diabetes mellitus</w:t>
      </w:r>
    </w:p>
    <w:p w14:paraId="419952AD">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B. Nephritis</w:t>
      </w:r>
    </w:p>
    <w:p w14:paraId="259EEB07">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C. Autoimmune diseases</w:t>
      </w:r>
    </w:p>
    <w:p w14:paraId="0C3484BF">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D. Cardiovascular and cerebrovascular diseases</w:t>
      </w:r>
    </w:p>
    <w:p w14:paraId="1A5DAA04">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E. Chronic respiratory diseases</w:t>
      </w:r>
    </w:p>
    <w:p w14:paraId="2AF1E6B1">
      <w:pPr>
        <w:numPr>
          <w:ilvl w:val="0"/>
          <w:numId w:val="0"/>
        </w:numPr>
        <w:ind w:leftChars="0"/>
        <w:rPr>
          <w:rFonts w:hint="default" w:ascii="Times New Roman" w:hAnsi="Times New Roman" w:cs="Times New Roman"/>
          <w:b w:val="0"/>
          <w:bCs w:val="0"/>
          <w:sz w:val="24"/>
          <w:szCs w:val="32"/>
          <w:lang w:val="en-US" w:eastAsia="zh-CN"/>
        </w:rPr>
      </w:pPr>
    </w:p>
    <w:p w14:paraId="0A6DF4C5">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 xml:space="preserve">45. Which behavioral interventions may help prevent worsening of pruritus? </w:t>
      </w:r>
    </w:p>
    <w:p w14:paraId="614E72B6">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A. Gently pat the skin with the fingertips instead of scratching</w:t>
      </w:r>
    </w:p>
    <w:p w14:paraId="19004629">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B. Vigorously scrub the skin during bathing to remove scales</w:t>
      </w:r>
    </w:p>
    <w:p w14:paraId="4B6B311F">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C. Apply a cold compress or ice pack to the affected area</w:t>
      </w:r>
    </w:p>
    <w:p w14:paraId="7345090F">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D. Wear cotton gloves to reduce skin injury from scratching</w:t>
      </w:r>
    </w:p>
    <w:p w14:paraId="5134C43B">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E. Use hot water to relieve itching</w:t>
      </w:r>
    </w:p>
    <w:p w14:paraId="03EC9E7F">
      <w:pPr>
        <w:numPr>
          <w:ilvl w:val="0"/>
          <w:numId w:val="0"/>
        </w:numPr>
        <w:ind w:leftChars="0"/>
        <w:rPr>
          <w:rFonts w:hint="default" w:ascii="Times New Roman" w:hAnsi="Times New Roman" w:cs="Times New Roman"/>
          <w:b w:val="0"/>
          <w:bCs w:val="0"/>
          <w:sz w:val="24"/>
          <w:szCs w:val="32"/>
          <w:lang w:val="en-US" w:eastAsia="zh-CN"/>
        </w:rPr>
      </w:pPr>
    </w:p>
    <w:p w14:paraId="76F902F1">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 xml:space="preserve">46. Which of the following describe the characteristics of population aging in China? </w:t>
      </w:r>
    </w:p>
    <w:p w14:paraId="02A8588D">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A. Rapid pace of population aging</w:t>
      </w:r>
    </w:p>
    <w:p w14:paraId="64F018E4">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B. Large aging population</w:t>
      </w:r>
    </w:p>
    <w:p w14:paraId="014073C7">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C. Marked regional differences</w:t>
      </w:r>
    </w:p>
    <w:p w14:paraId="05D76AC4">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D. Mild population aging</w:t>
      </w:r>
    </w:p>
    <w:p w14:paraId="768C28E0">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E. No substantial increase in the old-age dependency ratio</w:t>
      </w:r>
    </w:p>
    <w:p w14:paraId="15E11E0F">
      <w:pPr>
        <w:numPr>
          <w:ilvl w:val="0"/>
          <w:numId w:val="0"/>
        </w:numPr>
        <w:ind w:leftChars="0"/>
        <w:rPr>
          <w:rFonts w:hint="default" w:ascii="Times New Roman" w:hAnsi="Times New Roman" w:cs="Times New Roman"/>
          <w:b w:val="0"/>
          <w:bCs w:val="0"/>
          <w:sz w:val="24"/>
          <w:szCs w:val="32"/>
          <w:lang w:val="en-US" w:eastAsia="zh-CN"/>
        </w:rPr>
      </w:pPr>
    </w:p>
    <w:p w14:paraId="3753DD8B">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47. Which of the following are characteristics of depression in older adults?</w:t>
      </w:r>
    </w:p>
    <w:p w14:paraId="60D27898">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A. High prevalence</w:t>
      </w:r>
    </w:p>
    <w:p w14:paraId="1CA658AC">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B. High suicide risk</w:t>
      </w:r>
    </w:p>
    <w:p w14:paraId="75080942">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C. Low recognition rate</w:t>
      </w:r>
    </w:p>
    <w:p w14:paraId="2FFD7C26">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D. Low treatment-seeking rate</w:t>
      </w:r>
    </w:p>
    <w:p w14:paraId="3E97850C">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E. Low risk of recurrence</w:t>
      </w:r>
    </w:p>
    <w:p w14:paraId="71E50D7E">
      <w:pPr>
        <w:numPr>
          <w:ilvl w:val="0"/>
          <w:numId w:val="0"/>
        </w:numPr>
        <w:ind w:leftChars="0"/>
        <w:rPr>
          <w:rFonts w:hint="default" w:ascii="Times New Roman" w:hAnsi="Times New Roman" w:cs="Times New Roman"/>
          <w:b w:val="0"/>
          <w:bCs w:val="0"/>
          <w:sz w:val="24"/>
          <w:szCs w:val="32"/>
          <w:lang w:val="en-US" w:eastAsia="zh-CN"/>
        </w:rPr>
      </w:pPr>
    </w:p>
    <w:p w14:paraId="2DCF8A77">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 xml:space="preserve">48. Which of the following are core elements of the Teach-Back technique? </w:t>
      </w:r>
    </w:p>
    <w:p w14:paraId="26C78ECD">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A. Use plain and easy-to-understand language during health education</w:t>
      </w:r>
    </w:p>
    <w:p w14:paraId="361E76A7">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B. Ask patients to explain the information back in their own words</w:t>
      </w:r>
    </w:p>
    <w:p w14:paraId="395D978F">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C. Assess understanding only by asking questions such as “Do you understand?” or “Do you remember?”</w:t>
      </w:r>
    </w:p>
    <w:p w14:paraId="046ECB6E">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D. Re-explain information that the patient cannot accurately recall and reassess understanding</w:t>
      </w:r>
    </w:p>
    <w:p w14:paraId="07C5F3CB">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E. Ignore inaccuracies in the patient's explanation and continue with other information</w:t>
      </w:r>
    </w:p>
    <w:p w14:paraId="3F981438">
      <w:pPr>
        <w:numPr>
          <w:ilvl w:val="0"/>
          <w:numId w:val="0"/>
        </w:numPr>
        <w:ind w:leftChars="0"/>
        <w:rPr>
          <w:rFonts w:hint="default" w:ascii="Times New Roman" w:hAnsi="Times New Roman" w:cs="Times New Roman"/>
          <w:b w:val="0"/>
          <w:bCs w:val="0"/>
          <w:sz w:val="24"/>
          <w:szCs w:val="32"/>
          <w:lang w:val="en-US" w:eastAsia="zh-CN"/>
        </w:rPr>
      </w:pPr>
    </w:p>
    <w:p w14:paraId="2F6173EA">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49. Which of the following are common psychological characteristics of older adults?</w:t>
      </w:r>
    </w:p>
    <w:p w14:paraId="7BB24C15">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A. Feelings of aging, uselessness, or reduced self-worth</w:t>
      </w:r>
    </w:p>
    <w:p w14:paraId="6812CB66">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B. Decline in cognitive function and memory</w:t>
      </w:r>
    </w:p>
    <w:p w14:paraId="0DDE6118">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C. Increased conservatism and stubbornness</w:t>
      </w:r>
    </w:p>
    <w:p w14:paraId="29971FEF">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D. Preference for quiet environments, accompanied by fear of loneliness and social isolation</w:t>
      </w:r>
    </w:p>
    <w:p w14:paraId="52E96BFD">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E. A desire to maintain health and longevity</w:t>
      </w:r>
    </w:p>
    <w:p w14:paraId="605B9100">
      <w:pPr>
        <w:numPr>
          <w:ilvl w:val="0"/>
          <w:numId w:val="0"/>
        </w:numPr>
        <w:ind w:leftChars="0"/>
        <w:rPr>
          <w:rFonts w:hint="default" w:ascii="Times New Roman" w:hAnsi="Times New Roman" w:cs="Times New Roman"/>
          <w:b w:val="0"/>
          <w:bCs w:val="0"/>
          <w:sz w:val="24"/>
          <w:szCs w:val="32"/>
          <w:lang w:val="en-US" w:eastAsia="zh-CN"/>
        </w:rPr>
      </w:pPr>
    </w:p>
    <w:p w14:paraId="4317A825">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50. Which of the following statements regarding non-pharmacological pain management for terminally ill patients are correct?</w:t>
      </w:r>
    </w:p>
    <w:p w14:paraId="4B5A73CD">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A. For acute pain, heat therapy should be applied within 24 hours for 15 minutes each time to improve circulation and relieve pain</w:t>
      </w:r>
    </w:p>
    <w:p w14:paraId="3BFC568E">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B. Progressive muscle relaxation training may be performed twice daily for 10 minutes per session and can reduce pain scores by approximately 1</w:t>
      </w:r>
      <w:r>
        <w:rPr>
          <w:rFonts w:hint="eastAsia" w:ascii="Times New Roman" w:hAnsi="Times New Roman" w:cs="Times New Roman"/>
          <w:b w:val="0"/>
          <w:bCs w:val="0"/>
          <w:sz w:val="24"/>
          <w:szCs w:val="32"/>
          <w:lang w:val="en-US" w:eastAsia="zh-CN"/>
        </w:rPr>
        <w:t>-</w:t>
      </w:r>
      <w:r>
        <w:rPr>
          <w:rFonts w:hint="default" w:ascii="Times New Roman" w:hAnsi="Times New Roman" w:cs="Times New Roman"/>
          <w:b w:val="0"/>
          <w:bCs w:val="0"/>
          <w:sz w:val="24"/>
          <w:szCs w:val="32"/>
          <w:lang w:val="en-US" w:eastAsia="zh-CN"/>
        </w:rPr>
        <w:t>2 points</w:t>
      </w:r>
    </w:p>
    <w:p w14:paraId="487B3A93">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C. Auricular acupressure at points such as Shenmen and Subcortex may be used for cancer pain and can enhance analgesic effects when combined with medications</w:t>
      </w:r>
    </w:p>
    <w:p w14:paraId="64926795">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D. Maintaining ward noise levels below 40 dB and room temperature between 22–24℃ may help reduce pain sensitivity in terminally ill patients</w:t>
      </w:r>
    </w:p>
    <w:p w14:paraId="3F6A4DF9">
      <w:pPr>
        <w:numPr>
          <w:ilvl w:val="0"/>
          <w:numId w:val="0"/>
        </w:numPr>
        <w:ind w:leftChars="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E. Classical music with a tempo of 60</w:t>
      </w:r>
      <w:r>
        <w:rPr>
          <w:rFonts w:hint="eastAsia" w:ascii="Times New Roman" w:hAnsi="Times New Roman" w:cs="Times New Roman"/>
          <w:b w:val="0"/>
          <w:bCs w:val="0"/>
          <w:sz w:val="24"/>
          <w:szCs w:val="32"/>
          <w:lang w:val="en-US" w:eastAsia="zh-CN"/>
        </w:rPr>
        <w:t>-</w:t>
      </w:r>
      <w:r>
        <w:rPr>
          <w:rFonts w:hint="default" w:ascii="Times New Roman" w:hAnsi="Times New Roman" w:cs="Times New Roman"/>
          <w:b w:val="0"/>
          <w:bCs w:val="0"/>
          <w:sz w:val="24"/>
          <w:szCs w:val="32"/>
          <w:lang w:val="en-US" w:eastAsia="zh-CN"/>
        </w:rPr>
        <w:t>80 beats per minute may provide adjunctive pain relief, with effects reported to be comparable to approximately 10 mg of morphine</w:t>
      </w:r>
      <w:r>
        <w:rPr>
          <w:rFonts w:hint="default" w:ascii="Times New Roman" w:hAnsi="Times New Roman" w:cs="Times New Roman"/>
          <w:b w:val="0"/>
          <w:bCs w:val="0"/>
          <w:sz w:val="24"/>
          <w:szCs w:val="32"/>
          <w:lang w:val="en-US" w:eastAsia="zh-CN"/>
        </w:rPr>
        <w:br w:type="textWrapping"/>
      </w:r>
    </w:p>
    <w:p w14:paraId="68F546EA">
      <w:pPr>
        <w:numPr>
          <w:ilvl w:val="0"/>
          <w:numId w:val="0"/>
        </w:numPr>
        <w:ind w:leftChars="0"/>
        <w:rPr>
          <w:rFonts w:hint="default" w:ascii="Times New Roman" w:hAnsi="Times New Roman" w:cs="Times New Roman"/>
          <w:b w:val="0"/>
          <w:bCs w:val="0"/>
          <w:sz w:val="24"/>
          <w:szCs w:val="32"/>
          <w:lang w:val="en-US" w:eastAsia="zh-CN"/>
        </w:rPr>
      </w:pPr>
    </w:p>
    <w:p w14:paraId="5D993F04">
      <w:pPr>
        <w:numPr>
          <w:ilvl w:val="0"/>
          <w:numId w:val="0"/>
        </w:numPr>
        <w:ind w:leftChars="0"/>
        <w:rPr>
          <w:rFonts w:hint="default" w:ascii="Times New Roman" w:hAnsi="Times New Roman" w:cs="Times New Roman"/>
          <w:b w:val="0"/>
          <w:bCs w:val="0"/>
          <w:sz w:val="24"/>
          <w:szCs w:val="32"/>
          <w:lang w:val="en-US" w:eastAsia="zh-CN"/>
        </w:rPr>
      </w:pPr>
    </w:p>
    <w:p w14:paraId="3DA4AA1C">
      <w:pPr>
        <w:numPr>
          <w:ilvl w:val="0"/>
          <w:numId w:val="0"/>
        </w:numPr>
        <w:ind w:leftChars="0"/>
        <w:rPr>
          <w:rFonts w:hint="default" w:ascii="Times New Roman" w:hAnsi="Times New Roman" w:cs="Times New Roman"/>
          <w:b/>
          <w:bCs/>
          <w:sz w:val="24"/>
          <w:szCs w:val="32"/>
          <w:lang w:val="en-US" w:eastAsia="zh-CN"/>
        </w:rPr>
      </w:pPr>
    </w:p>
    <w:p w14:paraId="338FD219">
      <w:pPr>
        <w:numPr>
          <w:ilvl w:val="0"/>
          <w:numId w:val="0"/>
        </w:numPr>
        <w:ind w:leftChars="0"/>
        <w:rPr>
          <w:rFonts w:hint="default" w:ascii="Times New Roman" w:hAnsi="Times New Roman" w:cs="Times New Roman"/>
          <w:b/>
          <w:bCs/>
          <w:sz w:val="24"/>
          <w:szCs w:val="32"/>
          <w:lang w:val="en-US" w:eastAsia="zh-CN"/>
        </w:rPr>
      </w:pPr>
      <w:r>
        <w:rPr>
          <w:rFonts w:hint="default" w:ascii="Times New Roman" w:hAnsi="Times New Roman" w:cs="Times New Roman"/>
          <w:b/>
          <w:bCs/>
          <w:sz w:val="24"/>
          <w:szCs w:val="32"/>
          <w:lang w:val="en-US" w:eastAsia="zh-CN"/>
        </w:rPr>
        <w:t>Appendix: Answers to the Test Questionnaire</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1704"/>
        <w:gridCol w:w="1704"/>
        <w:gridCol w:w="1704"/>
        <w:gridCol w:w="1704"/>
      </w:tblGrid>
      <w:tr w14:paraId="6C57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474CE011">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1</w:t>
            </w:r>
          </w:p>
        </w:tc>
        <w:tc>
          <w:tcPr>
            <w:tcW w:w="1000" w:type="pct"/>
            <w:vAlign w:val="center"/>
          </w:tcPr>
          <w:p w14:paraId="078848B6">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2</w:t>
            </w:r>
          </w:p>
        </w:tc>
        <w:tc>
          <w:tcPr>
            <w:tcW w:w="1000" w:type="pct"/>
            <w:vAlign w:val="center"/>
          </w:tcPr>
          <w:p w14:paraId="6CBFD032">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3</w:t>
            </w:r>
          </w:p>
        </w:tc>
        <w:tc>
          <w:tcPr>
            <w:tcW w:w="1000" w:type="pct"/>
            <w:vAlign w:val="center"/>
          </w:tcPr>
          <w:p w14:paraId="79ADC49B">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4</w:t>
            </w:r>
          </w:p>
        </w:tc>
        <w:tc>
          <w:tcPr>
            <w:tcW w:w="1000" w:type="pct"/>
            <w:vAlign w:val="center"/>
          </w:tcPr>
          <w:p w14:paraId="2F35D683">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5</w:t>
            </w:r>
          </w:p>
        </w:tc>
      </w:tr>
      <w:tr w14:paraId="6F98E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640D9FA9">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C</w:t>
            </w:r>
          </w:p>
        </w:tc>
        <w:tc>
          <w:tcPr>
            <w:tcW w:w="1000" w:type="pct"/>
            <w:vAlign w:val="center"/>
          </w:tcPr>
          <w:p w14:paraId="6FF3AC63">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C</w:t>
            </w:r>
          </w:p>
        </w:tc>
        <w:tc>
          <w:tcPr>
            <w:tcW w:w="1000" w:type="pct"/>
            <w:vAlign w:val="center"/>
          </w:tcPr>
          <w:p w14:paraId="05892622">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241CD697">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D</w:t>
            </w:r>
          </w:p>
        </w:tc>
        <w:tc>
          <w:tcPr>
            <w:tcW w:w="1000" w:type="pct"/>
            <w:vAlign w:val="center"/>
          </w:tcPr>
          <w:p w14:paraId="6EBDBFB7">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r>
      <w:tr w14:paraId="765F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05BA1F37">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6</w:t>
            </w:r>
          </w:p>
        </w:tc>
        <w:tc>
          <w:tcPr>
            <w:tcW w:w="1000" w:type="pct"/>
            <w:vAlign w:val="center"/>
          </w:tcPr>
          <w:p w14:paraId="3D9429F9">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7</w:t>
            </w:r>
          </w:p>
        </w:tc>
        <w:tc>
          <w:tcPr>
            <w:tcW w:w="1000" w:type="pct"/>
            <w:vAlign w:val="center"/>
          </w:tcPr>
          <w:p w14:paraId="28525C31">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8</w:t>
            </w:r>
          </w:p>
        </w:tc>
        <w:tc>
          <w:tcPr>
            <w:tcW w:w="1000" w:type="pct"/>
            <w:vAlign w:val="center"/>
          </w:tcPr>
          <w:p w14:paraId="21ADCF43">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9</w:t>
            </w:r>
          </w:p>
        </w:tc>
        <w:tc>
          <w:tcPr>
            <w:tcW w:w="1000" w:type="pct"/>
            <w:vAlign w:val="center"/>
          </w:tcPr>
          <w:p w14:paraId="1ADF695C">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10</w:t>
            </w:r>
          </w:p>
        </w:tc>
      </w:tr>
      <w:tr w14:paraId="77BB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6E51B462">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47431CFF">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w:t>
            </w:r>
          </w:p>
        </w:tc>
        <w:tc>
          <w:tcPr>
            <w:tcW w:w="1000" w:type="pct"/>
            <w:vAlign w:val="center"/>
          </w:tcPr>
          <w:p w14:paraId="11361E5B">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w:t>
            </w:r>
          </w:p>
        </w:tc>
        <w:tc>
          <w:tcPr>
            <w:tcW w:w="1000" w:type="pct"/>
            <w:vAlign w:val="center"/>
          </w:tcPr>
          <w:p w14:paraId="559565E4">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634A2D94">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r>
      <w:tr w14:paraId="796BA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66F35613">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11</w:t>
            </w:r>
          </w:p>
        </w:tc>
        <w:tc>
          <w:tcPr>
            <w:tcW w:w="1000" w:type="pct"/>
            <w:vAlign w:val="center"/>
          </w:tcPr>
          <w:p w14:paraId="73826177">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12</w:t>
            </w:r>
          </w:p>
        </w:tc>
        <w:tc>
          <w:tcPr>
            <w:tcW w:w="1000" w:type="pct"/>
            <w:vAlign w:val="center"/>
          </w:tcPr>
          <w:p w14:paraId="4581B7FE">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13</w:t>
            </w:r>
          </w:p>
        </w:tc>
        <w:tc>
          <w:tcPr>
            <w:tcW w:w="1000" w:type="pct"/>
            <w:vAlign w:val="center"/>
          </w:tcPr>
          <w:p w14:paraId="778C33B2">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14</w:t>
            </w:r>
          </w:p>
        </w:tc>
        <w:tc>
          <w:tcPr>
            <w:tcW w:w="1000" w:type="pct"/>
            <w:vAlign w:val="center"/>
          </w:tcPr>
          <w:p w14:paraId="51F0AB01">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15</w:t>
            </w:r>
          </w:p>
        </w:tc>
      </w:tr>
      <w:tr w14:paraId="0743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1DC3ED3B">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4EA48406">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7877A0EC">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09987469">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D</w:t>
            </w:r>
          </w:p>
        </w:tc>
        <w:tc>
          <w:tcPr>
            <w:tcW w:w="1000" w:type="pct"/>
            <w:vAlign w:val="center"/>
          </w:tcPr>
          <w:p w14:paraId="2CDBA8B0">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r>
      <w:tr w14:paraId="07C6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Align w:val="center"/>
          </w:tcPr>
          <w:p w14:paraId="1331FA06">
            <w:pPr>
              <w:numPr>
                <w:ilvl w:val="0"/>
                <w:numId w:val="0"/>
              </w:numPr>
              <w:ind w:left="0" w:leftChars="0" w:firstLine="0" w:firstLineChars="0"/>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16</w:t>
            </w:r>
          </w:p>
        </w:tc>
        <w:tc>
          <w:tcPr>
            <w:tcW w:w="1704" w:type="dxa"/>
            <w:vAlign w:val="center"/>
          </w:tcPr>
          <w:p w14:paraId="605A1540">
            <w:pPr>
              <w:numPr>
                <w:ilvl w:val="0"/>
                <w:numId w:val="0"/>
              </w:numPr>
              <w:ind w:left="0" w:leftChars="0" w:firstLine="0" w:firstLineChars="0"/>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17</w:t>
            </w:r>
          </w:p>
        </w:tc>
        <w:tc>
          <w:tcPr>
            <w:tcW w:w="1704" w:type="dxa"/>
            <w:vAlign w:val="center"/>
          </w:tcPr>
          <w:p w14:paraId="1F0EB8CF">
            <w:pPr>
              <w:numPr>
                <w:ilvl w:val="0"/>
                <w:numId w:val="0"/>
              </w:numPr>
              <w:ind w:left="0" w:leftChars="0" w:firstLine="0" w:firstLineChars="0"/>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18</w:t>
            </w:r>
          </w:p>
        </w:tc>
        <w:tc>
          <w:tcPr>
            <w:tcW w:w="1704" w:type="dxa"/>
            <w:vAlign w:val="center"/>
          </w:tcPr>
          <w:p w14:paraId="363AB020">
            <w:pPr>
              <w:numPr>
                <w:ilvl w:val="0"/>
                <w:numId w:val="0"/>
              </w:numPr>
              <w:ind w:left="0" w:leftChars="0" w:firstLine="0" w:firstLineChars="0"/>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19</w:t>
            </w:r>
          </w:p>
        </w:tc>
        <w:tc>
          <w:tcPr>
            <w:tcW w:w="1704" w:type="dxa"/>
            <w:vAlign w:val="center"/>
          </w:tcPr>
          <w:p w14:paraId="0D16A8E4">
            <w:pPr>
              <w:numPr>
                <w:ilvl w:val="0"/>
                <w:numId w:val="0"/>
              </w:numPr>
              <w:ind w:left="0" w:leftChars="0" w:firstLine="0" w:firstLineChars="0"/>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20</w:t>
            </w:r>
          </w:p>
        </w:tc>
      </w:tr>
      <w:tr w14:paraId="661D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5C06C000">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C</w:t>
            </w:r>
          </w:p>
        </w:tc>
        <w:tc>
          <w:tcPr>
            <w:tcW w:w="1000" w:type="pct"/>
            <w:vAlign w:val="center"/>
          </w:tcPr>
          <w:p w14:paraId="47AFC417">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036BA8DF">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C</w:t>
            </w:r>
          </w:p>
        </w:tc>
        <w:tc>
          <w:tcPr>
            <w:tcW w:w="1000" w:type="pct"/>
            <w:vAlign w:val="center"/>
          </w:tcPr>
          <w:p w14:paraId="4870ABCA">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2E3B5996">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r>
      <w:tr w14:paraId="1358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233AF7B9">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21</w:t>
            </w:r>
          </w:p>
        </w:tc>
        <w:tc>
          <w:tcPr>
            <w:tcW w:w="1000" w:type="pct"/>
            <w:vAlign w:val="center"/>
          </w:tcPr>
          <w:p w14:paraId="28FC958F">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22</w:t>
            </w:r>
          </w:p>
        </w:tc>
        <w:tc>
          <w:tcPr>
            <w:tcW w:w="1000" w:type="pct"/>
            <w:vAlign w:val="center"/>
          </w:tcPr>
          <w:p w14:paraId="79B9C5E5">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23</w:t>
            </w:r>
          </w:p>
        </w:tc>
        <w:tc>
          <w:tcPr>
            <w:tcW w:w="1000" w:type="pct"/>
            <w:vAlign w:val="center"/>
          </w:tcPr>
          <w:p w14:paraId="2604C681">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24</w:t>
            </w:r>
          </w:p>
        </w:tc>
        <w:tc>
          <w:tcPr>
            <w:tcW w:w="1000" w:type="pct"/>
            <w:vAlign w:val="center"/>
          </w:tcPr>
          <w:p w14:paraId="697F5490">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25</w:t>
            </w:r>
          </w:p>
        </w:tc>
      </w:tr>
      <w:tr w14:paraId="50C0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3F4C34AD">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3F8AA70C">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C</w:t>
            </w:r>
          </w:p>
        </w:tc>
        <w:tc>
          <w:tcPr>
            <w:tcW w:w="1000" w:type="pct"/>
            <w:vAlign w:val="center"/>
          </w:tcPr>
          <w:p w14:paraId="1FFEBF9D">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E</w:t>
            </w:r>
          </w:p>
        </w:tc>
        <w:tc>
          <w:tcPr>
            <w:tcW w:w="1000" w:type="pct"/>
            <w:vAlign w:val="center"/>
          </w:tcPr>
          <w:p w14:paraId="6042B9C9">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E</w:t>
            </w:r>
          </w:p>
        </w:tc>
        <w:tc>
          <w:tcPr>
            <w:tcW w:w="1000" w:type="pct"/>
            <w:vAlign w:val="center"/>
          </w:tcPr>
          <w:p w14:paraId="5C0D8802">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r>
      <w:tr w14:paraId="134E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32609BE5">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26</w:t>
            </w:r>
          </w:p>
        </w:tc>
        <w:tc>
          <w:tcPr>
            <w:tcW w:w="1000" w:type="pct"/>
            <w:vAlign w:val="center"/>
          </w:tcPr>
          <w:p w14:paraId="665ED801">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27</w:t>
            </w:r>
          </w:p>
        </w:tc>
        <w:tc>
          <w:tcPr>
            <w:tcW w:w="1000" w:type="pct"/>
            <w:vAlign w:val="center"/>
          </w:tcPr>
          <w:p w14:paraId="10B4DEED">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28</w:t>
            </w:r>
          </w:p>
        </w:tc>
        <w:tc>
          <w:tcPr>
            <w:tcW w:w="1000" w:type="pct"/>
            <w:vAlign w:val="center"/>
          </w:tcPr>
          <w:p w14:paraId="6D6F372B">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29</w:t>
            </w:r>
          </w:p>
        </w:tc>
        <w:tc>
          <w:tcPr>
            <w:tcW w:w="1000" w:type="pct"/>
            <w:vAlign w:val="center"/>
          </w:tcPr>
          <w:p w14:paraId="75B01EE2">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30</w:t>
            </w:r>
          </w:p>
        </w:tc>
      </w:tr>
      <w:tr w14:paraId="067B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38F2B41A">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D</w:t>
            </w:r>
          </w:p>
        </w:tc>
        <w:tc>
          <w:tcPr>
            <w:tcW w:w="1000" w:type="pct"/>
            <w:vAlign w:val="center"/>
          </w:tcPr>
          <w:p w14:paraId="72BD8E46">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E</w:t>
            </w:r>
          </w:p>
        </w:tc>
        <w:tc>
          <w:tcPr>
            <w:tcW w:w="1000" w:type="pct"/>
            <w:vAlign w:val="center"/>
          </w:tcPr>
          <w:p w14:paraId="2266EF57">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D</w:t>
            </w:r>
          </w:p>
        </w:tc>
        <w:tc>
          <w:tcPr>
            <w:tcW w:w="1000" w:type="pct"/>
            <w:vAlign w:val="center"/>
          </w:tcPr>
          <w:p w14:paraId="1FD110CC">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C</w:t>
            </w:r>
          </w:p>
        </w:tc>
        <w:tc>
          <w:tcPr>
            <w:tcW w:w="1000" w:type="pct"/>
            <w:vAlign w:val="center"/>
          </w:tcPr>
          <w:p w14:paraId="5131F483">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D</w:t>
            </w:r>
          </w:p>
        </w:tc>
      </w:tr>
      <w:tr w14:paraId="0898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10AE45C7">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31</w:t>
            </w:r>
          </w:p>
        </w:tc>
        <w:tc>
          <w:tcPr>
            <w:tcW w:w="1704" w:type="dxa"/>
            <w:vAlign w:val="center"/>
          </w:tcPr>
          <w:p w14:paraId="10097C89">
            <w:pPr>
              <w:numPr>
                <w:ilvl w:val="0"/>
                <w:numId w:val="0"/>
              </w:numPr>
              <w:ind w:left="0" w:leftChars="0" w:firstLine="0" w:firstLineChars="0"/>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32</w:t>
            </w:r>
          </w:p>
        </w:tc>
        <w:tc>
          <w:tcPr>
            <w:tcW w:w="1704" w:type="dxa"/>
            <w:vAlign w:val="center"/>
          </w:tcPr>
          <w:p w14:paraId="5DF82B46">
            <w:pPr>
              <w:numPr>
                <w:ilvl w:val="0"/>
                <w:numId w:val="0"/>
              </w:numPr>
              <w:ind w:left="0" w:leftChars="0" w:firstLine="0" w:firstLineChars="0"/>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33</w:t>
            </w:r>
          </w:p>
        </w:tc>
        <w:tc>
          <w:tcPr>
            <w:tcW w:w="1704" w:type="dxa"/>
            <w:vAlign w:val="center"/>
          </w:tcPr>
          <w:p w14:paraId="6E61886E">
            <w:pPr>
              <w:numPr>
                <w:ilvl w:val="0"/>
                <w:numId w:val="0"/>
              </w:numPr>
              <w:ind w:left="0" w:leftChars="0" w:firstLine="0" w:firstLineChars="0"/>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34</w:t>
            </w:r>
          </w:p>
        </w:tc>
        <w:tc>
          <w:tcPr>
            <w:tcW w:w="1704" w:type="dxa"/>
            <w:vAlign w:val="center"/>
          </w:tcPr>
          <w:p w14:paraId="4E7EDEB4">
            <w:pPr>
              <w:numPr>
                <w:ilvl w:val="0"/>
                <w:numId w:val="0"/>
              </w:numPr>
              <w:ind w:left="0" w:leftChars="0" w:firstLine="0" w:firstLineChars="0"/>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35</w:t>
            </w:r>
          </w:p>
        </w:tc>
      </w:tr>
      <w:tr w14:paraId="26BC2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052DFB23">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w:t>
            </w:r>
          </w:p>
        </w:tc>
        <w:tc>
          <w:tcPr>
            <w:tcW w:w="1000" w:type="pct"/>
            <w:vAlign w:val="center"/>
          </w:tcPr>
          <w:p w14:paraId="37077E0F">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w:t>
            </w:r>
          </w:p>
        </w:tc>
        <w:tc>
          <w:tcPr>
            <w:tcW w:w="1000" w:type="pct"/>
            <w:vAlign w:val="center"/>
          </w:tcPr>
          <w:p w14:paraId="0051F2D2">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688DE1B7">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4621119E">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w:t>
            </w:r>
          </w:p>
        </w:tc>
      </w:tr>
      <w:tr w14:paraId="715C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2BC30D29">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36</w:t>
            </w:r>
          </w:p>
        </w:tc>
        <w:tc>
          <w:tcPr>
            <w:tcW w:w="1000" w:type="pct"/>
            <w:vAlign w:val="center"/>
          </w:tcPr>
          <w:p w14:paraId="2777B28C">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37</w:t>
            </w:r>
          </w:p>
        </w:tc>
        <w:tc>
          <w:tcPr>
            <w:tcW w:w="1000" w:type="pct"/>
            <w:vAlign w:val="center"/>
          </w:tcPr>
          <w:p w14:paraId="3A8FBD8C">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38</w:t>
            </w:r>
          </w:p>
        </w:tc>
        <w:tc>
          <w:tcPr>
            <w:tcW w:w="1000" w:type="pct"/>
            <w:vAlign w:val="center"/>
          </w:tcPr>
          <w:p w14:paraId="68AE21A6">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39</w:t>
            </w:r>
          </w:p>
        </w:tc>
        <w:tc>
          <w:tcPr>
            <w:tcW w:w="1000" w:type="pct"/>
            <w:vAlign w:val="center"/>
          </w:tcPr>
          <w:p w14:paraId="6BA672D7">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40</w:t>
            </w:r>
          </w:p>
        </w:tc>
      </w:tr>
      <w:tr w14:paraId="02E9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7BAA80FB">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7FE67327">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2F467512">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w:t>
            </w:r>
          </w:p>
        </w:tc>
        <w:tc>
          <w:tcPr>
            <w:tcW w:w="1000" w:type="pct"/>
            <w:vAlign w:val="center"/>
          </w:tcPr>
          <w:p w14:paraId="64DD4C3D">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c>
          <w:tcPr>
            <w:tcW w:w="1000" w:type="pct"/>
            <w:vAlign w:val="center"/>
          </w:tcPr>
          <w:p w14:paraId="18D6695D">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w:t>
            </w:r>
          </w:p>
        </w:tc>
      </w:tr>
      <w:tr w14:paraId="2201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2AC5E73D">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41</w:t>
            </w:r>
          </w:p>
        </w:tc>
        <w:tc>
          <w:tcPr>
            <w:tcW w:w="1000" w:type="pct"/>
            <w:vAlign w:val="center"/>
          </w:tcPr>
          <w:p w14:paraId="66744EC1">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42</w:t>
            </w:r>
          </w:p>
        </w:tc>
        <w:tc>
          <w:tcPr>
            <w:tcW w:w="1000" w:type="pct"/>
            <w:vAlign w:val="center"/>
          </w:tcPr>
          <w:p w14:paraId="72A6F63E">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43</w:t>
            </w:r>
          </w:p>
        </w:tc>
        <w:tc>
          <w:tcPr>
            <w:tcW w:w="1000" w:type="pct"/>
            <w:vAlign w:val="center"/>
          </w:tcPr>
          <w:p w14:paraId="0093E74E">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44</w:t>
            </w:r>
          </w:p>
        </w:tc>
        <w:tc>
          <w:tcPr>
            <w:tcW w:w="1000" w:type="pct"/>
            <w:vAlign w:val="center"/>
          </w:tcPr>
          <w:p w14:paraId="70450B99">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45</w:t>
            </w:r>
          </w:p>
        </w:tc>
      </w:tr>
      <w:tr w14:paraId="1838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35619984">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ABCDE</w:t>
            </w:r>
          </w:p>
        </w:tc>
        <w:tc>
          <w:tcPr>
            <w:tcW w:w="1000" w:type="pct"/>
            <w:vAlign w:val="center"/>
          </w:tcPr>
          <w:p w14:paraId="3A1854C5">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ABCDE</w:t>
            </w:r>
          </w:p>
        </w:tc>
        <w:tc>
          <w:tcPr>
            <w:tcW w:w="1000" w:type="pct"/>
            <w:vAlign w:val="center"/>
          </w:tcPr>
          <w:p w14:paraId="795F211D">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ACDE</w:t>
            </w:r>
          </w:p>
        </w:tc>
        <w:tc>
          <w:tcPr>
            <w:tcW w:w="1000" w:type="pct"/>
            <w:vAlign w:val="center"/>
          </w:tcPr>
          <w:p w14:paraId="56478978">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ADE</w:t>
            </w:r>
          </w:p>
        </w:tc>
        <w:tc>
          <w:tcPr>
            <w:tcW w:w="1000" w:type="pct"/>
            <w:vAlign w:val="center"/>
          </w:tcPr>
          <w:p w14:paraId="38D102B1">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ACD</w:t>
            </w:r>
          </w:p>
        </w:tc>
      </w:tr>
      <w:tr w14:paraId="43DE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2056DD38">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46</w:t>
            </w:r>
          </w:p>
        </w:tc>
        <w:tc>
          <w:tcPr>
            <w:tcW w:w="1000" w:type="pct"/>
            <w:vAlign w:val="center"/>
          </w:tcPr>
          <w:p w14:paraId="14235E9D">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47</w:t>
            </w:r>
          </w:p>
        </w:tc>
        <w:tc>
          <w:tcPr>
            <w:tcW w:w="1000" w:type="pct"/>
            <w:vAlign w:val="center"/>
          </w:tcPr>
          <w:p w14:paraId="79DE059A">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48</w:t>
            </w:r>
          </w:p>
        </w:tc>
        <w:tc>
          <w:tcPr>
            <w:tcW w:w="1000" w:type="pct"/>
            <w:vAlign w:val="center"/>
          </w:tcPr>
          <w:p w14:paraId="33F7CC5F">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49</w:t>
            </w:r>
          </w:p>
        </w:tc>
        <w:tc>
          <w:tcPr>
            <w:tcW w:w="1000" w:type="pct"/>
            <w:vAlign w:val="center"/>
          </w:tcPr>
          <w:p w14:paraId="66A5F146">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50</w:t>
            </w:r>
          </w:p>
        </w:tc>
      </w:tr>
      <w:tr w14:paraId="492C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779AF27D">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ABC</w:t>
            </w:r>
          </w:p>
        </w:tc>
        <w:tc>
          <w:tcPr>
            <w:tcW w:w="1000" w:type="pct"/>
            <w:vAlign w:val="center"/>
          </w:tcPr>
          <w:p w14:paraId="6C1A32E5">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ABCD</w:t>
            </w:r>
          </w:p>
        </w:tc>
        <w:tc>
          <w:tcPr>
            <w:tcW w:w="1000" w:type="pct"/>
            <w:vAlign w:val="center"/>
          </w:tcPr>
          <w:p w14:paraId="43280E61">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ABD</w:t>
            </w:r>
          </w:p>
        </w:tc>
        <w:tc>
          <w:tcPr>
            <w:tcW w:w="1000" w:type="pct"/>
            <w:vAlign w:val="center"/>
          </w:tcPr>
          <w:p w14:paraId="1F7E6D7F">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ABCDE</w:t>
            </w:r>
          </w:p>
        </w:tc>
        <w:tc>
          <w:tcPr>
            <w:tcW w:w="1000" w:type="pct"/>
            <w:vAlign w:val="center"/>
          </w:tcPr>
          <w:p w14:paraId="37DCDFC2">
            <w:pPr>
              <w:numPr>
                <w:ilvl w:val="0"/>
                <w:numId w:val="0"/>
              </w:numPr>
              <w:jc w:val="center"/>
              <w:rPr>
                <w:rFonts w:hint="default" w:ascii="Times New Roman" w:hAnsi="Times New Roman" w:cs="Times New Roman"/>
                <w:b w:val="0"/>
                <w:bCs w:val="0"/>
                <w:sz w:val="24"/>
                <w:szCs w:val="32"/>
                <w:vertAlign w:val="baseline"/>
                <w:lang w:val="en-US" w:eastAsia="zh-CN"/>
              </w:rPr>
            </w:pPr>
            <w:r>
              <w:rPr>
                <w:rFonts w:hint="eastAsia" w:ascii="Times New Roman" w:hAnsi="Times New Roman" w:cs="Times New Roman"/>
                <w:b w:val="0"/>
                <w:bCs w:val="0"/>
                <w:sz w:val="24"/>
                <w:szCs w:val="32"/>
                <w:vertAlign w:val="baseline"/>
                <w:lang w:val="en-US" w:eastAsia="zh-CN"/>
              </w:rPr>
              <w:t>BCDE</w:t>
            </w:r>
          </w:p>
        </w:tc>
      </w:tr>
    </w:tbl>
    <w:p w14:paraId="68693982">
      <w:pPr>
        <w:numPr>
          <w:ilvl w:val="0"/>
          <w:numId w:val="0"/>
        </w:numPr>
        <w:ind w:leftChars="0"/>
        <w:rPr>
          <w:rFonts w:hint="default" w:ascii="Times New Roman" w:hAnsi="Times New Roman" w:cs="Times New Roman"/>
          <w:b/>
          <w:bCs/>
          <w:sz w:val="24"/>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E9C30"/>
    <w:multiLevelType w:val="singleLevel"/>
    <w:tmpl w:val="813E9C30"/>
    <w:lvl w:ilvl="0" w:tentative="0">
      <w:start w:val="39"/>
      <w:numFmt w:val="decimal"/>
      <w:suff w:val="space"/>
      <w:lvlText w:val="%1."/>
      <w:lvlJc w:val="left"/>
    </w:lvl>
  </w:abstractNum>
  <w:abstractNum w:abstractNumId="1">
    <w:nsid w:val="940BC6A5"/>
    <w:multiLevelType w:val="singleLevel"/>
    <w:tmpl w:val="940BC6A5"/>
    <w:lvl w:ilvl="0" w:tentative="0">
      <w:start w:val="31"/>
      <w:numFmt w:val="decimal"/>
      <w:suff w:val="space"/>
      <w:lvlText w:val="%1."/>
      <w:lvlJc w:val="left"/>
    </w:lvl>
  </w:abstractNum>
  <w:abstractNum w:abstractNumId="2">
    <w:nsid w:val="43E0DD43"/>
    <w:multiLevelType w:val="singleLevel"/>
    <w:tmpl w:val="43E0DD43"/>
    <w:lvl w:ilvl="0" w:tentative="0">
      <w:start w:val="2"/>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4F4572"/>
    <w:rsid w:val="0167398B"/>
    <w:rsid w:val="07C5140B"/>
    <w:rsid w:val="0C9E047D"/>
    <w:rsid w:val="0E4312DC"/>
    <w:rsid w:val="10DE52EC"/>
    <w:rsid w:val="168406E3"/>
    <w:rsid w:val="1EED151B"/>
    <w:rsid w:val="244D480A"/>
    <w:rsid w:val="2899001E"/>
    <w:rsid w:val="293E2974"/>
    <w:rsid w:val="2C22032B"/>
    <w:rsid w:val="2E4722CA"/>
    <w:rsid w:val="34853536"/>
    <w:rsid w:val="352769B2"/>
    <w:rsid w:val="3546508A"/>
    <w:rsid w:val="36E7464B"/>
    <w:rsid w:val="39C40C73"/>
    <w:rsid w:val="3BA725FA"/>
    <w:rsid w:val="3E09759C"/>
    <w:rsid w:val="446C43E1"/>
    <w:rsid w:val="46BF2EEE"/>
    <w:rsid w:val="4B92297F"/>
    <w:rsid w:val="4C1E2465"/>
    <w:rsid w:val="4D61085B"/>
    <w:rsid w:val="4E946A0E"/>
    <w:rsid w:val="4EEC05F8"/>
    <w:rsid w:val="518C60C3"/>
    <w:rsid w:val="51ED6B61"/>
    <w:rsid w:val="56FE536D"/>
    <w:rsid w:val="57CA34A1"/>
    <w:rsid w:val="59973856"/>
    <w:rsid w:val="5BDC40BB"/>
    <w:rsid w:val="5D4F4572"/>
    <w:rsid w:val="5DAB78D0"/>
    <w:rsid w:val="5E612863"/>
    <w:rsid w:val="5F5E109E"/>
    <w:rsid w:val="604C7149"/>
    <w:rsid w:val="60FD6695"/>
    <w:rsid w:val="62FA10DE"/>
    <w:rsid w:val="63302D52"/>
    <w:rsid w:val="63C35974"/>
    <w:rsid w:val="64616F3B"/>
    <w:rsid w:val="66D659BE"/>
    <w:rsid w:val="6A7774B8"/>
    <w:rsid w:val="6BA02A3F"/>
    <w:rsid w:val="6D4312CD"/>
    <w:rsid w:val="6E184B0E"/>
    <w:rsid w:val="6EC802E2"/>
    <w:rsid w:val="729A1F96"/>
    <w:rsid w:val="749B0247"/>
    <w:rsid w:val="75C630A2"/>
    <w:rsid w:val="76746FA2"/>
    <w:rsid w:val="767D7C04"/>
    <w:rsid w:val="77534E09"/>
    <w:rsid w:val="79F20909"/>
    <w:rsid w:val="7B4056A4"/>
    <w:rsid w:val="7C2B1EB0"/>
    <w:rsid w:val="7D4476CE"/>
    <w:rsid w:val="7DB83C18"/>
    <w:rsid w:val="7DD32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Emphasis"/>
    <w:basedOn w:val="6"/>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2785</Words>
  <Characters>14530</Characters>
  <Lines>0</Lines>
  <Paragraphs>0</Paragraphs>
  <TotalTime>3</TotalTime>
  <ScaleCrop>false</ScaleCrop>
  <LinksUpToDate>false</LinksUpToDate>
  <CharactersWithSpaces>16947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2026-06-16T08:27:00Z</dcterms:created>
  <dc:creator>彭强</dc:creator>
  <cp:lastModifiedBy>彭强</cp:lastModifiedBy>
  <dcterms:modified xsi:type="dcterms:W3CDTF">2026-06-16T17:39:41Z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DD791D55D96B4252A6338B0F8E93603F_11</vt:lpwstr>
  </property>
  <property fmtid="{D5CDD505-2E9C-101B-9397-08002B2CF9AE}" pid="4" name="KSOTemplateDocerSaveRecord">
    <vt:lpwstr>eyJoZGlkIjoiZDY2ODgyZDJjODg2NTY0MWIyOTU5OGQ4Nzg1MDU1NzciLCJ1c2VySWQiOiIzNDczMTMxMTMifQ==</vt:lpwstr>
  </property>
</Properties>
</file>