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707AD" w14:textId="77777777" w:rsidR="00AD6F20" w:rsidRDefault="00000000">
      <w:pPr>
        <w:pStyle w:val="Title"/>
        <w:jc w:val="center"/>
      </w:pPr>
      <w:r>
        <w:t>Additional file 1</w:t>
      </w:r>
    </w:p>
    <w:p w14:paraId="5BBE556F" w14:textId="77777777" w:rsidR="00AD6F20" w:rsidRDefault="00000000">
      <w:pPr>
        <w:jc w:val="center"/>
      </w:pPr>
      <w:r>
        <w:rPr>
          <w:b/>
        </w:rPr>
        <w:t>Questionnaire and knowledge, attitude and practice scoring framework</w:t>
      </w:r>
    </w:p>
    <w:p w14:paraId="2FE05825" w14:textId="77777777" w:rsidR="00AD6F20" w:rsidRDefault="00000000">
      <w:r>
        <w:t>This file presents the questionnaire domains, item wording, response coding, branching logic and scoring rules used in the study.</w:t>
      </w:r>
    </w:p>
    <w:p w14:paraId="4CA24E98" w14:textId="77777777" w:rsidR="00AD6F20" w:rsidRDefault="00000000">
      <w:pPr>
        <w:pStyle w:val="Heading1"/>
      </w:pPr>
      <w:r>
        <w:t>Section A. Participant and workplace characteristics</w:t>
      </w:r>
    </w:p>
    <w:tbl>
      <w:tblPr>
        <w:tblStyle w:val="TableGrid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89"/>
        <w:gridCol w:w="4365"/>
        <w:gridCol w:w="4082"/>
      </w:tblGrid>
      <w:tr w:rsidR="00AD6F20" w14:paraId="7E458A27" w14:textId="77777777">
        <w:trPr>
          <w:tblHeader/>
          <w:jc w:val="center"/>
        </w:trPr>
        <w:tc>
          <w:tcPr>
            <w:tcW w:w="113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ADFE2E" w14:textId="77777777" w:rsidR="00AD6F20" w:rsidRDefault="00000000">
            <w:pPr>
              <w:pStyle w:val="TableText"/>
              <w:jc w:val="center"/>
            </w:pPr>
            <w:r>
              <w:rPr>
                <w:b/>
              </w:rPr>
              <w:t>Code</w:t>
            </w:r>
          </w:p>
        </w:tc>
        <w:tc>
          <w:tcPr>
            <w:tcW w:w="43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FCDFD5" w14:textId="77777777" w:rsidR="00AD6F20" w:rsidRDefault="00000000">
            <w:pPr>
              <w:pStyle w:val="TableText"/>
              <w:jc w:val="center"/>
            </w:pPr>
            <w:r>
              <w:rPr>
                <w:b/>
              </w:rPr>
              <w:t>Question or variable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23E643" w14:textId="77777777" w:rsidR="00AD6F20" w:rsidRDefault="00000000">
            <w:pPr>
              <w:pStyle w:val="TableText"/>
              <w:jc w:val="center"/>
            </w:pPr>
            <w:r>
              <w:rPr>
                <w:b/>
              </w:rPr>
              <w:t>Response options</w:t>
            </w:r>
          </w:p>
        </w:tc>
      </w:tr>
      <w:tr w:rsidR="00AD6F20" w14:paraId="7A51121C" w14:textId="77777777">
        <w:trPr>
          <w:cantSplit/>
          <w:jc w:val="center"/>
        </w:trPr>
        <w:tc>
          <w:tcPr>
            <w:tcW w:w="113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D1F700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A1</w:t>
            </w:r>
          </w:p>
        </w:tc>
        <w:tc>
          <w:tcPr>
            <w:tcW w:w="43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FD8628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Age in completed years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10671F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Numeric</w:t>
            </w:r>
          </w:p>
        </w:tc>
      </w:tr>
      <w:tr w:rsidR="00AD6F20" w14:paraId="0FE7DD11" w14:textId="77777777">
        <w:trPr>
          <w:cantSplit/>
          <w:jc w:val="center"/>
        </w:trPr>
        <w:tc>
          <w:tcPr>
            <w:tcW w:w="113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30B423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A2</w:t>
            </w:r>
          </w:p>
        </w:tc>
        <w:tc>
          <w:tcPr>
            <w:tcW w:w="43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7B4ED9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Sex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8CB425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Female / Male / Other or prefer not to say</w:t>
            </w:r>
          </w:p>
        </w:tc>
      </w:tr>
      <w:tr w:rsidR="00AD6F20" w14:paraId="44B60419" w14:textId="77777777">
        <w:trPr>
          <w:cantSplit/>
          <w:jc w:val="center"/>
        </w:trPr>
        <w:tc>
          <w:tcPr>
            <w:tcW w:w="113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187EC3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A3</w:t>
            </w:r>
          </w:p>
        </w:tc>
        <w:tc>
          <w:tcPr>
            <w:tcW w:w="43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C3D169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Professional cadre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45896D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Registered nurse / enrolled or community health nurse / midwife / specialist nurse</w:t>
            </w:r>
          </w:p>
        </w:tc>
      </w:tr>
      <w:tr w:rsidR="00AD6F20" w14:paraId="1D89C242" w14:textId="77777777">
        <w:trPr>
          <w:cantSplit/>
          <w:jc w:val="center"/>
        </w:trPr>
        <w:tc>
          <w:tcPr>
            <w:tcW w:w="113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C80355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A4</w:t>
            </w:r>
          </w:p>
        </w:tc>
        <w:tc>
          <w:tcPr>
            <w:tcW w:w="43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349BF6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Years of nursing practice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4FFC2B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&lt;2 / 2-5 / 6-10 / &gt;10</w:t>
            </w:r>
          </w:p>
        </w:tc>
      </w:tr>
      <w:tr w:rsidR="00AD6F20" w14:paraId="197F9AB0" w14:textId="77777777">
        <w:trPr>
          <w:cantSplit/>
          <w:jc w:val="center"/>
        </w:trPr>
        <w:tc>
          <w:tcPr>
            <w:tcW w:w="113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EE2023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A5</w:t>
            </w:r>
          </w:p>
        </w:tc>
        <w:tc>
          <w:tcPr>
            <w:tcW w:w="43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53C776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Administrative district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17F786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One of the 16 district codes</w:t>
            </w:r>
          </w:p>
        </w:tc>
      </w:tr>
      <w:tr w:rsidR="00AD6F20" w14:paraId="197BA439" w14:textId="77777777">
        <w:trPr>
          <w:cantSplit/>
          <w:jc w:val="center"/>
        </w:trPr>
        <w:tc>
          <w:tcPr>
            <w:tcW w:w="113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5DFE98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A6</w:t>
            </w:r>
          </w:p>
        </w:tc>
        <w:tc>
          <w:tcPr>
            <w:tcW w:w="43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FCF0F2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Current hospital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B46B0C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Coded facility identifier</w:t>
            </w:r>
          </w:p>
        </w:tc>
      </w:tr>
      <w:tr w:rsidR="00AD6F20" w14:paraId="640C2D4D" w14:textId="77777777">
        <w:trPr>
          <w:cantSplit/>
          <w:jc w:val="center"/>
        </w:trPr>
        <w:tc>
          <w:tcPr>
            <w:tcW w:w="113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57D1BC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A7</w:t>
            </w:r>
          </w:p>
        </w:tc>
        <w:tc>
          <w:tcPr>
            <w:tcW w:w="43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15E786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Hospital type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5FCB6F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District / regional / tertiary / faith-based</w:t>
            </w:r>
          </w:p>
        </w:tc>
      </w:tr>
      <w:tr w:rsidR="00AD6F20" w14:paraId="5A22DEB9" w14:textId="77777777">
        <w:trPr>
          <w:cantSplit/>
          <w:jc w:val="center"/>
        </w:trPr>
        <w:tc>
          <w:tcPr>
            <w:tcW w:w="113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32C3DB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A8</w:t>
            </w:r>
          </w:p>
        </w:tc>
        <w:tc>
          <w:tcPr>
            <w:tcW w:w="43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907D14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Current ward or service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B3DE9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Outpatient / medical / surgical / maternity / emergency / pediatrics / theater</w:t>
            </w:r>
          </w:p>
        </w:tc>
      </w:tr>
      <w:tr w:rsidR="00AD6F20" w14:paraId="381F593E" w14:textId="77777777">
        <w:trPr>
          <w:cantSplit/>
          <w:jc w:val="center"/>
        </w:trPr>
        <w:tc>
          <w:tcPr>
            <w:tcW w:w="113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C73933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A9</w:t>
            </w:r>
          </w:p>
        </w:tc>
        <w:tc>
          <w:tcPr>
            <w:tcW w:w="43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EA12C6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Night shifts during previous month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DF0713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Number</w:t>
            </w:r>
          </w:p>
        </w:tc>
      </w:tr>
      <w:tr w:rsidR="00AD6F20" w14:paraId="6B01E93C" w14:textId="77777777">
        <w:trPr>
          <w:cantSplit/>
          <w:jc w:val="center"/>
        </w:trPr>
        <w:tc>
          <w:tcPr>
            <w:tcW w:w="113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AF643C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A10</w:t>
            </w:r>
          </w:p>
        </w:tc>
        <w:tc>
          <w:tcPr>
            <w:tcW w:w="43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51AED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Usual patient load on most recent shift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06DABA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Manageable / high</w:t>
            </w:r>
          </w:p>
        </w:tc>
      </w:tr>
      <w:tr w:rsidR="00AD6F20" w14:paraId="6A4AC29C" w14:textId="77777777">
        <w:trPr>
          <w:cantSplit/>
          <w:jc w:val="center"/>
        </w:trPr>
        <w:tc>
          <w:tcPr>
            <w:tcW w:w="113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5D9091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A11</w:t>
            </w:r>
          </w:p>
        </w:tc>
        <w:tc>
          <w:tcPr>
            <w:tcW w:w="43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7FE88F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Sharps or IPC training during previous 12 months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09A6A5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Yes / No</w:t>
            </w:r>
          </w:p>
        </w:tc>
      </w:tr>
      <w:tr w:rsidR="00AD6F20" w14:paraId="08056AC1" w14:textId="77777777">
        <w:trPr>
          <w:cantSplit/>
          <w:jc w:val="center"/>
        </w:trPr>
        <w:tc>
          <w:tcPr>
            <w:tcW w:w="113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18BD21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A12</w:t>
            </w:r>
          </w:p>
        </w:tc>
        <w:tc>
          <w:tcPr>
            <w:tcW w:w="43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1C73DB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Sharps container within arm's reach at point of care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955C5F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Always / sometimes / never</w:t>
            </w:r>
          </w:p>
        </w:tc>
      </w:tr>
      <w:tr w:rsidR="00AD6F20" w14:paraId="249CEEF1" w14:textId="77777777">
        <w:trPr>
          <w:cantSplit/>
          <w:jc w:val="center"/>
        </w:trPr>
        <w:tc>
          <w:tcPr>
            <w:tcW w:w="113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DD111B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A13</w:t>
            </w:r>
          </w:p>
        </w:tc>
        <w:tc>
          <w:tcPr>
            <w:tcW w:w="43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E60BFC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Safety-engineered needles or cannulas routinely available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66677C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Yes / No</w:t>
            </w:r>
          </w:p>
        </w:tc>
      </w:tr>
      <w:tr w:rsidR="00AD6F20" w14:paraId="5C78ECC9" w14:textId="77777777">
        <w:trPr>
          <w:cantSplit/>
          <w:jc w:val="center"/>
        </w:trPr>
        <w:tc>
          <w:tcPr>
            <w:tcW w:w="113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8766CC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A14</w:t>
            </w:r>
          </w:p>
        </w:tc>
        <w:tc>
          <w:tcPr>
            <w:tcW w:w="43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7F7261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Gloves reliably available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53DE02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Yes / No</w:t>
            </w:r>
          </w:p>
        </w:tc>
      </w:tr>
      <w:tr w:rsidR="00AD6F20" w14:paraId="5157B8F2" w14:textId="77777777">
        <w:trPr>
          <w:jc w:val="center"/>
        </w:trPr>
        <w:tc>
          <w:tcPr>
            <w:tcW w:w="3289" w:type="dxa"/>
          </w:tcPr>
          <w:p w14:paraId="2620B0D0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A15</w:t>
            </w:r>
          </w:p>
        </w:tc>
        <w:tc>
          <w:tcPr>
            <w:tcW w:w="3289" w:type="dxa"/>
          </w:tcPr>
          <w:p w14:paraId="4F2BF494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Know the hospital injury-reporting procedure</w:t>
            </w:r>
          </w:p>
        </w:tc>
        <w:tc>
          <w:tcPr>
            <w:tcW w:w="3289" w:type="dxa"/>
          </w:tcPr>
          <w:p w14:paraId="6452A383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Yes / No</w:t>
            </w:r>
          </w:p>
        </w:tc>
      </w:tr>
      <w:tr w:rsidR="00AD6F20" w14:paraId="67206D9A" w14:textId="77777777">
        <w:trPr>
          <w:jc w:val="center"/>
        </w:trPr>
        <w:tc>
          <w:tcPr>
            <w:tcW w:w="3289" w:type="dxa"/>
          </w:tcPr>
          <w:p w14:paraId="2D5F0C62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A16</w:t>
            </w:r>
          </w:p>
        </w:tc>
        <w:tc>
          <w:tcPr>
            <w:tcW w:w="3289" w:type="dxa"/>
          </w:tcPr>
          <w:p w14:paraId="326AD7BB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HBV vaccination status</w:t>
            </w:r>
          </w:p>
        </w:tc>
        <w:tc>
          <w:tcPr>
            <w:tcW w:w="3289" w:type="dxa"/>
          </w:tcPr>
          <w:p w14:paraId="47E2E964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Fully vaccinated / partially vaccinated / unvaccinated / undocumented</w:t>
            </w:r>
          </w:p>
        </w:tc>
      </w:tr>
      <w:tr w:rsidR="00AD6F20" w14:paraId="368EE404" w14:textId="77777777">
        <w:trPr>
          <w:jc w:val="center"/>
        </w:trPr>
        <w:tc>
          <w:tcPr>
            <w:tcW w:w="3289" w:type="dxa"/>
          </w:tcPr>
          <w:p w14:paraId="6219A9B3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A17</w:t>
            </w:r>
          </w:p>
        </w:tc>
        <w:tc>
          <w:tcPr>
            <w:tcW w:w="3289" w:type="dxa"/>
          </w:tcPr>
          <w:p w14:paraId="0D90226E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Number of hepatitis B vaccine doses reported</w:t>
            </w:r>
          </w:p>
        </w:tc>
        <w:tc>
          <w:tcPr>
            <w:tcW w:w="3289" w:type="dxa"/>
          </w:tcPr>
          <w:p w14:paraId="6D8586BD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Numeric; asked if fully or partially vaccinated</w:t>
            </w:r>
          </w:p>
        </w:tc>
      </w:tr>
      <w:tr w:rsidR="00AD6F20" w14:paraId="0541A978" w14:textId="77777777">
        <w:trPr>
          <w:jc w:val="center"/>
        </w:trPr>
        <w:tc>
          <w:tcPr>
            <w:tcW w:w="3289" w:type="dxa"/>
          </w:tcPr>
          <w:p w14:paraId="22CE41E6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A18</w:t>
            </w:r>
          </w:p>
        </w:tc>
        <w:tc>
          <w:tcPr>
            <w:tcW w:w="3289" w:type="dxa"/>
          </w:tcPr>
          <w:p w14:paraId="5DC2E33A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Vaccination documentation available</w:t>
            </w:r>
          </w:p>
        </w:tc>
        <w:tc>
          <w:tcPr>
            <w:tcW w:w="3289" w:type="dxa"/>
          </w:tcPr>
          <w:p w14:paraId="18941DA3" w14:textId="77777777" w:rsidR="00AD6F20" w:rsidRPr="005B3D2E" w:rsidRDefault="00000000" w:rsidP="005B3D2E">
            <w:pPr>
              <w:pStyle w:val="TableText"/>
              <w:jc w:val="center"/>
              <w:rPr>
                <w:sz w:val="15"/>
              </w:rPr>
            </w:pPr>
            <w:r w:rsidRPr="005B3D2E">
              <w:rPr>
                <w:sz w:val="15"/>
              </w:rPr>
              <w:t>Yes / No; asked if fully or partially vaccinated</w:t>
            </w:r>
          </w:p>
        </w:tc>
      </w:tr>
    </w:tbl>
    <w:p w14:paraId="430F1D5C" w14:textId="77777777" w:rsidR="00AD6F20" w:rsidRDefault="00000000">
      <w:pPr>
        <w:pStyle w:val="Heading1"/>
      </w:pPr>
      <w:r>
        <w:t>Section B. Injury and post-exposure response</w:t>
      </w:r>
    </w:p>
    <w:tbl>
      <w:tblPr>
        <w:tblStyle w:val="TableGrid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082"/>
        <w:gridCol w:w="3515"/>
        <w:gridCol w:w="1304"/>
      </w:tblGrid>
      <w:tr w:rsidR="00AD6F20" w14:paraId="4CD32A11" w14:textId="77777777">
        <w:trPr>
          <w:tblHeader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6382D" w14:textId="77777777" w:rsidR="00AD6F20" w:rsidRDefault="00000000">
            <w:pPr>
              <w:pStyle w:val="TableText"/>
              <w:jc w:val="center"/>
            </w:pPr>
            <w:r>
              <w:rPr>
                <w:b/>
                <w:sz w:val="15"/>
              </w:rPr>
              <w:t>Code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05E373" w14:textId="77777777" w:rsidR="00AD6F20" w:rsidRDefault="00000000">
            <w:pPr>
              <w:pStyle w:val="TableText"/>
              <w:jc w:val="center"/>
            </w:pPr>
            <w:r>
              <w:rPr>
                <w:b/>
                <w:sz w:val="15"/>
              </w:rPr>
              <w:t>Question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F38918" w14:textId="77777777" w:rsidR="00AD6F20" w:rsidRDefault="00000000">
            <w:pPr>
              <w:pStyle w:val="TableText"/>
              <w:jc w:val="center"/>
            </w:pPr>
            <w:r>
              <w:rPr>
                <w:b/>
                <w:sz w:val="15"/>
              </w:rPr>
              <w:t>Response options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DF4126" w14:textId="77777777" w:rsidR="00AD6F20" w:rsidRDefault="00000000">
            <w:pPr>
              <w:pStyle w:val="TableText"/>
              <w:jc w:val="center"/>
            </w:pPr>
            <w:r>
              <w:rPr>
                <w:b/>
                <w:sz w:val="15"/>
              </w:rPr>
              <w:t>Branching</w:t>
            </w:r>
          </w:p>
        </w:tc>
      </w:tr>
      <w:tr w:rsidR="00AD6F20" w14:paraId="736EB8FA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01B128" w14:textId="77777777" w:rsidR="00AD6F20" w:rsidRDefault="00000000">
            <w:pPr>
              <w:pStyle w:val="TableText"/>
            </w:pPr>
            <w:r>
              <w:rPr>
                <w:sz w:val="15"/>
              </w:rPr>
              <w:t>B1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F62359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Any needlestick or percutaneous sharps injury during previous 12 months?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B6E2AD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Yes / No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22DC6B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All participants</w:t>
            </w:r>
          </w:p>
        </w:tc>
      </w:tr>
      <w:tr w:rsidR="00AD6F20" w14:paraId="3AE19A85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BB534A" w14:textId="77777777" w:rsidR="00AD6F20" w:rsidRDefault="00000000">
            <w:pPr>
              <w:pStyle w:val="TableText"/>
            </w:pPr>
            <w:r>
              <w:rPr>
                <w:sz w:val="15"/>
              </w:rPr>
              <w:t>B2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77437B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Any such injury during nursing career?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649A6D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Yes / No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853226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All participants</w:t>
            </w:r>
          </w:p>
        </w:tc>
      </w:tr>
      <w:tr w:rsidR="00AD6F20" w14:paraId="0A881885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1BB6D" w14:textId="77777777" w:rsidR="00AD6F20" w:rsidRDefault="00000000">
            <w:pPr>
              <w:pStyle w:val="TableText"/>
            </w:pPr>
            <w:r>
              <w:rPr>
                <w:sz w:val="15"/>
              </w:rPr>
              <w:t>B3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B04002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Number of injuries during previous 12 months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944680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/ 2 / 3 or more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6151B4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If B1=Yes</w:t>
            </w:r>
          </w:p>
        </w:tc>
      </w:tr>
      <w:tr w:rsidR="00AD6F20" w14:paraId="6C13FAF3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216DA6" w14:textId="77777777" w:rsidR="00AD6F20" w:rsidRDefault="00000000">
            <w:pPr>
              <w:pStyle w:val="TableText"/>
            </w:pPr>
            <w:r>
              <w:rPr>
                <w:sz w:val="15"/>
              </w:rPr>
              <w:t>B4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785025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Main activity during most recent injury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A78949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Injection / cannulation / blood draw / waste or cleaning / recapping / suture or procedure assistance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4A9A72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If B1=Yes</w:t>
            </w:r>
          </w:p>
        </w:tc>
      </w:tr>
      <w:tr w:rsidR="00AD6F20" w14:paraId="31F49DD9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8F4013" w14:textId="77777777" w:rsidR="00AD6F20" w:rsidRDefault="00000000">
            <w:pPr>
              <w:pStyle w:val="TableText"/>
            </w:pPr>
            <w:r>
              <w:rPr>
                <w:sz w:val="15"/>
              </w:rPr>
              <w:t>B5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9A0638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When did the injury occur?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ED9311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During procedure / after procedure before disposal / during disposal or cleaning / during recapping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2FF5C7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If B1=Yes</w:t>
            </w:r>
          </w:p>
        </w:tc>
      </w:tr>
      <w:tr w:rsidR="00AD6F20" w14:paraId="69A3E491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585D69" w14:textId="77777777" w:rsidR="00AD6F20" w:rsidRDefault="00000000">
            <w:pPr>
              <w:pStyle w:val="TableText"/>
            </w:pPr>
            <w:r>
              <w:rPr>
                <w:sz w:val="15"/>
              </w:rPr>
              <w:t>B6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0434E0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Device involved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6D43E7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Hollow-bore needle / cannula stylet / suture needle / lancet / other sharp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D2B62D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If B1=Yes</w:t>
            </w:r>
          </w:p>
        </w:tc>
      </w:tr>
      <w:tr w:rsidR="00AD6F20" w14:paraId="04DC5545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847135" w14:textId="77777777" w:rsidR="00AD6F20" w:rsidRDefault="00000000">
            <w:pPr>
              <w:pStyle w:val="TableText"/>
            </w:pPr>
            <w:r>
              <w:rPr>
                <w:sz w:val="15"/>
              </w:rPr>
              <w:t>B7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F7D2A0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Visible blood on device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580BD6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Yes / No / Unknown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CABDB3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If B1=Yes</w:t>
            </w:r>
          </w:p>
        </w:tc>
      </w:tr>
      <w:tr w:rsidR="00AD6F20" w14:paraId="24186447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BFF85C" w14:textId="77777777" w:rsidR="00AD6F20" w:rsidRDefault="00000000">
            <w:pPr>
              <w:pStyle w:val="TableText"/>
            </w:pPr>
            <w:r>
              <w:rPr>
                <w:sz w:val="15"/>
              </w:rPr>
              <w:t>B8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A78F0E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Depth of injury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27D751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Superficial / deep / unknown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7BFFFE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If B1=Yes</w:t>
            </w:r>
          </w:p>
        </w:tc>
      </w:tr>
      <w:tr w:rsidR="00AD6F20" w14:paraId="74B974D7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CBC9B0" w14:textId="77777777" w:rsidR="00AD6F20" w:rsidRDefault="00000000">
            <w:pPr>
              <w:pStyle w:val="TableText"/>
            </w:pPr>
            <w:r>
              <w:rPr>
                <w:sz w:val="15"/>
              </w:rPr>
              <w:t>B9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05533B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Immediate first aid performed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56E6A8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Yes / No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DBAE45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If B1=Yes</w:t>
            </w:r>
          </w:p>
        </w:tc>
      </w:tr>
      <w:tr w:rsidR="00AD6F20" w14:paraId="088F3663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C44BE7" w14:textId="77777777" w:rsidR="00AD6F20" w:rsidRDefault="00000000">
            <w:pPr>
              <w:pStyle w:val="TableText"/>
            </w:pPr>
            <w:r>
              <w:rPr>
                <w:sz w:val="15"/>
              </w:rPr>
              <w:t>B10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A090B1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Injury reported within 24 h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DBC3D9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Yes / No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F524BC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If B1=Yes</w:t>
            </w:r>
          </w:p>
        </w:tc>
      </w:tr>
      <w:tr w:rsidR="00AD6F20" w14:paraId="02F836EC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2631A1" w14:textId="77777777" w:rsidR="00AD6F20" w:rsidRDefault="00000000">
            <w:pPr>
              <w:pStyle w:val="TableText"/>
            </w:pPr>
            <w:r>
              <w:rPr>
                <w:sz w:val="15"/>
              </w:rPr>
              <w:t>B11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4ADA22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Source patient tested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9F32E0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Yes / No / not possible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6FA421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If B1=Yes</w:t>
            </w:r>
          </w:p>
        </w:tc>
      </w:tr>
      <w:tr w:rsidR="00AD6F20" w14:paraId="4053A478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5FA04E" w14:textId="77777777" w:rsidR="00AD6F20" w:rsidRDefault="00000000">
            <w:pPr>
              <w:pStyle w:val="TableText"/>
            </w:pPr>
            <w:r>
              <w:rPr>
                <w:sz w:val="15"/>
              </w:rPr>
              <w:t>B12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957606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PEP assessment received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DDC306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Yes / No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8F9BAB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If B1=Yes</w:t>
            </w:r>
          </w:p>
        </w:tc>
      </w:tr>
      <w:tr w:rsidR="00AD6F20" w14:paraId="452C614F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D97605" w14:textId="77777777" w:rsidR="00AD6F20" w:rsidRDefault="00000000">
            <w:pPr>
              <w:pStyle w:val="TableText"/>
            </w:pPr>
            <w:r>
              <w:rPr>
                <w:sz w:val="15"/>
              </w:rPr>
              <w:t>B13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18345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PEP indicated after assessment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65C5A8" w14:textId="77777777" w:rsidR="00AD6F20" w:rsidRDefault="00000000">
            <w:r>
              <w:rPr>
                <w:sz w:val="15"/>
              </w:rPr>
              <w:t>Yes / No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5CA4D5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If B12=Yes</w:t>
            </w:r>
          </w:p>
        </w:tc>
      </w:tr>
      <w:tr w:rsidR="00AD6F20" w14:paraId="6023E7BE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DFD0C" w14:textId="77777777" w:rsidR="00AD6F20" w:rsidRDefault="00000000">
            <w:pPr>
              <w:pStyle w:val="TableText"/>
            </w:pPr>
            <w:r>
              <w:rPr>
                <w:sz w:val="15"/>
              </w:rPr>
              <w:t>B14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019E0A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HIV PEP started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188F97" w14:textId="77777777" w:rsidR="00AD6F20" w:rsidRDefault="00000000">
            <w:r>
              <w:rPr>
                <w:sz w:val="15"/>
              </w:rPr>
              <w:t>Yes / No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498945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If B13=Yes</w:t>
            </w:r>
          </w:p>
        </w:tc>
      </w:tr>
      <w:tr w:rsidR="00AD6F20" w14:paraId="5F70776A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E4F65" w14:textId="77777777" w:rsidR="00AD6F20" w:rsidRDefault="00000000">
            <w:pPr>
              <w:pStyle w:val="TableText"/>
            </w:pPr>
            <w:r>
              <w:rPr>
                <w:sz w:val="15"/>
              </w:rPr>
              <w:t>B15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B8BAB1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Time from injury to PEP start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DF12CE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Within 2 h / 2-24 h / 25-72 h / &gt;72 h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E16871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If B14=Yes</w:t>
            </w:r>
          </w:p>
        </w:tc>
      </w:tr>
      <w:tr w:rsidR="00AD6F20" w14:paraId="0869F5A8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A1F878" w14:textId="77777777" w:rsidR="00AD6F20" w:rsidRDefault="00000000">
            <w:pPr>
              <w:pStyle w:val="TableText"/>
            </w:pPr>
            <w:r>
              <w:rPr>
                <w:sz w:val="15"/>
              </w:rPr>
              <w:t>B16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C60110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Completed 28-day course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23AB30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Yes / No / unknown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B2B53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If B14=Yes</w:t>
            </w:r>
          </w:p>
        </w:tc>
      </w:tr>
      <w:tr w:rsidR="00AD6F20" w14:paraId="14A95B58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01F416" w14:textId="77777777" w:rsidR="00AD6F20" w:rsidRDefault="00000000">
            <w:pPr>
              <w:pStyle w:val="TableText"/>
            </w:pPr>
            <w:r>
              <w:rPr>
                <w:sz w:val="15"/>
              </w:rPr>
              <w:t>B17</w:t>
            </w:r>
          </w:p>
        </w:tc>
        <w:tc>
          <w:tcPr>
            <w:tcW w:w="408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FDE9D4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Follow-up testing or review documented</w:t>
            </w:r>
          </w:p>
        </w:tc>
        <w:tc>
          <w:tcPr>
            <w:tcW w:w="35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002AD4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Yes / No / unknown</w:t>
            </w:r>
          </w:p>
        </w:tc>
        <w:tc>
          <w:tcPr>
            <w:tcW w:w="13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77E56C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If B14=Yes</w:t>
            </w:r>
          </w:p>
        </w:tc>
      </w:tr>
    </w:tbl>
    <w:p w14:paraId="40220327" w14:textId="77777777" w:rsidR="00AD6F20" w:rsidRDefault="00000000">
      <w:pPr>
        <w:pStyle w:val="Heading1"/>
      </w:pPr>
      <w:r>
        <w:lastRenderedPageBreak/>
        <w:t>Section C. Knowledge scale: 15 items</w:t>
      </w:r>
    </w:p>
    <w:p w14:paraId="73DFD43E" w14:textId="77777777" w:rsidR="00AD6F20" w:rsidRDefault="00000000">
      <w:r>
        <w:t>Response options were True, False and Do not know. Correct answers scored 1; incorrect and Do not know answers scored 0. The total range was 0–15. Adequate knowledge was defined as 12–15 (≥80%). The study team specified this competency benchmark before outcome analysis and used it for descriptive classification.</w:t>
      </w:r>
    </w:p>
    <w:tbl>
      <w:tblPr>
        <w:tblStyle w:val="TableGrid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3"/>
        <w:gridCol w:w="5953"/>
        <w:gridCol w:w="1360"/>
        <w:gridCol w:w="1587"/>
      </w:tblGrid>
      <w:tr w:rsidR="00AD6F20" w14:paraId="76B421B6" w14:textId="77777777">
        <w:trPr>
          <w:tblHeader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DE4FFF" w14:textId="77777777" w:rsidR="00AD6F20" w:rsidRDefault="00000000">
            <w:pPr>
              <w:pStyle w:val="TableText"/>
              <w:jc w:val="center"/>
            </w:pPr>
            <w:r>
              <w:rPr>
                <w:b/>
                <w:sz w:val="15"/>
              </w:rPr>
              <w:t>Item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AFE50C" w14:textId="77777777" w:rsidR="00AD6F20" w:rsidRDefault="00000000">
            <w:pPr>
              <w:pStyle w:val="TableText"/>
              <w:jc w:val="center"/>
            </w:pPr>
            <w:r>
              <w:rPr>
                <w:b/>
                <w:sz w:val="15"/>
              </w:rPr>
              <w:t>Statement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F2B722" w14:textId="77777777" w:rsidR="00AD6F20" w:rsidRDefault="00000000">
            <w:pPr>
              <w:pStyle w:val="TableText"/>
              <w:jc w:val="center"/>
            </w:pPr>
            <w:r>
              <w:rPr>
                <w:b/>
                <w:sz w:val="15"/>
              </w:rPr>
              <w:t>Correct answer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68488C" w14:textId="77777777" w:rsidR="00AD6F20" w:rsidRDefault="00000000">
            <w:pPr>
              <w:pStyle w:val="TableText"/>
              <w:jc w:val="center"/>
            </w:pPr>
            <w:r>
              <w:rPr>
                <w:b/>
                <w:sz w:val="15"/>
              </w:rPr>
              <w:t>Score</w:t>
            </w:r>
          </w:p>
        </w:tc>
      </w:tr>
      <w:tr w:rsidR="00AD6F20" w14:paraId="51C307F6" w14:textId="77777777">
        <w:trPr>
          <w:cantSplit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7E30E2" w14:textId="77777777" w:rsidR="00AD6F20" w:rsidRDefault="00000000">
            <w:pPr>
              <w:pStyle w:val="TableText"/>
            </w:pPr>
            <w:r>
              <w:rPr>
                <w:sz w:val="15"/>
              </w:rPr>
              <w:t>K1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26525A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HBV can be transmitted by a contaminated needlestick.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32111A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True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C6D415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for True</w:t>
            </w:r>
          </w:p>
        </w:tc>
      </w:tr>
      <w:tr w:rsidR="00AD6F20" w14:paraId="10F9F97D" w14:textId="77777777">
        <w:trPr>
          <w:cantSplit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155C82" w14:textId="77777777" w:rsidR="00AD6F20" w:rsidRDefault="00000000">
            <w:pPr>
              <w:pStyle w:val="TableText"/>
            </w:pPr>
            <w:r>
              <w:rPr>
                <w:sz w:val="15"/>
              </w:rPr>
              <w:t>K2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8AAF88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HCV can be transmitted by a contaminated needlestick.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7CD91D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True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A1E5CE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for True</w:t>
            </w:r>
          </w:p>
        </w:tc>
      </w:tr>
      <w:tr w:rsidR="00AD6F20" w14:paraId="09337B6D" w14:textId="77777777">
        <w:trPr>
          <w:cantSplit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E4E83B" w14:textId="77777777" w:rsidR="00AD6F20" w:rsidRDefault="00000000">
            <w:pPr>
              <w:pStyle w:val="TableText"/>
            </w:pPr>
            <w:r>
              <w:rPr>
                <w:sz w:val="15"/>
              </w:rPr>
              <w:t>K3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AE05A3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HIV can be transmitted by a contaminated needlestick.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1B0EC3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True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1232CB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for True</w:t>
            </w:r>
          </w:p>
        </w:tc>
      </w:tr>
      <w:tr w:rsidR="00AD6F20" w14:paraId="44FDB617" w14:textId="77777777">
        <w:trPr>
          <w:cantSplit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12CABC" w14:textId="77777777" w:rsidR="00AD6F20" w:rsidRDefault="00000000">
            <w:pPr>
              <w:pStyle w:val="TableText"/>
            </w:pPr>
            <w:r>
              <w:rPr>
                <w:sz w:val="15"/>
              </w:rPr>
              <w:t>K4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8425F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Used needles should routinely be recapped before disposal.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171991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False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3CAE76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for False</w:t>
            </w:r>
          </w:p>
        </w:tc>
      </w:tr>
      <w:tr w:rsidR="00AD6F20" w14:paraId="22686055" w14:textId="77777777">
        <w:trPr>
          <w:cantSplit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3F664C" w14:textId="77777777" w:rsidR="00AD6F20" w:rsidRDefault="00000000">
            <w:pPr>
              <w:pStyle w:val="TableText"/>
            </w:pPr>
            <w:r>
              <w:rPr>
                <w:sz w:val="15"/>
              </w:rPr>
              <w:t>K5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445890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The injury site should be washed promptly with soap and water.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0655D2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True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171409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for True</w:t>
            </w:r>
          </w:p>
        </w:tc>
      </w:tr>
      <w:tr w:rsidR="00AD6F20" w14:paraId="0723565F" w14:textId="77777777">
        <w:trPr>
          <w:cantSplit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446629" w14:textId="77777777" w:rsidR="00AD6F20" w:rsidRDefault="00000000">
            <w:pPr>
              <w:pStyle w:val="TableText"/>
            </w:pPr>
            <w:r>
              <w:rPr>
                <w:sz w:val="15"/>
              </w:rPr>
              <w:t>K6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0FFF18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Squeezing or scrubbing the wound aggressively is recommended.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BA3182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False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0A1061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for False</w:t>
            </w:r>
          </w:p>
        </w:tc>
      </w:tr>
      <w:tr w:rsidR="00AD6F20" w14:paraId="3C008A20" w14:textId="77777777">
        <w:trPr>
          <w:cantSplit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B53B2C" w14:textId="77777777" w:rsidR="00AD6F20" w:rsidRDefault="00000000">
            <w:pPr>
              <w:pStyle w:val="TableText"/>
            </w:pPr>
            <w:r>
              <w:rPr>
                <w:sz w:val="15"/>
              </w:rPr>
              <w:t>K7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ABFDD2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A sharps injury should be reported promptly, preferably within 24 h.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353E6C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True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A8ACF9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for True</w:t>
            </w:r>
          </w:p>
        </w:tc>
      </w:tr>
      <w:tr w:rsidR="00AD6F20" w14:paraId="4FD1DE6F" w14:textId="77777777">
        <w:trPr>
          <w:cantSplit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BFB3E8" w14:textId="77777777" w:rsidR="00AD6F20" w:rsidRDefault="00000000">
            <w:pPr>
              <w:pStyle w:val="TableText"/>
            </w:pPr>
            <w:r>
              <w:rPr>
                <w:sz w:val="15"/>
              </w:rPr>
              <w:t>K8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65B3A9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HIV PEP is most effective when started as soon as possible.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AA0EEB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True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0B33E0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for True</w:t>
            </w:r>
          </w:p>
        </w:tc>
      </w:tr>
      <w:tr w:rsidR="00AD6F20" w14:paraId="5F86969F" w14:textId="77777777">
        <w:trPr>
          <w:cantSplit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4F1BCB" w14:textId="77777777" w:rsidR="00AD6F20" w:rsidRDefault="00000000">
            <w:pPr>
              <w:pStyle w:val="TableText"/>
            </w:pPr>
            <w:r>
              <w:rPr>
                <w:sz w:val="15"/>
              </w:rPr>
              <w:t>K9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EA21ED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HIV PEP may be considered up to 72 h after exposure.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243925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True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B1152F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for True</w:t>
            </w:r>
          </w:p>
        </w:tc>
      </w:tr>
      <w:tr w:rsidR="00AD6F20" w14:paraId="249FBD84" w14:textId="77777777">
        <w:trPr>
          <w:cantSplit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4D36FD" w14:textId="77777777" w:rsidR="00AD6F20" w:rsidRDefault="00000000">
            <w:pPr>
              <w:pStyle w:val="TableText"/>
            </w:pPr>
            <w:r>
              <w:rPr>
                <w:sz w:val="15"/>
              </w:rPr>
              <w:t>K10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4370F6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A standard HIV PEP course lasts 28 days.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515A2B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True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FD046E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for True</w:t>
            </w:r>
          </w:p>
        </w:tc>
      </w:tr>
      <w:tr w:rsidR="00AD6F20" w14:paraId="724F7721" w14:textId="77777777">
        <w:trPr>
          <w:cantSplit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36245B" w14:textId="77777777" w:rsidR="00AD6F20" w:rsidRDefault="00000000">
            <w:pPr>
              <w:pStyle w:val="TableText"/>
            </w:pPr>
            <w:r>
              <w:rPr>
                <w:sz w:val="15"/>
              </w:rPr>
              <w:t>K11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1D81C2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HBV vaccination can protect a susceptible health worker from infection after occupational exposure risk.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07F35A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True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0F918B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for True</w:t>
            </w:r>
          </w:p>
        </w:tc>
      </w:tr>
      <w:tr w:rsidR="00AD6F20" w14:paraId="40205C01" w14:textId="77777777">
        <w:trPr>
          <w:cantSplit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9A33EF" w14:textId="77777777" w:rsidR="00AD6F20" w:rsidRDefault="00000000">
            <w:pPr>
              <w:pStyle w:val="TableText"/>
            </w:pPr>
            <w:r>
              <w:rPr>
                <w:sz w:val="15"/>
              </w:rPr>
              <w:t>K12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C736E8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A vaccine is available to prevent HCV infection.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24F74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False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FEE192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for False</w:t>
            </w:r>
          </w:p>
        </w:tc>
      </w:tr>
      <w:tr w:rsidR="00AD6F20" w14:paraId="7AC8F31B" w14:textId="77777777">
        <w:trPr>
          <w:cantSplit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767485" w14:textId="77777777" w:rsidR="00AD6F20" w:rsidRDefault="00000000">
            <w:pPr>
              <w:pStyle w:val="TableText"/>
            </w:pPr>
            <w:r>
              <w:rPr>
                <w:sz w:val="15"/>
              </w:rPr>
              <w:t>K13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60EA35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There is a standard antiviral PEP course that prevents HCV after needlestick injury.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05CF92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False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F8BF1F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for False</w:t>
            </w:r>
          </w:p>
        </w:tc>
      </w:tr>
      <w:tr w:rsidR="00AD6F20" w14:paraId="1A47B1C8" w14:textId="77777777">
        <w:trPr>
          <w:cantSplit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353EA" w14:textId="77777777" w:rsidR="00AD6F20" w:rsidRDefault="00000000">
            <w:pPr>
              <w:pStyle w:val="TableText"/>
            </w:pPr>
            <w:r>
              <w:rPr>
                <w:sz w:val="15"/>
              </w:rPr>
              <w:t>K14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56EA4A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Source-patient testing may inform post-exposure management when consent and policy permit.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66C7CB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True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0B5EFC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for True</w:t>
            </w:r>
          </w:p>
        </w:tc>
      </w:tr>
      <w:tr w:rsidR="00AD6F20" w14:paraId="5FB60083" w14:textId="77777777">
        <w:trPr>
          <w:cantSplit/>
          <w:jc w:val="center"/>
        </w:trPr>
        <w:tc>
          <w:tcPr>
            <w:tcW w:w="79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7BFD07" w14:textId="77777777" w:rsidR="00AD6F20" w:rsidRDefault="00000000">
            <w:pPr>
              <w:pStyle w:val="TableText"/>
            </w:pPr>
            <w:r>
              <w:rPr>
                <w:sz w:val="15"/>
              </w:rPr>
              <w:t>K15</w:t>
            </w:r>
          </w:p>
        </w:tc>
        <w:tc>
          <w:tcPr>
            <w:tcW w:w="59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A6D84C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Sharps containers should be replaced before they become overfilled.</w:t>
            </w:r>
          </w:p>
        </w:tc>
        <w:tc>
          <w:tcPr>
            <w:tcW w:w="136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C4C4E3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True</w:t>
            </w:r>
          </w:p>
        </w:tc>
        <w:tc>
          <w:tcPr>
            <w:tcW w:w="158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C1F3E2" w14:textId="77777777" w:rsidR="00AD6F20" w:rsidRDefault="00000000">
            <w:pPr>
              <w:pStyle w:val="TableText"/>
              <w:jc w:val="center"/>
            </w:pPr>
            <w:r>
              <w:rPr>
                <w:sz w:val="15"/>
              </w:rPr>
              <w:t>1 for True</w:t>
            </w:r>
          </w:p>
        </w:tc>
      </w:tr>
    </w:tbl>
    <w:p w14:paraId="643E9281" w14:textId="77777777" w:rsidR="00AD6F20" w:rsidRDefault="00000000">
      <w:pPr>
        <w:pStyle w:val="Heading1"/>
      </w:pPr>
      <w:r>
        <w:t>Section D. Attitude scale: 10 items</w:t>
      </w:r>
    </w:p>
    <w:p w14:paraId="4F8754CD" w14:textId="77777777" w:rsidR="00AD6F20" w:rsidRDefault="00000000">
      <w:r>
        <w:t>Responses were Strongly disagree=1, Disagree=2, Neither agree nor disagree=3, Agree=4 and Strongly agree=5. Reverse-scored items were AT2 and AT6. The total range was 10–50. Favorable attitude was defined as 38–50 (≥76%). The study team specified this competency benchmark before outcome analysis and used it for descriptive classification.</w:t>
      </w:r>
    </w:p>
    <w:tbl>
      <w:tblPr>
        <w:tblStyle w:val="TableGrid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7427"/>
        <w:gridCol w:w="1417"/>
      </w:tblGrid>
      <w:tr w:rsidR="00AD6F20" w14:paraId="7BA58119" w14:textId="77777777">
        <w:trPr>
          <w:tblHeader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CD1291" w14:textId="77777777" w:rsidR="00AD6F20" w:rsidRDefault="00000000">
            <w:pPr>
              <w:pStyle w:val="TableText"/>
              <w:jc w:val="center"/>
            </w:pPr>
            <w:r>
              <w:rPr>
                <w:b/>
              </w:rPr>
              <w:t>Item</w:t>
            </w:r>
          </w:p>
        </w:tc>
        <w:tc>
          <w:tcPr>
            <w:tcW w:w="74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4E1333" w14:textId="77777777" w:rsidR="00AD6F20" w:rsidRDefault="00000000">
            <w:pPr>
              <w:pStyle w:val="TableText"/>
              <w:jc w:val="center"/>
            </w:pPr>
            <w:r>
              <w:rPr>
                <w:b/>
              </w:rPr>
              <w:t>Statement</w:t>
            </w:r>
          </w:p>
        </w:tc>
        <w:tc>
          <w:tcPr>
            <w:tcW w:w="141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437328" w14:textId="77777777" w:rsidR="00AD6F20" w:rsidRDefault="00000000">
            <w:pPr>
              <w:pStyle w:val="TableText"/>
              <w:jc w:val="center"/>
            </w:pPr>
            <w:r>
              <w:rPr>
                <w:b/>
              </w:rPr>
              <w:t>Direction</w:t>
            </w:r>
          </w:p>
        </w:tc>
      </w:tr>
      <w:tr w:rsidR="00AD6F20" w14:paraId="1FC3971E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56856F" w14:textId="77777777" w:rsidR="00AD6F20" w:rsidRDefault="00000000">
            <w:pPr>
              <w:pStyle w:val="TableText"/>
            </w:pPr>
            <w:r>
              <w:t>AT1</w:t>
            </w:r>
          </w:p>
        </w:tc>
        <w:tc>
          <w:tcPr>
            <w:tcW w:w="74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49B5C8" w14:textId="77777777" w:rsidR="00AD6F20" w:rsidRDefault="00000000">
            <w:pPr>
              <w:pStyle w:val="TableText"/>
              <w:jc w:val="center"/>
            </w:pPr>
            <w:r>
              <w:t>Every sharps injury should be reported, even when the source patient seems low risk.</w:t>
            </w:r>
          </w:p>
        </w:tc>
        <w:tc>
          <w:tcPr>
            <w:tcW w:w="141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CFBE48" w14:textId="77777777" w:rsidR="00AD6F20" w:rsidRDefault="00000000">
            <w:pPr>
              <w:pStyle w:val="TableText"/>
              <w:jc w:val="center"/>
            </w:pPr>
            <w:r>
              <w:t>Positive</w:t>
            </w:r>
          </w:p>
        </w:tc>
      </w:tr>
      <w:tr w:rsidR="00AD6F20" w14:paraId="6983AFE4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890DE6" w14:textId="77777777" w:rsidR="00AD6F20" w:rsidRDefault="00000000">
            <w:pPr>
              <w:pStyle w:val="TableText"/>
            </w:pPr>
            <w:r>
              <w:t>AT2</w:t>
            </w:r>
          </w:p>
        </w:tc>
        <w:tc>
          <w:tcPr>
            <w:tcW w:w="74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E70CA3" w14:textId="77777777" w:rsidR="00AD6F20" w:rsidRDefault="00000000">
            <w:pPr>
              <w:pStyle w:val="TableText"/>
              <w:jc w:val="center"/>
            </w:pPr>
            <w:r>
              <w:t>Reporting a needlestick usually causes blame and should be avoided for minor injuries.</w:t>
            </w:r>
          </w:p>
        </w:tc>
        <w:tc>
          <w:tcPr>
            <w:tcW w:w="141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DCD27C" w14:textId="77777777" w:rsidR="00AD6F20" w:rsidRDefault="00000000">
            <w:pPr>
              <w:pStyle w:val="TableText"/>
              <w:jc w:val="center"/>
            </w:pPr>
            <w:r>
              <w:t>Reverse</w:t>
            </w:r>
          </w:p>
        </w:tc>
      </w:tr>
      <w:tr w:rsidR="00AD6F20" w14:paraId="7EBF809C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FBDA7" w14:textId="77777777" w:rsidR="00AD6F20" w:rsidRDefault="00000000">
            <w:pPr>
              <w:pStyle w:val="TableText"/>
            </w:pPr>
            <w:r>
              <w:t>AT3</w:t>
            </w:r>
          </w:p>
        </w:tc>
        <w:tc>
          <w:tcPr>
            <w:tcW w:w="74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1BAB3A" w14:textId="77777777" w:rsidR="00AD6F20" w:rsidRDefault="00000000">
            <w:pPr>
              <w:pStyle w:val="TableText"/>
              <w:jc w:val="center"/>
            </w:pPr>
            <w:r>
              <w:t>Ward managers share responsibility for making sharps handling safer.</w:t>
            </w:r>
          </w:p>
        </w:tc>
        <w:tc>
          <w:tcPr>
            <w:tcW w:w="141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8497C7" w14:textId="77777777" w:rsidR="00AD6F20" w:rsidRDefault="00000000">
            <w:pPr>
              <w:pStyle w:val="TableText"/>
              <w:jc w:val="center"/>
            </w:pPr>
            <w:r>
              <w:t>Positive</w:t>
            </w:r>
          </w:p>
        </w:tc>
      </w:tr>
      <w:tr w:rsidR="00AD6F20" w14:paraId="7CED883E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B5E047" w14:textId="77777777" w:rsidR="00AD6F20" w:rsidRDefault="00000000">
            <w:pPr>
              <w:pStyle w:val="TableText"/>
            </w:pPr>
            <w:r>
              <w:t>AT4</w:t>
            </w:r>
          </w:p>
        </w:tc>
        <w:tc>
          <w:tcPr>
            <w:tcW w:w="74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69C428" w14:textId="77777777" w:rsidR="00AD6F20" w:rsidRDefault="00000000">
            <w:pPr>
              <w:pStyle w:val="TableText"/>
              <w:jc w:val="center"/>
            </w:pPr>
            <w:r>
              <w:t>Safety-engineered devices deserve priority in high-exposure procedures.</w:t>
            </w:r>
          </w:p>
        </w:tc>
        <w:tc>
          <w:tcPr>
            <w:tcW w:w="141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970D7E" w14:textId="77777777" w:rsidR="00AD6F20" w:rsidRDefault="00000000">
            <w:pPr>
              <w:pStyle w:val="TableText"/>
              <w:jc w:val="center"/>
            </w:pPr>
            <w:r>
              <w:t>Positive</w:t>
            </w:r>
          </w:p>
        </w:tc>
      </w:tr>
      <w:tr w:rsidR="00AD6F20" w14:paraId="0AD8188E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909AD3" w14:textId="77777777" w:rsidR="00AD6F20" w:rsidRDefault="00000000">
            <w:pPr>
              <w:pStyle w:val="TableText"/>
            </w:pPr>
            <w:r>
              <w:t>AT5</w:t>
            </w:r>
          </w:p>
        </w:tc>
        <w:tc>
          <w:tcPr>
            <w:tcW w:w="74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906480" w14:textId="77777777" w:rsidR="00AD6F20" w:rsidRDefault="00000000">
            <w:pPr>
              <w:pStyle w:val="TableText"/>
              <w:jc w:val="center"/>
            </w:pPr>
            <w:r>
              <w:t>A nurse should feel able to stop a procedure when disposal conditions are unsafe.</w:t>
            </w:r>
          </w:p>
        </w:tc>
        <w:tc>
          <w:tcPr>
            <w:tcW w:w="141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6C3FCB" w14:textId="77777777" w:rsidR="00AD6F20" w:rsidRDefault="00000000">
            <w:pPr>
              <w:pStyle w:val="TableText"/>
              <w:jc w:val="center"/>
            </w:pPr>
            <w:r>
              <w:t>Positive</w:t>
            </w:r>
          </w:p>
        </w:tc>
      </w:tr>
      <w:tr w:rsidR="00AD6F20" w14:paraId="566DC258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32AFD8" w14:textId="77777777" w:rsidR="00AD6F20" w:rsidRDefault="00000000">
            <w:pPr>
              <w:pStyle w:val="TableText"/>
            </w:pPr>
            <w:r>
              <w:t>AT6</w:t>
            </w:r>
          </w:p>
        </w:tc>
        <w:tc>
          <w:tcPr>
            <w:tcW w:w="74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90A40B" w14:textId="77777777" w:rsidR="00AD6F20" w:rsidRDefault="00000000">
            <w:pPr>
              <w:pStyle w:val="TableText"/>
              <w:jc w:val="center"/>
            </w:pPr>
            <w:r>
              <w:t>Needlestick injuries are an unavoidable part of nursing work.</w:t>
            </w:r>
          </w:p>
        </w:tc>
        <w:tc>
          <w:tcPr>
            <w:tcW w:w="141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22B24" w14:textId="77777777" w:rsidR="00AD6F20" w:rsidRDefault="00000000">
            <w:pPr>
              <w:pStyle w:val="TableText"/>
              <w:jc w:val="center"/>
            </w:pPr>
            <w:r>
              <w:t>Reverse</w:t>
            </w:r>
          </w:p>
        </w:tc>
      </w:tr>
      <w:tr w:rsidR="00AD6F20" w14:paraId="17FA70C4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C581A2" w14:textId="77777777" w:rsidR="00AD6F20" w:rsidRDefault="00000000">
            <w:pPr>
              <w:pStyle w:val="TableText"/>
            </w:pPr>
            <w:r>
              <w:t>AT7</w:t>
            </w:r>
          </w:p>
        </w:tc>
        <w:tc>
          <w:tcPr>
            <w:tcW w:w="74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0B119E" w14:textId="77777777" w:rsidR="00AD6F20" w:rsidRDefault="00000000">
            <w:pPr>
              <w:pStyle w:val="TableText"/>
              <w:jc w:val="center"/>
            </w:pPr>
            <w:r>
              <w:t>Exposure surveillance helps improve patient and worker safety.</w:t>
            </w:r>
          </w:p>
        </w:tc>
        <w:tc>
          <w:tcPr>
            <w:tcW w:w="141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AFDE93" w14:textId="77777777" w:rsidR="00AD6F20" w:rsidRDefault="00000000">
            <w:pPr>
              <w:pStyle w:val="TableText"/>
              <w:jc w:val="center"/>
            </w:pPr>
            <w:r>
              <w:t>Positive</w:t>
            </w:r>
          </w:p>
        </w:tc>
      </w:tr>
      <w:tr w:rsidR="00AD6F20" w14:paraId="128D277E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C4CDFD" w14:textId="77777777" w:rsidR="00AD6F20" w:rsidRDefault="00000000">
            <w:pPr>
              <w:pStyle w:val="TableText"/>
            </w:pPr>
            <w:r>
              <w:t>AT8</w:t>
            </w:r>
          </w:p>
        </w:tc>
        <w:tc>
          <w:tcPr>
            <w:tcW w:w="74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1F6B5C" w14:textId="77777777" w:rsidR="00AD6F20" w:rsidRDefault="00000000">
            <w:pPr>
              <w:pStyle w:val="TableText"/>
              <w:jc w:val="center"/>
            </w:pPr>
            <w:r>
              <w:t>Starting PEP promptly is important even when it disrupts routine work.</w:t>
            </w:r>
          </w:p>
        </w:tc>
        <w:tc>
          <w:tcPr>
            <w:tcW w:w="141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66530F" w14:textId="77777777" w:rsidR="00AD6F20" w:rsidRDefault="00000000">
            <w:pPr>
              <w:pStyle w:val="TableText"/>
              <w:jc w:val="center"/>
            </w:pPr>
            <w:r>
              <w:t>Positive</w:t>
            </w:r>
          </w:p>
        </w:tc>
      </w:tr>
      <w:tr w:rsidR="00AD6F20" w14:paraId="58AF1B80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30CA5B" w14:textId="77777777" w:rsidR="00AD6F20" w:rsidRDefault="00000000">
            <w:pPr>
              <w:pStyle w:val="TableText"/>
            </w:pPr>
            <w:r>
              <w:t>AT9</w:t>
            </w:r>
          </w:p>
        </w:tc>
        <w:tc>
          <w:tcPr>
            <w:tcW w:w="74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CFDB7E" w14:textId="77777777" w:rsidR="00AD6F20" w:rsidRDefault="00000000">
            <w:pPr>
              <w:pStyle w:val="TableText"/>
              <w:jc w:val="center"/>
            </w:pPr>
            <w:r>
              <w:t>Staff should receive feedback after reported sharps incidents.</w:t>
            </w:r>
          </w:p>
        </w:tc>
        <w:tc>
          <w:tcPr>
            <w:tcW w:w="141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242512" w14:textId="77777777" w:rsidR="00AD6F20" w:rsidRDefault="00000000">
            <w:pPr>
              <w:pStyle w:val="TableText"/>
              <w:jc w:val="center"/>
            </w:pPr>
            <w:r>
              <w:t>Positive</w:t>
            </w:r>
          </w:p>
        </w:tc>
      </w:tr>
      <w:tr w:rsidR="00AD6F20" w14:paraId="4FA1B46D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BECFFF" w14:textId="77777777" w:rsidR="00AD6F20" w:rsidRDefault="00000000">
            <w:pPr>
              <w:pStyle w:val="TableText"/>
            </w:pPr>
            <w:r>
              <w:t>AT10</w:t>
            </w:r>
          </w:p>
        </w:tc>
        <w:tc>
          <w:tcPr>
            <w:tcW w:w="74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3E42F4" w14:textId="77777777" w:rsidR="00AD6F20" w:rsidRDefault="00000000">
            <w:pPr>
              <w:pStyle w:val="TableText"/>
              <w:jc w:val="center"/>
            </w:pPr>
            <w:r>
              <w:t>Non-punitive reporting encourages prevention.</w:t>
            </w:r>
          </w:p>
        </w:tc>
        <w:tc>
          <w:tcPr>
            <w:tcW w:w="141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9B51E6" w14:textId="77777777" w:rsidR="00AD6F20" w:rsidRDefault="00000000">
            <w:pPr>
              <w:pStyle w:val="TableText"/>
              <w:jc w:val="center"/>
            </w:pPr>
            <w:r>
              <w:t>Positive</w:t>
            </w:r>
          </w:p>
        </w:tc>
      </w:tr>
    </w:tbl>
    <w:p w14:paraId="0993AB91" w14:textId="77777777" w:rsidR="00AD6F20" w:rsidRDefault="00000000">
      <w:pPr>
        <w:pStyle w:val="Heading1"/>
      </w:pPr>
      <w:r>
        <w:t>Section E. Practice scale: 12 items</w:t>
      </w:r>
    </w:p>
    <w:p w14:paraId="012997B8" w14:textId="77777777" w:rsidR="00AD6F20" w:rsidRDefault="00000000">
      <w:r>
        <w:t>Frequency response options were Never, Sometimes and Always. Each item carried equal weight and used binary scoring. For positively worded safe practices, Always scored 1; Sometimes and Never scored 0. For unsafe items P2, P4 and P6, Never scored 1; Sometimes and Always scored 0. The total range was 0–12. Safer practice was defined as 10–12 (≥83.3%). The study team specified this competency benchmark before outcome analysis and used it for descriptive classification.</w:t>
      </w:r>
    </w:p>
    <w:tbl>
      <w:tblPr>
        <w:tblStyle w:val="TableGrid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6804"/>
        <w:gridCol w:w="2041"/>
      </w:tblGrid>
      <w:tr w:rsidR="00AD6F20" w14:paraId="53BB17C0" w14:textId="77777777">
        <w:trPr>
          <w:tblHeader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AE309B" w14:textId="77777777" w:rsidR="00AD6F20" w:rsidRDefault="00000000">
            <w:pPr>
              <w:pStyle w:val="TableText"/>
              <w:jc w:val="center"/>
            </w:pPr>
            <w:r>
              <w:rPr>
                <w:b/>
              </w:rPr>
              <w:t>Item</w:t>
            </w:r>
          </w:p>
        </w:tc>
        <w:tc>
          <w:tcPr>
            <w:tcW w:w="68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8B7E15" w14:textId="77777777" w:rsidR="00AD6F20" w:rsidRDefault="00000000">
            <w:pPr>
              <w:pStyle w:val="TableText"/>
              <w:jc w:val="center"/>
            </w:pPr>
            <w:r>
              <w:rPr>
                <w:b/>
              </w:rPr>
              <w:t>Practice statement</w:t>
            </w:r>
          </w:p>
        </w:tc>
        <w:tc>
          <w:tcPr>
            <w:tcW w:w="204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70AD74" w14:textId="77777777" w:rsidR="00AD6F20" w:rsidRDefault="00000000">
            <w:pPr>
              <w:pStyle w:val="TableText"/>
              <w:jc w:val="center"/>
            </w:pPr>
            <w:r>
              <w:rPr>
                <w:b/>
              </w:rPr>
              <w:t>Safest response</w:t>
            </w:r>
          </w:p>
        </w:tc>
      </w:tr>
      <w:tr w:rsidR="00AD6F20" w14:paraId="5BA08D44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8B0E12" w14:textId="77777777" w:rsidR="00AD6F20" w:rsidRDefault="00000000">
            <w:pPr>
              <w:pStyle w:val="TableText"/>
            </w:pPr>
            <w:r>
              <w:t>P1</w:t>
            </w:r>
          </w:p>
        </w:tc>
        <w:tc>
          <w:tcPr>
            <w:tcW w:w="68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A7A2E7" w14:textId="77777777" w:rsidR="00AD6F20" w:rsidRDefault="00000000">
            <w:pPr>
              <w:pStyle w:val="TableText"/>
              <w:jc w:val="center"/>
            </w:pPr>
            <w:r>
              <w:t>Dispose of a used needle immediately after the procedure.</w:t>
            </w:r>
          </w:p>
        </w:tc>
        <w:tc>
          <w:tcPr>
            <w:tcW w:w="204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215402" w14:textId="77777777" w:rsidR="00AD6F20" w:rsidRDefault="00000000">
            <w:pPr>
              <w:pStyle w:val="TableText"/>
              <w:jc w:val="center"/>
            </w:pPr>
            <w:r>
              <w:t>Always</w:t>
            </w:r>
          </w:p>
        </w:tc>
      </w:tr>
      <w:tr w:rsidR="00AD6F20" w14:paraId="2616F4CD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5860EA" w14:textId="77777777" w:rsidR="00AD6F20" w:rsidRDefault="00000000">
            <w:pPr>
              <w:pStyle w:val="TableText"/>
            </w:pPr>
            <w:r>
              <w:t>P2</w:t>
            </w:r>
          </w:p>
        </w:tc>
        <w:tc>
          <w:tcPr>
            <w:tcW w:w="68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ACA7A" w14:textId="77777777" w:rsidR="00AD6F20" w:rsidRDefault="00000000">
            <w:pPr>
              <w:pStyle w:val="TableText"/>
              <w:jc w:val="center"/>
            </w:pPr>
            <w:r>
              <w:t>Recap a used needle before disposal.</w:t>
            </w:r>
          </w:p>
        </w:tc>
        <w:tc>
          <w:tcPr>
            <w:tcW w:w="204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865926" w14:textId="77777777" w:rsidR="00AD6F20" w:rsidRDefault="00000000">
            <w:pPr>
              <w:pStyle w:val="TableText"/>
              <w:jc w:val="center"/>
            </w:pPr>
            <w:r>
              <w:t>Never; reverse scored</w:t>
            </w:r>
          </w:p>
        </w:tc>
      </w:tr>
      <w:tr w:rsidR="00AD6F20" w14:paraId="438666AA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BA28D3" w14:textId="77777777" w:rsidR="00AD6F20" w:rsidRDefault="00000000">
            <w:pPr>
              <w:pStyle w:val="TableText"/>
            </w:pPr>
            <w:r>
              <w:t>P3</w:t>
            </w:r>
          </w:p>
        </w:tc>
        <w:tc>
          <w:tcPr>
            <w:tcW w:w="68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BD0403" w14:textId="77777777" w:rsidR="00AD6F20" w:rsidRDefault="00000000">
            <w:pPr>
              <w:pStyle w:val="TableText"/>
              <w:jc w:val="center"/>
            </w:pPr>
            <w:r>
              <w:t>Place the sharps container within reach before beginning a procedure.</w:t>
            </w:r>
          </w:p>
        </w:tc>
        <w:tc>
          <w:tcPr>
            <w:tcW w:w="204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4FCD5E" w14:textId="77777777" w:rsidR="00AD6F20" w:rsidRDefault="00000000">
            <w:pPr>
              <w:pStyle w:val="TableText"/>
              <w:jc w:val="center"/>
            </w:pPr>
            <w:r>
              <w:t>Always</w:t>
            </w:r>
          </w:p>
        </w:tc>
      </w:tr>
      <w:tr w:rsidR="00AD6F20" w14:paraId="5DF3BBCF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1D6798" w14:textId="77777777" w:rsidR="00AD6F20" w:rsidRDefault="00000000">
            <w:pPr>
              <w:pStyle w:val="TableText"/>
            </w:pPr>
            <w:r>
              <w:t>P4</w:t>
            </w:r>
          </w:p>
        </w:tc>
        <w:tc>
          <w:tcPr>
            <w:tcW w:w="68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1BF1E9" w14:textId="77777777" w:rsidR="00AD6F20" w:rsidRDefault="00000000">
            <w:pPr>
              <w:pStyle w:val="TableText"/>
              <w:jc w:val="center"/>
            </w:pPr>
            <w:r>
              <w:t>Continue using a sharps container after the fill line is reached.</w:t>
            </w:r>
          </w:p>
        </w:tc>
        <w:tc>
          <w:tcPr>
            <w:tcW w:w="204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1C3A42" w14:textId="77777777" w:rsidR="00AD6F20" w:rsidRDefault="00000000">
            <w:pPr>
              <w:pStyle w:val="TableText"/>
              <w:jc w:val="center"/>
            </w:pPr>
            <w:r>
              <w:t>Never; reverse scored</w:t>
            </w:r>
          </w:p>
        </w:tc>
      </w:tr>
      <w:tr w:rsidR="00AD6F20" w14:paraId="6F42BBDF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78E4A0" w14:textId="77777777" w:rsidR="00AD6F20" w:rsidRDefault="00000000">
            <w:pPr>
              <w:pStyle w:val="TableText"/>
            </w:pPr>
            <w:r>
              <w:t>P5</w:t>
            </w:r>
          </w:p>
        </w:tc>
        <w:tc>
          <w:tcPr>
            <w:tcW w:w="68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E7D05A" w14:textId="77777777" w:rsidR="00AD6F20" w:rsidRDefault="00000000">
            <w:pPr>
              <w:pStyle w:val="TableText"/>
              <w:jc w:val="center"/>
            </w:pPr>
            <w:r>
              <w:t>Wear gloves when blood exposure is anticipated.</w:t>
            </w:r>
          </w:p>
        </w:tc>
        <w:tc>
          <w:tcPr>
            <w:tcW w:w="204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30DAB2" w14:textId="77777777" w:rsidR="00AD6F20" w:rsidRDefault="00000000">
            <w:pPr>
              <w:pStyle w:val="TableText"/>
              <w:jc w:val="center"/>
            </w:pPr>
            <w:r>
              <w:t>Always</w:t>
            </w:r>
          </w:p>
        </w:tc>
      </w:tr>
      <w:tr w:rsidR="00AD6F20" w14:paraId="4F37FC62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2E58B7" w14:textId="77777777" w:rsidR="00AD6F20" w:rsidRDefault="00000000">
            <w:pPr>
              <w:pStyle w:val="TableText"/>
            </w:pPr>
            <w:r>
              <w:lastRenderedPageBreak/>
              <w:t>P6</w:t>
            </w:r>
          </w:p>
        </w:tc>
        <w:tc>
          <w:tcPr>
            <w:tcW w:w="68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0E4451" w14:textId="77777777" w:rsidR="00AD6F20" w:rsidRDefault="00000000">
            <w:pPr>
              <w:pStyle w:val="TableText"/>
              <w:jc w:val="center"/>
            </w:pPr>
            <w:r>
              <w:t>Carry an exposed used sharp between beds or procedure areas.</w:t>
            </w:r>
          </w:p>
        </w:tc>
        <w:tc>
          <w:tcPr>
            <w:tcW w:w="204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5F9730" w14:textId="77777777" w:rsidR="00AD6F20" w:rsidRDefault="00000000">
            <w:pPr>
              <w:pStyle w:val="TableText"/>
              <w:jc w:val="center"/>
            </w:pPr>
            <w:r>
              <w:t>Never; reverse scored</w:t>
            </w:r>
          </w:p>
        </w:tc>
      </w:tr>
      <w:tr w:rsidR="00AD6F20" w14:paraId="76DA3BC3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DA1451" w14:textId="77777777" w:rsidR="00AD6F20" w:rsidRDefault="00000000">
            <w:pPr>
              <w:pStyle w:val="TableText"/>
            </w:pPr>
            <w:r>
              <w:t>P7</w:t>
            </w:r>
          </w:p>
        </w:tc>
        <w:tc>
          <w:tcPr>
            <w:tcW w:w="68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A43AA" w14:textId="77777777" w:rsidR="00AD6F20" w:rsidRDefault="00000000">
            <w:pPr>
              <w:pStyle w:val="TableText"/>
              <w:jc w:val="center"/>
            </w:pPr>
            <w:r>
              <w:t>Report a needlestick through the hospital procedure.</w:t>
            </w:r>
          </w:p>
        </w:tc>
        <w:tc>
          <w:tcPr>
            <w:tcW w:w="204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129B3D" w14:textId="77777777" w:rsidR="00AD6F20" w:rsidRDefault="00000000">
            <w:pPr>
              <w:pStyle w:val="TableText"/>
              <w:jc w:val="center"/>
            </w:pPr>
            <w:r>
              <w:t>Always</w:t>
            </w:r>
          </w:p>
        </w:tc>
      </w:tr>
      <w:tr w:rsidR="00AD6F20" w14:paraId="2906ACD5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33A86B" w14:textId="77777777" w:rsidR="00AD6F20" w:rsidRDefault="00000000">
            <w:pPr>
              <w:pStyle w:val="TableText"/>
            </w:pPr>
            <w:r>
              <w:t>P8</w:t>
            </w:r>
          </w:p>
        </w:tc>
        <w:tc>
          <w:tcPr>
            <w:tcW w:w="68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D0DF06" w14:textId="77777777" w:rsidR="00AD6F20" w:rsidRDefault="00000000">
            <w:pPr>
              <w:pStyle w:val="TableText"/>
              <w:jc w:val="center"/>
            </w:pPr>
            <w:r>
              <w:t>Perform immediate first aid after an injury.</w:t>
            </w:r>
          </w:p>
        </w:tc>
        <w:tc>
          <w:tcPr>
            <w:tcW w:w="204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08ADF7" w14:textId="77777777" w:rsidR="00AD6F20" w:rsidRDefault="00000000">
            <w:pPr>
              <w:pStyle w:val="TableText"/>
              <w:jc w:val="center"/>
            </w:pPr>
            <w:r>
              <w:t>Always</w:t>
            </w:r>
          </w:p>
        </w:tc>
      </w:tr>
      <w:tr w:rsidR="00AD6F20" w14:paraId="3FD6CA4B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212187" w14:textId="77777777" w:rsidR="00AD6F20" w:rsidRDefault="00000000">
            <w:pPr>
              <w:pStyle w:val="TableText"/>
            </w:pPr>
            <w:r>
              <w:t>P9</w:t>
            </w:r>
          </w:p>
        </w:tc>
        <w:tc>
          <w:tcPr>
            <w:tcW w:w="68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0FE9B9" w14:textId="77777777" w:rsidR="00AD6F20" w:rsidRDefault="00000000">
            <w:pPr>
              <w:pStyle w:val="TableText"/>
              <w:jc w:val="center"/>
            </w:pPr>
            <w:r>
              <w:t>Seek PEP assessment promptly after a potentially infectious exposure.</w:t>
            </w:r>
          </w:p>
        </w:tc>
        <w:tc>
          <w:tcPr>
            <w:tcW w:w="204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862219" w14:textId="77777777" w:rsidR="00AD6F20" w:rsidRDefault="00000000">
            <w:pPr>
              <w:pStyle w:val="TableText"/>
              <w:jc w:val="center"/>
            </w:pPr>
            <w:r>
              <w:t>Always</w:t>
            </w:r>
          </w:p>
        </w:tc>
      </w:tr>
      <w:tr w:rsidR="00AD6F20" w14:paraId="7F6F0000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1B6789" w14:textId="77777777" w:rsidR="00AD6F20" w:rsidRDefault="00000000">
            <w:pPr>
              <w:pStyle w:val="TableText"/>
            </w:pPr>
            <w:r>
              <w:t>P10</w:t>
            </w:r>
          </w:p>
        </w:tc>
        <w:tc>
          <w:tcPr>
            <w:tcW w:w="68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5FB8FA" w14:textId="77777777" w:rsidR="00AD6F20" w:rsidRDefault="00000000">
            <w:pPr>
              <w:pStyle w:val="TableText"/>
              <w:jc w:val="center"/>
            </w:pPr>
            <w:r>
              <w:t>Activate the safety feature when a safety-engineered device is used.</w:t>
            </w:r>
          </w:p>
        </w:tc>
        <w:tc>
          <w:tcPr>
            <w:tcW w:w="204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48303A" w14:textId="77777777" w:rsidR="00AD6F20" w:rsidRDefault="00000000">
            <w:pPr>
              <w:pStyle w:val="TableText"/>
              <w:jc w:val="center"/>
            </w:pPr>
            <w:r>
              <w:t>Always</w:t>
            </w:r>
          </w:p>
        </w:tc>
      </w:tr>
      <w:tr w:rsidR="00AD6F20" w14:paraId="19C8EECC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00585" w14:textId="77777777" w:rsidR="00AD6F20" w:rsidRDefault="00000000">
            <w:pPr>
              <w:pStyle w:val="TableText"/>
            </w:pPr>
            <w:r>
              <w:t>P11</w:t>
            </w:r>
          </w:p>
        </w:tc>
        <w:tc>
          <w:tcPr>
            <w:tcW w:w="68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C0B387" w14:textId="77777777" w:rsidR="00AD6F20" w:rsidRDefault="00000000">
            <w:pPr>
              <w:pStyle w:val="TableText"/>
              <w:jc w:val="center"/>
            </w:pPr>
            <w:r>
              <w:t>Check that a sharps container is available before starting a procedure.</w:t>
            </w:r>
          </w:p>
        </w:tc>
        <w:tc>
          <w:tcPr>
            <w:tcW w:w="204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B437AF" w14:textId="77777777" w:rsidR="00AD6F20" w:rsidRDefault="00000000">
            <w:pPr>
              <w:pStyle w:val="TableText"/>
              <w:jc w:val="center"/>
            </w:pPr>
            <w:r>
              <w:t>Always</w:t>
            </w:r>
          </w:p>
        </w:tc>
      </w:tr>
      <w:tr w:rsidR="00AD6F20" w14:paraId="1762B386" w14:textId="77777777">
        <w:trPr>
          <w:cantSplit/>
          <w:jc w:val="center"/>
        </w:trPr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DC0C1" w14:textId="77777777" w:rsidR="00AD6F20" w:rsidRDefault="00000000">
            <w:pPr>
              <w:pStyle w:val="TableText"/>
            </w:pPr>
            <w:r>
              <w:t>P12</w:t>
            </w:r>
          </w:p>
        </w:tc>
        <w:tc>
          <w:tcPr>
            <w:tcW w:w="680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58923E" w14:textId="77777777" w:rsidR="00AD6F20" w:rsidRDefault="00000000">
            <w:pPr>
              <w:pStyle w:val="TableText"/>
              <w:jc w:val="center"/>
            </w:pPr>
            <w:r>
              <w:t>Ask for replacement when sharps containers or protective supplies are unavailable.</w:t>
            </w:r>
          </w:p>
        </w:tc>
        <w:tc>
          <w:tcPr>
            <w:tcW w:w="204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EF1E1A" w14:textId="77777777" w:rsidR="00AD6F20" w:rsidRDefault="00000000">
            <w:pPr>
              <w:pStyle w:val="TableText"/>
              <w:jc w:val="center"/>
            </w:pPr>
            <w:r>
              <w:t>Always</w:t>
            </w:r>
          </w:p>
        </w:tc>
      </w:tr>
    </w:tbl>
    <w:p w14:paraId="408DDA9F" w14:textId="77777777" w:rsidR="00AD6F20" w:rsidRDefault="00000000">
      <w:pPr>
        <w:pStyle w:val="Heading1"/>
      </w:pPr>
      <w:r>
        <w:t>Scoring and quality-control algorithm</w:t>
      </w:r>
    </w:p>
    <w:p w14:paraId="1D08CF6B" w14:textId="77777777" w:rsidR="00AD6F20" w:rsidRDefault="00000000">
      <w:pPr>
        <w:pStyle w:val="ListNumber"/>
        <w:spacing w:after="20"/>
      </w:pPr>
      <w:r>
        <w:t>Calculate each domain score only when all items are answered. Code the domain as missing when any item is unanswered.</w:t>
      </w:r>
    </w:p>
    <w:p w14:paraId="760A048C" w14:textId="77777777" w:rsidR="00AD6F20" w:rsidRDefault="00000000">
      <w:pPr>
        <w:pStyle w:val="ListNumber"/>
        <w:spacing w:after="20"/>
      </w:pPr>
      <w:r>
        <w:t>Calculate KR-20 for the dichotomous knowledge items and Cronbach alpha for attitude and practice items. Observed values were 0.76, 0.82 and 0.78, respectively.</w:t>
      </w:r>
    </w:p>
    <w:p w14:paraId="795D7667" w14:textId="77777777" w:rsidR="00AD6F20" w:rsidRDefault="00000000">
      <w:pPr>
        <w:pStyle w:val="ListNumber"/>
        <w:spacing w:after="20"/>
      </w:pPr>
      <w:r>
        <w:t>Report continuous domain scores and the prespecified categories. Treat category thresholds as descriptive competency benchmarks.</w:t>
      </w:r>
    </w:p>
    <w:p w14:paraId="11943DE3" w14:textId="77777777" w:rsidR="00AD6F20" w:rsidRDefault="00000000">
      <w:pPr>
        <w:pStyle w:val="ListNumber"/>
        <w:spacing w:after="20"/>
      </w:pPr>
      <w:r>
        <w:t>Use continuous standardized domain scores in sensitivity analyses to assess dependence on the cutoffs.</w:t>
      </w:r>
    </w:p>
    <w:p w14:paraId="7F16F9AA" w14:textId="77777777" w:rsidR="00AD6F20" w:rsidRDefault="00000000">
      <w:pPr>
        <w:pStyle w:val="ListNumber"/>
        <w:spacing w:after="20"/>
      </w:pPr>
      <w:r>
        <w:t>The primary model excluded the composite practice score because recapping and point-of-care disposal are component items.</w:t>
      </w:r>
    </w:p>
    <w:p w14:paraId="2F74E48C" w14:textId="77777777" w:rsidR="00AD6F20" w:rsidRDefault="00000000">
      <w:pPr>
        <w:pStyle w:val="ListNumber"/>
        <w:spacing w:after="20"/>
      </w:pPr>
      <w:r>
        <w:t>Keep HBV vaccination in four categories: fully vaccinated, partially vaccinated, unvaccinated and undocumented. Full vaccination means a completed three-dose schedule and partial vaccination means one or two doses. Check the dose count in A17 against the category reported in A16.</w:t>
      </w:r>
    </w:p>
    <w:p w14:paraId="32709704" w14:textId="77777777" w:rsidR="00AD6F20" w:rsidRDefault="00000000">
      <w:pPr>
        <w:pStyle w:val="ListNumber"/>
        <w:spacing w:after="20"/>
      </w:pPr>
      <w:r>
        <w:t>Apply the Section B branching rules so each PEP percentage uses the clinical denominator for that stage.</w:t>
      </w:r>
    </w:p>
    <w:sectPr w:rsidR="00AD6F20" w:rsidSect="00034616">
      <w:footerReference w:type="default" r:id="rId7"/>
      <w:pgSz w:w="11906" w:h="16838"/>
      <w:pgMar w:top="1020" w:right="1020" w:bottom="1020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47476" w14:textId="77777777" w:rsidR="0050134A" w:rsidRDefault="0050134A">
      <w:pPr>
        <w:spacing w:line="240" w:lineRule="auto"/>
      </w:pPr>
      <w:r>
        <w:separator/>
      </w:r>
    </w:p>
  </w:endnote>
  <w:endnote w:type="continuationSeparator" w:id="0">
    <w:p w14:paraId="2B67A03C" w14:textId="77777777" w:rsidR="0050134A" w:rsidRDefault="005013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C57CD" w14:textId="77777777" w:rsidR="00AD6F20" w:rsidRDefault="00000000">
    <w:pPr>
      <w:pStyle w:val="Footer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5B3D2E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3C7AE" w14:textId="77777777" w:rsidR="0050134A" w:rsidRDefault="0050134A">
      <w:pPr>
        <w:spacing w:line="240" w:lineRule="auto"/>
      </w:pPr>
      <w:r>
        <w:separator/>
      </w:r>
    </w:p>
  </w:footnote>
  <w:footnote w:type="continuationSeparator" w:id="0">
    <w:p w14:paraId="519C3422" w14:textId="77777777" w:rsidR="0050134A" w:rsidRDefault="0050134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8962505">
    <w:abstractNumId w:val="8"/>
  </w:num>
  <w:num w:numId="2" w16cid:durableId="902331612">
    <w:abstractNumId w:val="6"/>
  </w:num>
  <w:num w:numId="3" w16cid:durableId="1123232547">
    <w:abstractNumId w:val="5"/>
  </w:num>
  <w:num w:numId="4" w16cid:durableId="544173030">
    <w:abstractNumId w:val="4"/>
  </w:num>
  <w:num w:numId="5" w16cid:durableId="684289119">
    <w:abstractNumId w:val="7"/>
  </w:num>
  <w:num w:numId="6" w16cid:durableId="217327737">
    <w:abstractNumId w:val="3"/>
  </w:num>
  <w:num w:numId="7" w16cid:durableId="573591365">
    <w:abstractNumId w:val="2"/>
  </w:num>
  <w:num w:numId="8" w16cid:durableId="861826213">
    <w:abstractNumId w:val="1"/>
  </w:num>
  <w:num w:numId="9" w16cid:durableId="619605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A76"/>
    <w:rsid w:val="0006063C"/>
    <w:rsid w:val="0015074B"/>
    <w:rsid w:val="00282C3F"/>
    <w:rsid w:val="0029639D"/>
    <w:rsid w:val="00326F90"/>
    <w:rsid w:val="003E4AE9"/>
    <w:rsid w:val="0050134A"/>
    <w:rsid w:val="005B3D2E"/>
    <w:rsid w:val="00AA1D8D"/>
    <w:rsid w:val="00AD6F20"/>
    <w:rsid w:val="00B47730"/>
    <w:rsid w:val="00B73E78"/>
    <w:rsid w:val="00CB0664"/>
    <w:rsid w:val="00FC693F"/>
    <w:rsid w:val="00FF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755F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  <w:jc w:val="both"/>
    </w:pPr>
    <w:rPr>
      <w:rFonts w:ascii="Times New Roman" w:eastAsia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 w:line="240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 w:line="240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0" w:line="240" w:lineRule="auto"/>
    </w:pPr>
    <w:rPr>
      <w:rFonts w:ascii="Times New Roman" w:eastAsia="Times New Roman" w:hAnsi="Times New Roman"/>
      <w:sz w:val="16"/>
    </w:rPr>
  </w:style>
  <w:style w:type="paragraph" w:customStyle="1" w:styleId="TableNote">
    <w:name w:val="Table Note"/>
    <w:pPr>
      <w:spacing w:before="40" w:after="80" w:line="240" w:lineRule="auto"/>
    </w:pPr>
    <w:rPr>
      <w:rFonts w:ascii="Times New Roman" w:eastAsia="Times New Roman" w:hAnsi="Times New Roman"/>
      <w:sz w:val="17"/>
    </w:rPr>
  </w:style>
  <w:style w:type="paragraph" w:customStyle="1" w:styleId="FigureLegend">
    <w:name w:val="Figure Legend"/>
    <w:pPr>
      <w:spacing w:before="40" w:after="120" w:line="240" w:lineRule="auto"/>
    </w:pPr>
    <w:rPr>
      <w:rFonts w:ascii="Times New Roman" w:eastAsia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1247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2026-08-17T06:23:00Z</dcterms:created>
  <dcterms:modified xsi:type="dcterms:W3CDTF">2026-08-17T06:28:00Z</dcterms:modified>
  <cp:category/>
</cp:coreProperties>
</file>