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ECA" w:rsidRPr="00481146" w:rsidRDefault="00150ECA" w:rsidP="00150ECA">
      <w:pPr>
        <w:pStyle w:val="Heading1"/>
        <w:rPr>
          <w:rFonts w:ascii="Times New Roman" w:hAnsi="Times New Roman" w:cs="Times New Roman"/>
          <w:color w:val="auto"/>
        </w:rPr>
      </w:pPr>
      <w:r w:rsidRPr="00A52A2D">
        <w:rPr>
          <w:rFonts w:ascii="Times New Roman" w:hAnsi="Times New Roman" w:cs="Times New Roman"/>
          <w:color w:val="auto"/>
        </w:rPr>
        <w:t>Supplem</w:t>
      </w:r>
      <w:r>
        <w:rPr>
          <w:rFonts w:ascii="Times New Roman" w:hAnsi="Times New Roman" w:cs="Times New Roman"/>
          <w:color w:val="auto"/>
        </w:rPr>
        <w:t>entary Table S1:</w:t>
      </w:r>
      <w:r w:rsidRPr="00A52A2D">
        <w:rPr>
          <w:rFonts w:ascii="Times New Roman" w:hAnsi="Times New Roman" w:cs="Times New Roman"/>
          <w:color w:val="auto"/>
        </w:rPr>
        <w:t xml:space="preserve"> JBI-informed appraisal of observational and cross-sectional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4"/>
        <w:gridCol w:w="504"/>
        <w:gridCol w:w="792"/>
        <w:gridCol w:w="1158"/>
        <w:gridCol w:w="792"/>
        <w:gridCol w:w="792"/>
        <w:gridCol w:w="994"/>
        <w:gridCol w:w="1002"/>
        <w:gridCol w:w="792"/>
        <w:gridCol w:w="792"/>
        <w:gridCol w:w="720"/>
        <w:gridCol w:w="3600"/>
      </w:tblGrid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Study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Ref.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Q1 Inclusion criteria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Q2 Subjects/setting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Q3 Exposure measure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Q4 Objective criteria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Q5 Confounders identified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Q6 Confounding addressed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Q7 Outcome measure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Q8 Analysis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Overall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Supporting rationale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Siebig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 xml:space="preserve"> et al., 2009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[2]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Measurement validity/reliability or common-method reporting required caution. Confounder identification/control was incomplete or unclear. Missing data/non-response handling was incompletely reported. Analysis or selective-reporting concerns could not be excluded.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Cho et al., 2016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[1]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Confounder identification/control was incomplete or unclear. Missing data/non-response handling was incompletely reported. Analysis or selective-reporting concerns could not be excluded.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Casey et al., 2018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[3]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Measurement validity/reliability or common-method reporting required caution. Confounder identification/control was incomplete or unclear. Missing data/non-response handling was incompletely reported. Analysis or selective-reporting concerns could not be excluded.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Asadi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 xml:space="preserve"> et al., 2022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[10]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Confounder identification/control was incomplete or unclear. Missing data/non-response handling was incompletely reported.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Ilter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 xml:space="preserve"> and </w:t>
            </w: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Ovayolu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>, 2023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[7]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Confounder identification/control was incomplete or unclear. Missing data/non-response handling was incompletely reported.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Seok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 xml:space="preserve"> et al., 2023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[8]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Confounder identification/control was incomplete or unclear. Missing data/non-response handling was incompletely reported.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Ferrara et al., 2023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[19]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Confounder identification/control was incomplete or unclear.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Bani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 xml:space="preserve"> Hani and Abu </w:t>
            </w: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Aqoulah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>, 2024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[18]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Confounder identification/control was incomplete or unclear. Missing data/non-response handling was incompletely reported.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Li et al., 2025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[5]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Confounder identification/control was incomplete or unclear.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Hohenwallner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 xml:space="preserve"> et al., 2025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[6]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N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N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insufficiently representative or incompletely described. Confounder identification/control was incomplete or unclear. Missing data/non-response handling was incompletely reported.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Sarioğlu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 xml:space="preserve"> and </w:t>
            </w: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Amarat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>, 2025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[12]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Confounder identification/control was incomplete or unclear.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Gülşen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 xml:space="preserve"> and </w:t>
            </w: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Arslan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>, 2025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[13]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Confounder identification/control was incomplete or unclear.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Katran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 xml:space="preserve"> et al., 2025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[16]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Confounder identification/control was incomplete or unclear.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lastRenderedPageBreak/>
              <w:t>Wang et al., 2025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[20]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Measurement validity/reliability or common-method reporting required caution. Confounder identification/control was incomplete or unclear. Missing data/non-response handling was incompletely reported. Analysis or selective-reporting concerns could not be excluded.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Yang et al., 2026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[4]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Confounder identification/control was incomplete or unclear.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Dong et al., 2026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[14]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Confounder identification/control was incomplete or unclear.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Ceran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 xml:space="preserve"> and </w:t>
            </w: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Güneş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>, 2026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[15]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Confounder identification/control was incomplete or unclear.</w:t>
            </w:r>
          </w:p>
        </w:tc>
      </w:tr>
      <w:tr w:rsidR="00150ECA" w:rsidRPr="00A52A2D" w:rsidTr="0034676C">
        <w:tc>
          <w:tcPr>
            <w:tcW w:w="194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Kwon and Kim, 2026</w:t>
            </w:r>
          </w:p>
        </w:tc>
        <w:tc>
          <w:tcPr>
            <w:tcW w:w="50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[17]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Y</w:t>
            </w:r>
          </w:p>
        </w:tc>
        <w:tc>
          <w:tcPr>
            <w:tcW w:w="7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U</w:t>
            </w:r>
          </w:p>
        </w:tc>
        <w:tc>
          <w:tcPr>
            <w:tcW w:w="36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Selection/recruitment had some concerns, commonly convenience or non-probability sampling. Confounder identification/control was incomplete or unclear.</w:t>
            </w:r>
          </w:p>
        </w:tc>
      </w:tr>
    </w:tbl>
    <w:p w:rsidR="00150ECA" w:rsidRPr="00A52A2D" w:rsidRDefault="00150ECA" w:rsidP="00150ECA">
      <w:pPr>
        <w:rPr>
          <w:rFonts w:ascii="Times New Roman" w:hAnsi="Times New Roman" w:cs="Times New Roman"/>
        </w:rPr>
      </w:pPr>
      <w:r w:rsidRPr="00A52A2D">
        <w:rPr>
          <w:rFonts w:ascii="Times New Roman" w:hAnsi="Times New Roman" w:cs="Times New Roman"/>
          <w:b/>
        </w:rPr>
        <w:t xml:space="preserve">Judgment key: </w:t>
      </w:r>
      <w:r w:rsidRPr="00A52A2D">
        <w:rPr>
          <w:rFonts w:ascii="Times New Roman" w:hAnsi="Times New Roman" w:cs="Times New Roman"/>
        </w:rPr>
        <w:t xml:space="preserve">Y = Yes / low concern; U = Unclear / some concerns; N = No / high concern; NA = not applicable. For </w:t>
      </w:r>
      <w:proofErr w:type="spellStart"/>
      <w:r w:rsidRPr="00A52A2D">
        <w:rPr>
          <w:rFonts w:ascii="Times New Roman" w:hAnsi="Times New Roman" w:cs="Times New Roman"/>
        </w:rPr>
        <w:t>RoB</w:t>
      </w:r>
      <w:proofErr w:type="spellEnd"/>
      <w:r w:rsidRPr="00A52A2D">
        <w:rPr>
          <w:rFonts w:ascii="Times New Roman" w:hAnsi="Times New Roman" w:cs="Times New Roman"/>
        </w:rPr>
        <w:t xml:space="preserve"> 2: L = low risk; S = some concerns; H = high risk.</w:t>
      </w:r>
    </w:p>
    <w:p w:rsidR="00150ECA" w:rsidRPr="00A52A2D" w:rsidRDefault="00150ECA" w:rsidP="00150ECA">
      <w:pPr>
        <w:rPr>
          <w:rFonts w:ascii="Times New Roman" w:hAnsi="Times New Roman" w:cs="Times New Roman"/>
        </w:rPr>
        <w:sectPr w:rsidR="00150ECA" w:rsidRPr="00A52A2D">
          <w:pgSz w:w="15840" w:h="12240" w:orient="landscape"/>
          <w:pgMar w:top="576" w:right="576" w:bottom="576" w:left="576" w:header="720" w:footer="720" w:gutter="0"/>
          <w:cols w:space="720"/>
          <w:docGrid w:linePitch="360"/>
        </w:sectPr>
      </w:pPr>
    </w:p>
    <w:p w:rsidR="00150ECA" w:rsidRPr="00A52A2D" w:rsidRDefault="00150ECA" w:rsidP="00150ECA">
      <w:pPr>
        <w:pStyle w:val="Heading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Supplementary Table S2: </w:t>
      </w:r>
      <w:r w:rsidRPr="00A52A2D">
        <w:rPr>
          <w:rFonts w:ascii="Times New Roman" w:hAnsi="Times New Roman" w:cs="Times New Roman"/>
          <w:color w:val="auto"/>
        </w:rPr>
        <w:t xml:space="preserve">Cochrane </w:t>
      </w:r>
      <w:proofErr w:type="spellStart"/>
      <w:r w:rsidRPr="00A52A2D">
        <w:rPr>
          <w:rFonts w:ascii="Times New Roman" w:hAnsi="Times New Roman" w:cs="Times New Roman"/>
          <w:color w:val="auto"/>
        </w:rPr>
        <w:t>RoB</w:t>
      </w:r>
      <w:proofErr w:type="spellEnd"/>
      <w:r w:rsidRPr="00A52A2D">
        <w:rPr>
          <w:rFonts w:ascii="Times New Roman" w:hAnsi="Times New Roman" w:cs="Times New Roman"/>
          <w:color w:val="auto"/>
        </w:rPr>
        <w:t xml:space="preserve"> 2 assessments of randomized controlled trials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0"/>
        <w:gridCol w:w="557"/>
        <w:gridCol w:w="1509"/>
        <w:gridCol w:w="1727"/>
        <w:gridCol w:w="1320"/>
        <w:gridCol w:w="1371"/>
        <w:gridCol w:w="1565"/>
        <w:gridCol w:w="831"/>
        <w:gridCol w:w="3838"/>
      </w:tblGrid>
      <w:tr w:rsidR="00150ECA" w:rsidRPr="00A52A2D" w:rsidTr="0034676C">
        <w:tc>
          <w:tcPr>
            <w:tcW w:w="216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Study</w:t>
            </w:r>
          </w:p>
        </w:tc>
        <w:tc>
          <w:tcPr>
            <w:tcW w:w="57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Ref.</w:t>
            </w:r>
          </w:p>
        </w:tc>
        <w:tc>
          <w:tcPr>
            <w:tcW w:w="15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D1 Randomization process</w:t>
            </w:r>
          </w:p>
        </w:tc>
        <w:tc>
          <w:tcPr>
            <w:tcW w:w="187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D2 Deviations from intended interventions</w:t>
            </w:r>
          </w:p>
        </w:tc>
        <w:tc>
          <w:tcPr>
            <w:tcW w:w="144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D3 Missing outcome data</w:t>
            </w:r>
          </w:p>
        </w:tc>
        <w:tc>
          <w:tcPr>
            <w:tcW w:w="144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D4 Outcome measurement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D5 Selection of reported result</w:t>
            </w:r>
          </w:p>
        </w:tc>
        <w:tc>
          <w:tcPr>
            <w:tcW w:w="86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Overall</w:t>
            </w:r>
          </w:p>
        </w:tc>
        <w:tc>
          <w:tcPr>
            <w:tcW w:w="43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Supporting rationale</w:t>
            </w:r>
          </w:p>
        </w:tc>
      </w:tr>
      <w:tr w:rsidR="00150ECA" w:rsidRPr="00A52A2D" w:rsidTr="0034676C">
        <w:tc>
          <w:tcPr>
            <w:tcW w:w="216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Bi et al., 2020</w:t>
            </w:r>
          </w:p>
        </w:tc>
        <w:tc>
          <w:tcPr>
            <w:tcW w:w="57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[23]</w:t>
            </w:r>
          </w:p>
        </w:tc>
        <w:tc>
          <w:tcPr>
            <w:tcW w:w="15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S</w:t>
            </w:r>
          </w:p>
        </w:tc>
        <w:tc>
          <w:tcPr>
            <w:tcW w:w="187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S</w:t>
            </w:r>
          </w:p>
        </w:tc>
        <w:tc>
          <w:tcPr>
            <w:tcW w:w="144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L</w:t>
            </w:r>
          </w:p>
        </w:tc>
        <w:tc>
          <w:tcPr>
            <w:tcW w:w="144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L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S</w:t>
            </w:r>
          </w:p>
        </w:tc>
        <w:tc>
          <w:tcPr>
            <w:tcW w:w="86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S</w:t>
            </w:r>
          </w:p>
        </w:tc>
        <w:tc>
          <w:tcPr>
            <w:tcW w:w="43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Randomization and reporting details generated some concerns; missing outcome data and outcome measurement were judged low risk.</w:t>
            </w:r>
          </w:p>
        </w:tc>
      </w:tr>
      <w:tr w:rsidR="00150ECA" w:rsidRPr="00A52A2D" w:rsidTr="0034676C">
        <w:tc>
          <w:tcPr>
            <w:tcW w:w="216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52A2D">
              <w:rPr>
                <w:rFonts w:ascii="Times New Roman" w:hAnsi="Times New Roman" w:cs="Times New Roman"/>
                <w:sz w:val="12"/>
              </w:rPr>
              <w:t>Nasirmoghadas</w:t>
            </w:r>
            <w:proofErr w:type="spellEnd"/>
            <w:r w:rsidRPr="00A52A2D">
              <w:rPr>
                <w:rFonts w:ascii="Times New Roman" w:hAnsi="Times New Roman" w:cs="Times New Roman"/>
                <w:sz w:val="12"/>
              </w:rPr>
              <w:t xml:space="preserve"> et al., 2025</w:t>
            </w:r>
          </w:p>
        </w:tc>
        <w:tc>
          <w:tcPr>
            <w:tcW w:w="57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[22]</w:t>
            </w:r>
          </w:p>
        </w:tc>
        <w:tc>
          <w:tcPr>
            <w:tcW w:w="15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S</w:t>
            </w:r>
          </w:p>
        </w:tc>
        <w:tc>
          <w:tcPr>
            <w:tcW w:w="187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S</w:t>
            </w:r>
          </w:p>
        </w:tc>
        <w:tc>
          <w:tcPr>
            <w:tcW w:w="144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L</w:t>
            </w:r>
          </w:p>
        </w:tc>
        <w:tc>
          <w:tcPr>
            <w:tcW w:w="144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L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S</w:t>
            </w:r>
          </w:p>
        </w:tc>
        <w:tc>
          <w:tcPr>
            <w:tcW w:w="86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S</w:t>
            </w:r>
          </w:p>
        </w:tc>
        <w:tc>
          <w:tcPr>
            <w:tcW w:w="432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2"/>
              </w:rPr>
              <w:t>Some concerns remained for randomization/deviations and selective reporting; missing data and outcome measurement were judged low risk.</w:t>
            </w:r>
          </w:p>
        </w:tc>
      </w:tr>
    </w:tbl>
    <w:p w:rsidR="00150ECA" w:rsidRPr="00A52A2D" w:rsidRDefault="00150ECA" w:rsidP="00150ECA">
      <w:pPr>
        <w:rPr>
          <w:rFonts w:ascii="Times New Roman" w:hAnsi="Times New Roman" w:cs="Times New Roman"/>
        </w:rPr>
        <w:sectPr w:rsidR="00150ECA" w:rsidRPr="00A52A2D" w:rsidSect="00A52A2D">
          <w:pgSz w:w="15840" w:h="12240" w:orient="landscape"/>
          <w:pgMar w:top="576" w:right="576" w:bottom="576" w:left="576" w:header="720" w:footer="720" w:gutter="0"/>
          <w:cols w:space="720"/>
          <w:docGrid w:linePitch="360"/>
        </w:sectPr>
      </w:pPr>
    </w:p>
    <w:p w:rsidR="00150ECA" w:rsidRPr="00A52A2D" w:rsidRDefault="00150ECA" w:rsidP="00150ECA">
      <w:pPr>
        <w:pStyle w:val="Heading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Supplementary Table S3:</w:t>
      </w:r>
      <w:r w:rsidRPr="00A52A2D">
        <w:rPr>
          <w:rFonts w:ascii="Times New Roman" w:hAnsi="Times New Roman" w:cs="Times New Roman"/>
          <w:color w:val="auto"/>
        </w:rPr>
        <w:t xml:space="preserve"> CASP appraisal of the qualitative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3"/>
        <w:gridCol w:w="4312"/>
        <w:gridCol w:w="1000"/>
        <w:gridCol w:w="8583"/>
      </w:tblGrid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CASP item</w:t>
            </w:r>
          </w:p>
        </w:tc>
        <w:tc>
          <w:tcPr>
            <w:tcW w:w="446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Question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Judgment</w:t>
            </w:r>
          </w:p>
        </w:tc>
        <w:tc>
          <w:tcPr>
            <w:tcW w:w="89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Supporting rationale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1</w:t>
            </w:r>
          </w:p>
        </w:tc>
        <w:tc>
          <w:tcPr>
            <w:tcW w:w="446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Was there a clear statement of the aims?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Y</w:t>
            </w:r>
          </w:p>
        </w:tc>
        <w:tc>
          <w:tcPr>
            <w:tcW w:w="89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The study focused on ICU nurses’ experiences and proposed mechanisms of alarm fatigue.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2</w:t>
            </w:r>
          </w:p>
        </w:tc>
        <w:tc>
          <w:tcPr>
            <w:tcW w:w="446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Is a qualitative methodology appropriate?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Y</w:t>
            </w:r>
          </w:p>
        </w:tc>
        <w:tc>
          <w:tcPr>
            <w:tcW w:w="89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A qualitative approach was appropriate for exploring perceptions, experiences, and mechanisms.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3</w:t>
            </w:r>
          </w:p>
        </w:tc>
        <w:tc>
          <w:tcPr>
            <w:tcW w:w="446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Was the research design appropriate to address the aims?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Y</w:t>
            </w:r>
          </w:p>
        </w:tc>
        <w:tc>
          <w:tcPr>
            <w:tcW w:w="89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Semi-structured interviews and inductive content analysis were aligned with the exploratory aim.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4</w:t>
            </w:r>
          </w:p>
        </w:tc>
        <w:tc>
          <w:tcPr>
            <w:tcW w:w="446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Was the recruitment strategy appropriate?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U</w:t>
            </w:r>
          </w:p>
        </w:tc>
        <w:tc>
          <w:tcPr>
            <w:tcW w:w="89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Twenty-seven ICU nurses were included, but the recruitment strategy and evidence of data saturation were not clearly reported.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5</w:t>
            </w:r>
          </w:p>
        </w:tc>
        <w:tc>
          <w:tcPr>
            <w:tcW w:w="446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Were data collected in a way that addressed the research issue?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Y</w:t>
            </w:r>
          </w:p>
        </w:tc>
        <w:tc>
          <w:tcPr>
            <w:tcW w:w="89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Semi-structured interviews were appropriate, but details of the interview setting, duration, recording procedures, and data saturation were not clearly reported.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6</w:t>
            </w:r>
          </w:p>
        </w:tc>
        <w:tc>
          <w:tcPr>
            <w:tcW w:w="446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Was the researcher-participant relationship adequately considered?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U</w:t>
            </w:r>
          </w:p>
        </w:tc>
        <w:tc>
          <w:tcPr>
            <w:tcW w:w="89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The researcher–participant relationship, researcher reflexivity, and potential influence of the interviewer on participants’ responses were not clearly described.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7</w:t>
            </w:r>
          </w:p>
        </w:tc>
        <w:tc>
          <w:tcPr>
            <w:tcW w:w="446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Were ethical issues considered?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U</w:t>
            </w:r>
          </w:p>
        </w:tc>
        <w:tc>
          <w:tcPr>
            <w:tcW w:w="89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Ethical approval and participant-consent procedures were not clearly reported.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8</w:t>
            </w:r>
          </w:p>
        </w:tc>
        <w:tc>
          <w:tcPr>
            <w:tcW w:w="446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Was the data analysis sufficiently rigorous?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Y</w:t>
            </w:r>
          </w:p>
        </w:tc>
        <w:tc>
          <w:tcPr>
            <w:tcW w:w="89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Inductive content analysis was reported, but coding procedures, triangulation, and the handling of discrepant cases were not described in sufficient detail.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9</w:t>
            </w:r>
          </w:p>
        </w:tc>
        <w:tc>
          <w:tcPr>
            <w:tcW w:w="446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Is there a clear statement of findings?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Y</w:t>
            </w:r>
          </w:p>
        </w:tc>
        <w:tc>
          <w:tcPr>
            <w:tcW w:w="89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Themes concerning cognitive reserve, cognitive load, alarm demands, and job resources were clearly reported.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10</w:t>
            </w:r>
          </w:p>
        </w:tc>
        <w:tc>
          <w:tcPr>
            <w:tcW w:w="446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How valuable is the research?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Y</w:t>
            </w:r>
          </w:p>
        </w:tc>
        <w:tc>
          <w:tcPr>
            <w:tcW w:w="89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4"/>
              </w:rPr>
              <w:t>The study provides contextual and hypothesis-generating insight, but does not establish causal mechanisms.</w:t>
            </w:r>
          </w:p>
        </w:tc>
      </w:tr>
    </w:tbl>
    <w:p w:rsidR="00150ECA" w:rsidRPr="00A52A2D" w:rsidRDefault="00150ECA" w:rsidP="00150ECA">
      <w:pPr>
        <w:rPr>
          <w:rFonts w:ascii="Times New Roman" w:hAnsi="Times New Roman" w:cs="Times New Roman"/>
        </w:rPr>
        <w:sectPr w:rsidR="00150ECA" w:rsidRPr="00A52A2D">
          <w:pgSz w:w="15840" w:h="12240" w:orient="landscape"/>
          <w:pgMar w:top="576" w:right="576" w:bottom="576" w:left="576" w:header="720" w:footer="720" w:gutter="0"/>
          <w:cols w:space="720"/>
          <w:docGrid w:linePitch="360"/>
        </w:sectPr>
      </w:pPr>
    </w:p>
    <w:p w:rsidR="00150ECA" w:rsidRPr="00A52A2D" w:rsidRDefault="00150ECA" w:rsidP="00150ECA">
      <w:pPr>
        <w:pStyle w:val="Heading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Supplementary Table S4:</w:t>
      </w:r>
      <w:r w:rsidRPr="00A52A2D">
        <w:rPr>
          <w:rFonts w:ascii="Times New Roman" w:hAnsi="Times New Roman" w:cs="Times New Roman"/>
          <w:color w:val="auto"/>
        </w:rPr>
        <w:t xml:space="preserve"> MMAT appraisal of the mixed-methods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6"/>
        <w:gridCol w:w="5015"/>
        <w:gridCol w:w="999"/>
        <w:gridCol w:w="7878"/>
      </w:tblGrid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MMAT item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Criterion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Judgment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Supporting rationale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S1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Are there clear research questions?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Y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The study addressed alarm fatigue and work/social effects among COVID-19 ICU nurses.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S2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Do the collected data allow the research questions to be addressed?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Y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Quantitative and qualitative components were relevant to the stated aims.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1.1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Is the qualitative approach appropriate?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Y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Qualitative themes were appropriate for contextual experiences and coping.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1.2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Are qualitative data-collection methods adequate?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U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The qualitative data-collection procedures were described only briefly, and the process used to establish data saturation was not clearly reported.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1.3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Are findings adequately derived from the data?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Y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Reported themes were linked to participant experiences.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1.4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Is interpretation substantiated by data?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U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Participant quotations or an audit trail supporting the interpretation were not reported in sufficient detail.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1.5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Is there coherence among sources, collection, analysis, and interpretation?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U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The coherence among the data sources, collection procedures, analyses, and interpretation was not clearly demonstrated.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4.1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Is the sampling strategy relevant to the quantitative question?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U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The 58-person ICU sample appeared to be setting-specific, and the sampling strategy was not described in sufficient detail.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4.2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Is the sample representative of the target population?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N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Limited, setting-specific sample reduces representativeness.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4.3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Are measurements appropriate?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U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The validity and reliability of all quantitative measures were not reported in sufficient detail.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4.4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Is risk of nonresponse bias low?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U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The response rate and characteristics of nonparticipants were not clearly reported, limiting assessment of nonresponse bias.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4.5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Is statistical analysis appropriate?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U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Analysis was reported, but adjustment for confounding was limited/high concern.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5.1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Is there an adequate rationale for mixed methods?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Y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Combining scores with experiential themes was appropriate.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5.2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Are components effectively integrated?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U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The point and method of integration between the quantitative and qualitative components were not clearly described.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5.3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Are outputs of integration adequately interpreted?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U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Meta-inferences were not clearly distinguishable from component findings.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5.4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Are divergences/inconsistencies addressed?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U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The handling of divergent or inconsistent quantitative and qualitative findings was not clearly reported.</w:t>
            </w:r>
          </w:p>
        </w:tc>
      </w:tr>
      <w:tr w:rsidR="00150ECA" w:rsidRPr="00A52A2D" w:rsidTr="0034676C">
        <w:tc>
          <w:tcPr>
            <w:tcW w:w="792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5.5</w:t>
            </w:r>
          </w:p>
        </w:tc>
        <w:tc>
          <w:tcPr>
            <w:tcW w:w="5184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Do components meet the quality criteria of their traditions?</w:t>
            </w:r>
          </w:p>
        </w:tc>
        <w:tc>
          <w:tcPr>
            <w:tcW w:w="10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N</w:t>
            </w:r>
          </w:p>
        </w:tc>
        <w:tc>
          <w:tcPr>
            <w:tcW w:w="820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3"/>
              </w:rPr>
              <w:t>High concern for confounding/analysis and incomplete reporting limit confidence.</w:t>
            </w:r>
          </w:p>
        </w:tc>
      </w:tr>
    </w:tbl>
    <w:p w:rsidR="00150ECA" w:rsidRPr="00A52A2D" w:rsidRDefault="00150ECA" w:rsidP="00150ECA">
      <w:pPr>
        <w:rPr>
          <w:rFonts w:ascii="Times New Roman" w:hAnsi="Times New Roman" w:cs="Times New Roman"/>
        </w:rPr>
        <w:sectPr w:rsidR="00150ECA" w:rsidRPr="00A52A2D" w:rsidSect="00A52A2D">
          <w:pgSz w:w="15840" w:h="12240" w:orient="landscape"/>
          <w:pgMar w:top="576" w:right="576" w:bottom="576" w:left="576" w:header="720" w:footer="720" w:gutter="0"/>
          <w:cols w:space="720"/>
          <w:docGrid w:linePitch="360"/>
        </w:sectPr>
      </w:pPr>
    </w:p>
    <w:p w:rsidR="00150ECA" w:rsidRPr="00A52A2D" w:rsidRDefault="00150ECA" w:rsidP="00150ECA">
      <w:pPr>
        <w:pStyle w:val="Heading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Supplementary Table S5:</w:t>
      </w:r>
      <w:r w:rsidRPr="00A52A2D">
        <w:rPr>
          <w:rFonts w:ascii="Times New Roman" w:hAnsi="Times New Roman" w:cs="Times New Roman"/>
          <w:color w:val="auto"/>
        </w:rPr>
        <w:t xml:space="preserve"> Certainty of evidence for principal review findings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0"/>
        <w:gridCol w:w="1877"/>
        <w:gridCol w:w="1744"/>
        <w:gridCol w:w="1745"/>
        <w:gridCol w:w="1512"/>
        <w:gridCol w:w="1507"/>
        <w:gridCol w:w="1290"/>
        <w:gridCol w:w="896"/>
        <w:gridCol w:w="2587"/>
      </w:tblGrid>
      <w:tr w:rsidR="00150ECA" w:rsidRPr="00A52A2D" w:rsidTr="0034676C"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Finding</w:t>
            </w:r>
          </w:p>
        </w:tc>
        <w:tc>
          <w:tcPr>
            <w:tcW w:w="216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Main evidence</w:t>
            </w:r>
          </w:p>
        </w:tc>
        <w:tc>
          <w:tcPr>
            <w:tcW w:w="201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Risk of bias</w:t>
            </w:r>
          </w:p>
        </w:tc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Inconsistency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Indirectness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Imprecision</w:t>
            </w:r>
          </w:p>
        </w:tc>
        <w:tc>
          <w:tcPr>
            <w:tcW w:w="144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Publication bias</w:t>
            </w:r>
          </w:p>
        </w:tc>
        <w:tc>
          <w:tcPr>
            <w:tcW w:w="93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Certainty</w:t>
            </w:r>
          </w:p>
        </w:tc>
        <w:tc>
          <w:tcPr>
            <w:tcW w:w="316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b/>
                <w:sz w:val="14"/>
              </w:rPr>
              <w:t>Interpretation</w:t>
            </w:r>
          </w:p>
        </w:tc>
      </w:tr>
      <w:tr w:rsidR="00150ECA" w:rsidRPr="00A52A2D" w:rsidTr="0034676C"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Overall alarm-fatigue severity</w:t>
            </w:r>
          </w:p>
        </w:tc>
        <w:tc>
          <w:tcPr>
            <w:tcW w:w="216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Cross-sectional severity studies pooled after POMP transformation</w:t>
            </w:r>
          </w:p>
        </w:tc>
        <w:tc>
          <w:tcPr>
            <w:tcW w:w="201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</w:t>
            </w:r>
            <w:bookmarkStart w:id="0" w:name="_GoBack"/>
            <w:bookmarkEnd w:id="0"/>
            <w:r w:rsidRPr="00A52A2D">
              <w:rPr>
                <w:rFonts w:ascii="Times New Roman" w:hAnsi="Times New Roman" w:cs="Times New Roman"/>
                <w:sz w:val="11"/>
              </w:rPr>
              <w:t>erious: observational/self-report</w:t>
            </w:r>
          </w:p>
        </w:tc>
        <w:tc>
          <w:tcPr>
            <w:tcW w:w="1800" w:type="dxa"/>
          </w:tcPr>
          <w:p w:rsidR="00150ECA" w:rsidRPr="00A52A2D" w:rsidRDefault="00150ECA" w:rsidP="00984528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 xml:space="preserve">Very serious: I² = </w:t>
            </w:r>
            <w:r w:rsidR="00984528">
              <w:rPr>
                <w:rFonts w:ascii="Times New Roman" w:hAnsi="Times New Roman" w:cs="Times New Roman"/>
                <w:sz w:val="11"/>
              </w:rPr>
              <w:t>99.6</w:t>
            </w:r>
            <w:r w:rsidRPr="00A52A2D">
              <w:rPr>
                <w:rFonts w:ascii="Times New Roman" w:hAnsi="Times New Roman" w:cs="Times New Roman"/>
                <w:sz w:val="11"/>
              </w:rPr>
              <w:t xml:space="preserve">% and </w:t>
            </w:r>
            <w:r w:rsidR="00984528">
              <w:rPr>
                <w:rFonts w:ascii="Times New Roman" w:hAnsi="Times New Roman" w:cs="Times New Roman"/>
                <w:sz w:val="11"/>
              </w:rPr>
              <w:t xml:space="preserve">substantial </w:t>
            </w:r>
            <w:r w:rsidRPr="00A52A2D">
              <w:rPr>
                <w:rFonts w:ascii="Times New Roman" w:hAnsi="Times New Roman" w:cs="Times New Roman"/>
                <w:sz w:val="11"/>
              </w:rPr>
              <w:t>instrument variation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 if mixed/non-ICU populations included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limited comparable studies</w:t>
            </w:r>
          </w:p>
        </w:tc>
        <w:tc>
          <w:tcPr>
            <w:tcW w:w="144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Possible; funnel asymmetry difficult to interpret</w:t>
            </w:r>
          </w:p>
        </w:tc>
        <w:tc>
          <w:tcPr>
            <w:tcW w:w="93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Very low</w:t>
            </w:r>
          </w:p>
        </w:tc>
        <w:tc>
          <w:tcPr>
            <w:tcW w:w="316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Interpret as a descriptive normalized average, not prevalence, diagnostic threshold, or universal severity category.</w:t>
            </w:r>
          </w:p>
        </w:tc>
      </w:tr>
      <w:tr w:rsidR="00150ECA" w:rsidRPr="00A52A2D" w:rsidTr="0034676C"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False and non-actionable alarms</w:t>
            </w:r>
          </w:p>
        </w:tc>
        <w:tc>
          <w:tcPr>
            <w:tcW w:w="216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Observational, survey, and qualitative studies</w:t>
            </w:r>
          </w:p>
        </w:tc>
        <w:tc>
          <w:tcPr>
            <w:tcW w:w="201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self-report and nonrandom sampling; limited objective alarm data</w:t>
            </w:r>
          </w:p>
        </w:tc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heterogeneous alarm definitions and settings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Not serious to serious depending on ICU specificity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few objective alarm-observation studies</w:t>
            </w:r>
          </w:p>
        </w:tc>
        <w:tc>
          <w:tcPr>
            <w:tcW w:w="144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Possible</w:t>
            </w:r>
          </w:p>
        </w:tc>
        <w:tc>
          <w:tcPr>
            <w:tcW w:w="93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Low</w:t>
            </w:r>
          </w:p>
        </w:tc>
        <w:tc>
          <w:tcPr>
            <w:tcW w:w="316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Consistent signal, but causal magnitude and generalizability remain uncertain.</w:t>
            </w:r>
          </w:p>
        </w:tc>
      </w:tr>
      <w:tr w:rsidR="00150ECA" w:rsidRPr="00A52A2D" w:rsidTr="0034676C"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Night shifts, overtime, and workload</w:t>
            </w:r>
          </w:p>
        </w:tc>
        <w:tc>
          <w:tcPr>
            <w:tcW w:w="216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Mainly cross-sectional studies and latent-profile analyses</w:t>
            </w:r>
          </w:p>
        </w:tc>
        <w:tc>
          <w:tcPr>
            <w:tcW w:w="201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Very serious: residual confounding and simultaneous exposure/outcome measurement</w:t>
            </w:r>
          </w:p>
        </w:tc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inconsistent measures and models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Not serious for ICU-only studies; serious for contextual populations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factor-specific estimates often sparse</w:t>
            </w:r>
          </w:p>
        </w:tc>
        <w:tc>
          <w:tcPr>
            <w:tcW w:w="144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Possible</w:t>
            </w:r>
          </w:p>
        </w:tc>
        <w:tc>
          <w:tcPr>
            <w:tcW w:w="93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Very low</w:t>
            </w:r>
          </w:p>
        </w:tc>
        <w:tc>
          <w:tcPr>
            <w:tcW w:w="316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Treat as associated factors and priorities for prospective evaluation, not established risk factors.</w:t>
            </w:r>
          </w:p>
        </w:tc>
      </w:tr>
      <w:tr w:rsidR="00150ECA" w:rsidRPr="00A52A2D" w:rsidTr="0034676C"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Alarm-management knowledge and training</w:t>
            </w:r>
          </w:p>
        </w:tc>
        <w:tc>
          <w:tcPr>
            <w:tcW w:w="216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Observational studies plus two randomized trials</w:t>
            </w:r>
          </w:p>
        </w:tc>
        <w:tc>
          <w:tcPr>
            <w:tcW w:w="201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 overall; lower concern for randomized intervention evidence</w:t>
            </w:r>
          </w:p>
        </w:tc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interventions, tools, and settings differed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limited settings and populations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few trials and modest samples</w:t>
            </w:r>
          </w:p>
        </w:tc>
        <w:tc>
          <w:tcPr>
            <w:tcW w:w="144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Possible</w:t>
            </w:r>
          </w:p>
        </w:tc>
        <w:tc>
          <w:tcPr>
            <w:tcW w:w="93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Low</w:t>
            </w:r>
          </w:p>
        </w:tc>
        <w:tc>
          <w:tcPr>
            <w:tcW w:w="316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Observational associations are uncertain; randomized evidence suggests education may reduce scores and alarms.</w:t>
            </w:r>
          </w:p>
        </w:tc>
      </w:tr>
      <w:tr w:rsidR="00150ECA" w:rsidRPr="00A52A2D" w:rsidTr="0034676C"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Burnout</w:t>
            </w:r>
          </w:p>
        </w:tc>
        <w:tc>
          <w:tcPr>
            <w:tcW w:w="216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Cross-sectional regression/GAM evidence</w:t>
            </w:r>
          </w:p>
        </w:tc>
        <w:tc>
          <w:tcPr>
            <w:tcW w:w="201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Very serious: common-method bias, reverse causation, residual confounding</w:t>
            </w:r>
          </w:p>
        </w:tc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limited number of direct studies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Not serious for NICU nurses but limited generalizability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Very serious: largely single-study evidence</w:t>
            </w:r>
          </w:p>
        </w:tc>
        <w:tc>
          <w:tcPr>
            <w:tcW w:w="144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Cannot assess reliably</w:t>
            </w:r>
          </w:p>
        </w:tc>
        <w:tc>
          <w:tcPr>
            <w:tcW w:w="93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Very low</w:t>
            </w:r>
          </w:p>
        </w:tc>
        <w:tc>
          <w:tcPr>
            <w:tcW w:w="316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The nonlinear threshold is study-specific and requires replication.</w:t>
            </w:r>
          </w:p>
        </w:tc>
      </w:tr>
      <w:tr w:rsidR="00150ECA" w:rsidRPr="00A52A2D" w:rsidTr="0034676C"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Compassion fatigue</w:t>
            </w:r>
          </w:p>
        </w:tc>
        <w:tc>
          <w:tcPr>
            <w:tcW w:w="216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Two cross-sectional correlational studies</w:t>
            </w:r>
          </w:p>
        </w:tc>
        <w:tc>
          <w:tcPr>
            <w:tcW w:w="201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Very serious: self-report and common-method bias</w:t>
            </w:r>
          </w:p>
        </w:tc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Very serious: direction and significance inconsistent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 xml:space="preserve">Not serious </w:t>
            </w: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to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 xml:space="preserve"> serious across settings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only two studies</w:t>
            </w:r>
          </w:p>
        </w:tc>
        <w:tc>
          <w:tcPr>
            <w:tcW w:w="144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Cannot assess reliably</w:t>
            </w:r>
          </w:p>
        </w:tc>
        <w:tc>
          <w:tcPr>
            <w:tcW w:w="93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Very low</w:t>
            </w:r>
          </w:p>
        </w:tc>
        <w:tc>
          <w:tcPr>
            <w:tcW w:w="316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Evidence is inconsistent and should not support causal conclusions.</w:t>
            </w:r>
          </w:p>
        </w:tc>
      </w:tr>
      <w:tr w:rsidR="00150ECA" w:rsidRPr="00A52A2D" w:rsidTr="0034676C"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Medical-error tendency</w:t>
            </w:r>
          </w:p>
        </w:tc>
        <w:tc>
          <w:tcPr>
            <w:tcW w:w="216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Cross-sectional self-report and mediation/regression studies</w:t>
            </w:r>
          </w:p>
        </w:tc>
        <w:tc>
          <w:tcPr>
            <w:tcW w:w="201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Very serious: self-report, social desirability, reverse causation, residual confounding</w:t>
            </w:r>
          </w:p>
        </w:tc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outcome instruments and models differed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Not serious for ICU studies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few studies and no verified objective errors</w:t>
            </w:r>
          </w:p>
        </w:tc>
        <w:tc>
          <w:tcPr>
            <w:tcW w:w="144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Possible</w:t>
            </w:r>
          </w:p>
        </w:tc>
        <w:tc>
          <w:tcPr>
            <w:tcW w:w="93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Very low</w:t>
            </w:r>
          </w:p>
        </w:tc>
        <w:tc>
          <w:tcPr>
            <w:tcW w:w="316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Alarm fatigue and error tendency are statistically interrelated; objective prospective evidence is needed.</w:t>
            </w:r>
          </w:p>
        </w:tc>
      </w:tr>
      <w:tr w:rsidR="00150ECA" w:rsidRPr="00A52A2D" w:rsidTr="0034676C"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Alarm-management interventions</w:t>
            </w:r>
          </w:p>
        </w:tc>
        <w:tc>
          <w:tcPr>
            <w:tcW w:w="216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Two randomized controlled trials</w:t>
            </w:r>
          </w:p>
        </w:tc>
        <w:tc>
          <w:tcPr>
            <w:tcW w:w="201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 xml:space="preserve">Serious: some </w:t>
            </w:r>
            <w:proofErr w:type="spellStart"/>
            <w:r w:rsidRPr="00A52A2D">
              <w:rPr>
                <w:rFonts w:ascii="Times New Roman" w:hAnsi="Times New Roman" w:cs="Times New Roman"/>
                <w:sz w:val="11"/>
              </w:rPr>
              <w:t>RoB</w:t>
            </w:r>
            <w:proofErr w:type="spellEnd"/>
            <w:r w:rsidRPr="00A52A2D">
              <w:rPr>
                <w:rFonts w:ascii="Times New Roman" w:hAnsi="Times New Roman" w:cs="Times New Roman"/>
                <w:sz w:val="11"/>
              </w:rPr>
              <w:t xml:space="preserve"> 2 concerns</w:t>
            </w:r>
          </w:p>
        </w:tc>
        <w:tc>
          <w:tcPr>
            <w:tcW w:w="180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different interventions/devices/outcomes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few hospitals and settings</w:t>
            </w:r>
          </w:p>
        </w:tc>
        <w:tc>
          <w:tcPr>
            <w:tcW w:w="172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Serious: modest sample sizes</w:t>
            </w:r>
          </w:p>
        </w:tc>
        <w:tc>
          <w:tcPr>
            <w:tcW w:w="1440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Cannot assess reliably</w:t>
            </w:r>
          </w:p>
        </w:tc>
        <w:tc>
          <w:tcPr>
            <w:tcW w:w="936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Low</w:t>
            </w:r>
          </w:p>
        </w:tc>
        <w:tc>
          <w:tcPr>
            <w:tcW w:w="3168" w:type="dxa"/>
          </w:tcPr>
          <w:p w:rsidR="00150ECA" w:rsidRPr="00A52A2D" w:rsidRDefault="00150ECA" w:rsidP="0034676C">
            <w:pPr>
              <w:jc w:val="center"/>
              <w:rPr>
                <w:rFonts w:ascii="Times New Roman" w:hAnsi="Times New Roman" w:cs="Times New Roman"/>
              </w:rPr>
            </w:pPr>
            <w:r w:rsidRPr="00A52A2D">
              <w:rPr>
                <w:rFonts w:ascii="Times New Roman" w:hAnsi="Times New Roman" w:cs="Times New Roman"/>
                <w:sz w:val="11"/>
              </w:rPr>
              <w:t>Most directly actionable evidence, but replication and longer follow-up are needed.</w:t>
            </w:r>
          </w:p>
        </w:tc>
      </w:tr>
    </w:tbl>
    <w:p w:rsidR="00150ECA" w:rsidRDefault="00150ECA" w:rsidP="00150ECA"/>
    <w:p w:rsidR="00C03655" w:rsidRPr="00150ECA" w:rsidRDefault="00C03655" w:rsidP="00150ECA"/>
    <w:sectPr w:rsidR="00C03655" w:rsidRPr="00150ECA" w:rsidSect="00A52A2D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9A3"/>
    <w:rsid w:val="00150ECA"/>
    <w:rsid w:val="00481146"/>
    <w:rsid w:val="006E1DC9"/>
    <w:rsid w:val="00984528"/>
    <w:rsid w:val="00A52A2D"/>
    <w:rsid w:val="00A739A3"/>
    <w:rsid w:val="00C03655"/>
    <w:rsid w:val="00F6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ACD376-5076-42C9-9026-D5296C9B5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2A2D"/>
    <w:pPr>
      <w:spacing w:after="200" w:line="276" w:lineRule="auto"/>
    </w:pPr>
    <w:rPr>
      <w:rFonts w:ascii="Arial" w:eastAsiaTheme="minorEastAsia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2A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A2D"/>
    <w:rPr>
      <w:rFonts w:asciiTheme="majorHAnsi" w:eastAsiaTheme="majorEastAsia" w:hAnsiTheme="majorHAnsi" w:cstheme="majorBidi"/>
      <w:b/>
      <w:bCs/>
      <w:color w:val="2E74B5" w:themeColor="accent1" w:themeShade="BF"/>
      <w:sz w:val="24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52A2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52A2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2"/>
      <w:szCs w:val="52"/>
    </w:rPr>
  </w:style>
  <w:style w:type="table" w:styleId="TableGrid">
    <w:name w:val="Table Grid"/>
    <w:basedOn w:val="TableNormal"/>
    <w:uiPriority w:val="59"/>
    <w:rsid w:val="00A52A2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2012</Words>
  <Characters>11469</Characters>
  <Application>Microsoft Office Word</Application>
  <DocSecurity>0</DocSecurity>
  <Lines>95</Lines>
  <Paragraphs>26</Paragraphs>
  <ScaleCrop>false</ScaleCrop>
  <Company/>
  <LinksUpToDate>false</LinksUpToDate>
  <CharactersWithSpaces>13455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2026-07-21T18:19:00Z</dcterms:created>
  <dcterms:modified xsi:type="dcterms:W3CDTF">2026-08-20T13:08:00Z</dcterms:modified>
</cp:coreProperties>
</file>