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CEE6A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An illustrative example linking interview excerpts, codes and theme development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3"/>
        <w:gridCol w:w="3268"/>
        <w:gridCol w:w="4036"/>
        <w:gridCol w:w="2377"/>
      </w:tblGrid>
      <w:tr w14:paraId="11ABB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E7EB7F6">
            <w:pPr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Interview excerpt</w:t>
            </w:r>
          </w:p>
        </w:tc>
        <w:tc>
          <w:tcPr>
            <w:tcW w:w="115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1F1F1" w:themeFill="background1" w:themeFillShade="F2"/>
            <w:vAlign w:val="center"/>
          </w:tcPr>
          <w:p w14:paraId="54CBE4E1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Illustrative codes</w:t>
            </w:r>
          </w:p>
        </w:tc>
        <w:tc>
          <w:tcPr>
            <w:tcW w:w="14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C6CF28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Interpretive link to the theme</w:t>
            </w:r>
          </w:p>
        </w:tc>
        <w:tc>
          <w:tcPr>
            <w:tcW w:w="83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1F1F1" w:themeFill="background1" w:themeFillShade="F2"/>
            <w:vAlign w:val="center"/>
          </w:tcPr>
          <w:p w14:paraId="6F562D73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 w:themeColor="dark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Final theme</w:t>
            </w:r>
          </w:p>
        </w:tc>
      </w:tr>
      <w:tr w14:paraId="0258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1803262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lang w:val="en-US" w:eastAsia="zh-CN" w:bidi="ar"/>
              </w:rPr>
              <w:t>“At home, there were no numbers. I kept looking at his chest to see whether it was moving. I knew I was his mother, but I felt I had become the monitor.” (P06, mother)</w:t>
            </w:r>
          </w:p>
        </w:tc>
        <w:tc>
          <w:tcPr>
            <w:tcW w:w="115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1F1F1" w:themeFill="background1" w:themeFillShade="F2"/>
            <w:vAlign w:val="top"/>
          </w:tcPr>
          <w:p w14:paraId="2B149BA2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Losing access to numerical indicators; repeatedly checking breathing; assuming the monitoring role</w:t>
            </w:r>
          </w:p>
        </w:tc>
        <w:tc>
          <w:tcPr>
            <w:tcW w:w="142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4B975D0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The loss of hospital monitoring was accompanied by a perceived need to maintain safety through the parent’s own continuous observation.</w:t>
            </w:r>
          </w:p>
        </w:tc>
        <w:tc>
          <w:tcPr>
            <w:tcW w:w="838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1F1F1" w:themeFill="background1" w:themeFillShade="F2"/>
            <w:vAlign w:val="top"/>
          </w:tcPr>
          <w:p w14:paraId="45CB0E9E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Becoming the monitor after leaving monitored safety</w:t>
            </w:r>
          </w:p>
        </w:tc>
      </w:tr>
      <w:tr w14:paraId="69EC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4" w:type="pct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B5543BE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lang w:val="en-US" w:eastAsia="zh-CN" w:bidi="ar"/>
              </w:rPr>
              <w:t>“My wife and I took turns sleeping. If the baby made a small sound, one of us sat up. We were not sure whether it was normal breathing, milk coming up, or something dangerous.” (P13, father)</w:t>
            </w:r>
          </w:p>
        </w:tc>
        <w:tc>
          <w:tcPr>
            <w:tcW w:w="1152" w:type="pct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F1F1F1" w:themeFill="background1" w:themeFillShade="F2"/>
            <w:vAlign w:val="top"/>
          </w:tcPr>
          <w:p w14:paraId="3F81DB70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Sharing night-time vigilance; responding to small changes; uncertainty about the meaning of infant signs</w:t>
            </w:r>
          </w:p>
        </w:tc>
        <w:tc>
          <w:tcPr>
            <w:tcW w:w="1423" w:type="pct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B0F6276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Monitoring became a shared household responsibility, organised around uncertainty about whether infant cues indicated danger.</w:t>
            </w:r>
          </w:p>
        </w:tc>
        <w:tc>
          <w:tcPr>
            <w:tcW w:w="838" w:type="pct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F1F1F1" w:themeFill="background1" w:themeFillShade="F2"/>
            <w:vAlign w:val="top"/>
          </w:tcPr>
          <w:p w14:paraId="564D8F01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Becoming the monitor after leaving monitored safety</w:t>
            </w:r>
          </w:p>
        </w:tc>
      </w:tr>
    </w:tbl>
    <w:p w14:paraId="77096AAE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Note: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These selected excerpts illustrate connections between coding and thematic interpretation. They do not represent the complete dataset or all codes contributing to the theme.</w:t>
      </w:r>
    </w:p>
    <w:p w14:paraId="5BAD14EC">
      <w:pPr>
        <w:rPr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C000B"/>
    <w:rsid w:val="1EF45FD8"/>
    <w:rsid w:val="240D2866"/>
    <w:rsid w:val="45FF7444"/>
    <w:rsid w:val="4EEF1E97"/>
    <w:rsid w:val="6EA2262A"/>
    <w:rsid w:val="73A8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1099</Characters>
  <Lines>0</Lines>
  <Paragraphs>0</Paragraphs>
  <TotalTime>3</TotalTime>
  <ScaleCrop>false</ScaleCrop>
  <LinksUpToDate>false</LinksUpToDate>
  <CharactersWithSpaces>1279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2026-09-05T08:46:00Z</dcterms:created>
  <dc:creator>Administrator</dc:creator>
  <cp:lastModifiedBy>Dr. Lei</cp:lastModifiedBy>
  <dcterms:modified xsi:type="dcterms:W3CDTF">2026-09-06T06:39:16Z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eyJoZGlkIjoiYzk3YWE2Nzc3YTViZjYxNTdjM2Y3NjhlMjczYjg3Y2UiLCJ1c2VySWQiOiIyMDg0MDAzMzAifQ==</vt:lpwstr>
  </property>
  <property fmtid="{D5CDD505-2E9C-101B-9397-08002B2CF9AE}" pid="4" name="ICV">
    <vt:lpwstr>8019C26D91EF4D419129FF1CD7E13501_13</vt:lpwstr>
  </property>
</Properties>
</file>