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F28A17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Supplementary S3. COREQ and SRQR reporting checklists</w:t>
      </w:r>
    </w:p>
    <w:p w14:paraId="11A86342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COREQ: items 1–8</w:t>
      </w:r>
    </w:p>
    <w:p w14:paraId="03F498B9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Manuscript: From NICU Monitoring to Home Caregiving: A Qualitative Study of Parents of preterm infants</w:t>
      </w:r>
    </w:p>
    <w:p w14:paraId="59939818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Completed against the supplied clean manuscript only. Unreported details are identified rather than inferred; supplements S1 and S2 were cited but not supplied.</w:t>
      </w:r>
    </w:p>
    <w:tbl>
      <w:tblPr>
        <w:tblStyle w:val="32"/>
        <w:tblW w:w="14976" w:type="dxa"/>
        <w:tblInd w:w="100" w:type="dxa"/>
        <w:tblLayout w:type="fixed"/>
        <w:tblCellMar>
          <w:top w:w="95" w:type="dxa"/>
          <w:left w:w="100" w:type="dxa"/>
          <w:bottom w:w="95" w:type="dxa"/>
          <w:right w:w="100" w:type="dxa"/>
        </w:tblCellMar>
      </w:tblPr>
      <w:tblGrid>
        <w:gridCol w:w="550"/>
        <w:gridCol w:w="2400"/>
        <w:gridCol w:w="9200"/>
        <w:gridCol w:w="2826"/>
      </w:tblGrid>
      <w:tr w14:paraId="12D206BD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  <w:tblHeader/>
        </w:trPr>
        <w:tc>
          <w:tcPr>
            <w:tcW w:w="550" w:type="dxa"/>
            <w:tcBorders>
              <w:top w:val="single" w:color="000000" w:sz="6" w:space="0"/>
              <w:bottom w:val="single" w:color="000000" w:sz="6" w:space="0"/>
            </w:tcBorders>
          </w:tcPr>
          <w:p w14:paraId="0E3EB4FA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</w:tcBorders>
          </w:tcPr>
          <w:p w14:paraId="16B18FA6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Item focus¹</w:t>
            </w:r>
          </w:p>
        </w:tc>
        <w:tc>
          <w:tcPr>
            <w:tcW w:w="9200" w:type="dxa"/>
            <w:tcBorders>
              <w:top w:val="single" w:color="000000" w:sz="6" w:space="0"/>
              <w:bottom w:val="single" w:color="000000" w:sz="6" w:space="0"/>
            </w:tcBorders>
          </w:tcPr>
          <w:p w14:paraId="34E088F4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Manuscript-specific response</w:t>
            </w:r>
          </w:p>
        </w:tc>
        <w:tc>
          <w:tcPr>
            <w:tcW w:w="2826" w:type="dxa"/>
            <w:tcBorders>
              <w:top w:val="single" w:color="000000" w:sz="6" w:space="0"/>
              <w:bottom w:val="single" w:color="000000" w:sz="6" w:space="0"/>
            </w:tcBorders>
          </w:tcPr>
          <w:p w14:paraId="24F2D494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 location²</w:t>
            </w:r>
          </w:p>
        </w:tc>
      </w:tr>
      <w:tr w14:paraId="66B98A94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1E5933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5F1535A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Interview lead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4BB9307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led all individual interviews.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1A847642">
            <w:pP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cs="Times New Roman"/>
                <w:sz w:val="24"/>
                <w:szCs w:val="24"/>
              </w:rPr>
              <w:t xml:space="preserve">2.4; p. 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9</w:t>
            </w:r>
          </w:p>
        </w:tc>
      </w:tr>
      <w:tr w14:paraId="2112FEE8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7706505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48450E1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Qualifications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C3B802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held a master’s degree in nursing and was a registered nurse.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1AEFC54">
            <w:pP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cs="Times New Roman"/>
                <w:sz w:val="24"/>
                <w:szCs w:val="24"/>
              </w:rPr>
              <w:t xml:space="preserve">2.4; p. 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9</w:t>
            </w:r>
          </w:p>
        </w:tc>
      </w:tr>
      <w:tr w14:paraId="19F7B5F7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70C9BC5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064AEF9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Professional role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3D6E85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worked in child health care.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69C6C6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2.4–2.5; pp. 8–9</w:t>
            </w:r>
          </w:p>
        </w:tc>
      </w:tr>
      <w:tr w14:paraId="55E0AC4B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F0C72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B94C4A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Gender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54809B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is described as female.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7A87D6E">
            <w:pP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cs="Times New Roman"/>
                <w:sz w:val="24"/>
                <w:szCs w:val="24"/>
              </w:rPr>
              <w:t xml:space="preserve">2.4; p. 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9</w:t>
            </w:r>
          </w:p>
        </w:tc>
      </w:tr>
      <w:tr w14:paraId="4C3696E6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273E901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62A89D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Training and experience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48F6BB8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completed structured, comprehensive qualitative research training. The team’s neonatal nursing and qualitative health research backgrounds are described.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C84C2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2.4–2.5; pp. 8–9</w:t>
            </w:r>
          </w:p>
        </w:tc>
      </w:tr>
      <w:tr w14:paraId="6D1B4366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6547D41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0FA13F3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Prior participant relationship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3803034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had no personal or clinical relationship with participants before recruitment, but worked at the same institution as the NICU.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6A1ED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2.4–2.5; pp. 8–9</w:t>
            </w:r>
          </w:p>
        </w:tc>
      </w:tr>
      <w:tr w14:paraId="0DCD3326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9F5989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6DECA2E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Information about the interviewer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A32C9B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Parents were told that KS was a nurse and researcher interested in transition experiences, caregiving confidence and nursing support needs.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79716218">
            <w:pP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cs="Times New Roman"/>
                <w:sz w:val="24"/>
                <w:szCs w:val="24"/>
              </w:rPr>
              <w:t xml:space="preserve">2.4; p. 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9</w:t>
            </w:r>
          </w:p>
        </w:tc>
      </w:tr>
      <w:tr w14:paraId="4495E0F2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142FF92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0F76C1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Researcher positioning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59ED5E9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Nursing assumptions, institutional authority, socially desirable responses and possible reluctance to criticise care are acknowledged. Reflexive dialogue considered alternative interpretations.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252FBE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2.5; p. 9</w:t>
            </w:r>
          </w:p>
        </w:tc>
      </w:tr>
    </w:tbl>
    <w:p w14:paraId="44E38792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¹ Item focus labels are paraphrased; original checklist numbering is retained. ² Pages refer to the 32-page rendering of the supplied clean manuscript, counting the title page as page 1. Section references are the primary locators; pagination may change in Word.</w:t>
      </w:r>
    </w:p>
    <w:p w14:paraId="67D4CCD8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Checklist source: Tong A, Sainsbury P, Craig J. Int J Qual Health Care. 2007;19:349–357. doi:10.1093/intqhc/mzm042. https://www.equator-network.org/reporting-guidelines/coreq/</w:t>
      </w:r>
    </w:p>
    <w:p w14:paraId="69C36E61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096E7F5F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Supplementary S3. COREQ and SRQR reporting checklists</w:t>
      </w:r>
    </w:p>
    <w:p w14:paraId="6F1903D9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COREQ: items 9–16</w:t>
      </w:r>
    </w:p>
    <w:tbl>
      <w:tblPr>
        <w:tblStyle w:val="32"/>
        <w:tblW w:w="14976" w:type="dxa"/>
        <w:tblInd w:w="100" w:type="dxa"/>
        <w:tblLayout w:type="fixed"/>
        <w:tblCellMar>
          <w:top w:w="95" w:type="dxa"/>
          <w:left w:w="100" w:type="dxa"/>
          <w:bottom w:w="95" w:type="dxa"/>
          <w:right w:w="100" w:type="dxa"/>
        </w:tblCellMar>
      </w:tblPr>
      <w:tblGrid>
        <w:gridCol w:w="550"/>
        <w:gridCol w:w="2400"/>
        <w:gridCol w:w="9200"/>
        <w:gridCol w:w="2826"/>
      </w:tblGrid>
      <w:tr w14:paraId="25C98A21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  <w:tblHeader/>
        </w:trPr>
        <w:tc>
          <w:tcPr>
            <w:tcW w:w="550" w:type="dxa"/>
            <w:tcBorders>
              <w:top w:val="single" w:color="000000" w:sz="6" w:space="0"/>
              <w:bottom w:val="single" w:color="000000" w:sz="6" w:space="0"/>
            </w:tcBorders>
          </w:tcPr>
          <w:p w14:paraId="2DB59FB5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</w:tcBorders>
          </w:tcPr>
          <w:p w14:paraId="2BBCB09B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Item focus¹</w:t>
            </w:r>
          </w:p>
        </w:tc>
        <w:tc>
          <w:tcPr>
            <w:tcW w:w="9200" w:type="dxa"/>
            <w:tcBorders>
              <w:top w:val="single" w:color="000000" w:sz="6" w:space="0"/>
              <w:bottom w:val="single" w:color="000000" w:sz="6" w:space="0"/>
            </w:tcBorders>
          </w:tcPr>
          <w:p w14:paraId="00CFF996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Manuscript-specific response</w:t>
            </w:r>
          </w:p>
        </w:tc>
        <w:tc>
          <w:tcPr>
            <w:tcW w:w="2826" w:type="dxa"/>
            <w:tcBorders>
              <w:top w:val="single" w:color="000000" w:sz="6" w:space="0"/>
              <w:bottom w:val="single" w:color="000000" w:sz="6" w:space="0"/>
            </w:tcBorders>
          </w:tcPr>
          <w:p w14:paraId="45A6A9B6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 location²</w:t>
            </w:r>
          </w:p>
        </w:tc>
      </w:tr>
      <w:tr w14:paraId="63CC7790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3FC4DF3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7EB428E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Methodological orientation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609223A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Qualitative description with inductive reflexive thematic analysis; the rationale and researcher interpretation are explained. Three theories were introduced after initial theme development.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16E695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2.1; pp. 5–6; 2.6; pp. 10–11</w:t>
            </w:r>
          </w:p>
        </w:tc>
      </w:tr>
      <w:tr w14:paraId="2F5514CC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3613AF4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C38C43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Participant selection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8CD128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Purposive sampling sought variation in parental role, prior parenting experience, hospital distance, infant gestational age and length of stay. Eligibility criteria are specified.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E4CB1F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2.3; pp. 8</w:t>
            </w:r>
          </w:p>
        </w:tc>
      </w:tr>
      <w:tr w14:paraId="7DC1FD97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6E0BA0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4F16C9B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Initial contact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38457A6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approached parents face to face at the follow-up clinic or by telephone. YG explained the study, obtained consent and scheduled interviews for interested parents.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5C74893E">
            <w:pP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cs="Times New Roman"/>
                <w:sz w:val="24"/>
                <w:szCs w:val="24"/>
              </w:rPr>
              <w:t xml:space="preserve">2.3; p. </w:t>
            </w:r>
            <w:r>
              <w:rPr>
                <w:rFonts w:hint="eastAsia" w:eastAsia="宋体" w:cs="Times New Roman"/>
                <w:sz w:val="24"/>
                <w:szCs w:val="24"/>
                <w:lang w:val="en-US" w:eastAsia="zh-CN"/>
              </w:rPr>
              <w:t>8</w:t>
            </w:r>
            <w:bookmarkStart w:id="0" w:name="_GoBack"/>
            <w:bookmarkEnd w:id="0"/>
          </w:p>
        </w:tc>
      </w:tr>
      <w:tr w14:paraId="47579CA8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162A838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78051E5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Sample size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776B09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Thirty parents enrolled; 24 were interviewed and analysed: 16 mothers and eight fathers representing 22 infants. Both parents participated in two families.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04B646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2.3; pp. 7–8; Table 1; pp. 12–13</w:t>
            </w:r>
          </w:p>
        </w:tc>
      </w:tr>
      <w:tr w14:paraId="229EEBDB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0721BFB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34C3709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Non-participation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48C25C4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Six parents withdrew before interviews began because of work commitments, scheduling difficulties or infant care responsibilities. Numbers by reason and refusals before enrolment are not reported. Table 1 uses the less specific wording “before completing an interview”.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35A84A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2.3; p. 7; Table 1; p. 12</w:t>
            </w:r>
          </w:p>
        </w:tc>
      </w:tr>
      <w:tr w14:paraId="1D6DA8DC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5CB027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182A0A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Interview location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FDF2C8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Interviews took place in a private counselling room or via secure video call.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4FBCEA1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</w:t>
            </w:r>
          </w:p>
        </w:tc>
      </w:tr>
      <w:tr w14:paraId="6C4E4E16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12F3C95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D805B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Others present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304FE7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No one other than KS and the parent was present. Mothers and fathers from the same family were interviewed separately.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481380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</w:t>
            </w:r>
          </w:p>
        </w:tc>
      </w:tr>
      <w:tr w14:paraId="2760D4FB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1316860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62205A8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Sample context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E3E291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Parental role, first-time parenting, grandparent co-care, distance, infant gestational age, birthweight, NICU stay and post-discharge interval are described. Discharge weight and detailed neonatal severity indicators were not systematically collected.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1BC143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Table 1; pp. 12–13; 4.6; pp. 26–27</w:t>
            </w:r>
          </w:p>
        </w:tc>
      </w:tr>
    </w:tbl>
    <w:p w14:paraId="48D767D8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¹ Item focus labels are paraphrased; original checklist numbering is retained. ² Pages refer to the 32-page rendering of the supplied clean manuscript, counting the title page as page 1. Section references are the primary locators; pagination may change in Word.</w:t>
      </w:r>
    </w:p>
    <w:p w14:paraId="0AB79EF7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415A26DF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Supplementary S3. COREQ and SRQR reporting checklists</w:t>
      </w:r>
    </w:p>
    <w:p w14:paraId="3A921B3E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COREQ: items 17–24</w:t>
      </w:r>
    </w:p>
    <w:tbl>
      <w:tblPr>
        <w:tblStyle w:val="32"/>
        <w:tblW w:w="14976" w:type="dxa"/>
        <w:tblInd w:w="100" w:type="dxa"/>
        <w:tblLayout w:type="fixed"/>
        <w:tblCellMar>
          <w:top w:w="95" w:type="dxa"/>
          <w:left w:w="100" w:type="dxa"/>
          <w:bottom w:w="95" w:type="dxa"/>
          <w:right w:w="100" w:type="dxa"/>
        </w:tblCellMar>
      </w:tblPr>
      <w:tblGrid>
        <w:gridCol w:w="550"/>
        <w:gridCol w:w="2400"/>
        <w:gridCol w:w="9200"/>
        <w:gridCol w:w="2826"/>
      </w:tblGrid>
      <w:tr w14:paraId="3358C65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  <w:tblHeader/>
        </w:trPr>
        <w:tc>
          <w:tcPr>
            <w:tcW w:w="550" w:type="dxa"/>
            <w:tcBorders>
              <w:top w:val="single" w:color="000000" w:sz="6" w:space="0"/>
              <w:bottom w:val="single" w:color="000000" w:sz="6" w:space="0"/>
            </w:tcBorders>
          </w:tcPr>
          <w:p w14:paraId="122BF863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</w:tcBorders>
          </w:tcPr>
          <w:p w14:paraId="3BE49FCB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Item focus¹</w:t>
            </w:r>
          </w:p>
        </w:tc>
        <w:tc>
          <w:tcPr>
            <w:tcW w:w="9200" w:type="dxa"/>
            <w:tcBorders>
              <w:top w:val="single" w:color="000000" w:sz="6" w:space="0"/>
              <w:bottom w:val="single" w:color="000000" w:sz="6" w:space="0"/>
            </w:tcBorders>
          </w:tcPr>
          <w:p w14:paraId="4CD30091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Manuscript-specific response</w:t>
            </w:r>
          </w:p>
        </w:tc>
        <w:tc>
          <w:tcPr>
            <w:tcW w:w="2826" w:type="dxa"/>
            <w:tcBorders>
              <w:top w:val="single" w:color="000000" w:sz="6" w:space="0"/>
              <w:bottom w:val="single" w:color="000000" w:sz="6" w:space="0"/>
            </w:tcBorders>
          </w:tcPr>
          <w:p w14:paraId="55C9A200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 location²</w:t>
            </w:r>
          </w:p>
        </w:tc>
      </w:tr>
      <w:tr w14:paraId="3858E4F0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6FBE10D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6998A6A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Interview questions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03F18E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The study-specific guide, its developers, topics and example prompts are described. Supplementary S1 is cited but was not supplied for this assessment. Pilot testing is not reported.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2FAA6E5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pp. 8–9; Supplementary S1 (cited only)</w:t>
            </w:r>
          </w:p>
        </w:tc>
      </w:tr>
      <w:tr w14:paraId="69ED038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553AE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36561F0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Repeat interviews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0F1FEB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No repeat interviews were conducted.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7EC5161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</w:t>
            </w:r>
          </w:p>
        </w:tc>
      </w:tr>
      <w:tr w14:paraId="1FD1E886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4AD8BC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50D8A93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Recording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2E14F5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Interviews were audio-recorded with consent and transcribed verbatim.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8AEAA8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</w:t>
            </w:r>
          </w:p>
        </w:tc>
      </w:tr>
      <w:tr w14:paraId="71EF528D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2D2157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608EB70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Field notes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5E10228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documented context, non-verbal cues, emotional shifts and initial analytic reflections after interviews.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2C090AC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</w:t>
            </w:r>
          </w:p>
        </w:tc>
      </w:tr>
      <w:tr w14:paraId="0541FE2B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053ED86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5700673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Interview length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4583AE1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Interviews lasted 38–82 minutes.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7BAD31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</w:t>
            </w:r>
          </w:p>
        </w:tc>
      </w:tr>
      <w:tr w14:paraId="125705F2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FC06A0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3B1319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Stopping recruitment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5FC74E0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Saturation was explicitly not used as a stopping criterion. CL assessed information power iteratively; recruitment ended when the team judged the accounts sufficiently rich, relevant and varied for the aim.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7C09783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2.3; pp. 7–8</w:t>
            </w:r>
          </w:p>
        </w:tc>
      </w:tr>
      <w:tr w14:paraId="6D182098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2F8BCE8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17F2B6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Transcript review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6B0A26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Transcripts were returned to ten parents before analysis for accuracy checks and clarification; eight responded. Selection of these ten parents and resulting transcript changes are not specified.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153F62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</w:t>
            </w:r>
          </w:p>
        </w:tc>
      </w:tr>
      <w:tr w14:paraId="0C0E0C7E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1A757E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1BE466A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Coding responsibilities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443DD4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 and YG coded early transcripts; KS coded the remainder and developed candidate themes. CL discussed theme review and refinement with KS. The number of early transcripts is unspecified, and the author-contribution statement lists a different analysis team.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5A8DC6B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2.6; p. 10; Authors’ contributions; p. 28</w:t>
            </w:r>
          </w:p>
        </w:tc>
      </w:tr>
    </w:tbl>
    <w:p w14:paraId="1201EA5C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¹ Item focus labels are paraphrased; original checklist numbering is retained. ² Pages refer to the 32-page rendering of the supplied clean manuscript, counting the title page as page 1. Section references are the primary locators; pagination may change in Word.</w:t>
      </w:r>
    </w:p>
    <w:p w14:paraId="6E8881D1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05E92A30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Supplementary S3. COREQ and SRQR reporting checklists</w:t>
      </w:r>
    </w:p>
    <w:p w14:paraId="5D041F45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COREQ: items 25–32</w:t>
      </w:r>
    </w:p>
    <w:tbl>
      <w:tblPr>
        <w:tblStyle w:val="32"/>
        <w:tblW w:w="14976" w:type="dxa"/>
        <w:tblInd w:w="100" w:type="dxa"/>
        <w:tblLayout w:type="fixed"/>
        <w:tblCellMar>
          <w:top w:w="95" w:type="dxa"/>
          <w:left w:w="100" w:type="dxa"/>
          <w:bottom w:w="95" w:type="dxa"/>
          <w:right w:w="100" w:type="dxa"/>
        </w:tblCellMar>
      </w:tblPr>
      <w:tblGrid>
        <w:gridCol w:w="550"/>
        <w:gridCol w:w="2400"/>
        <w:gridCol w:w="9200"/>
        <w:gridCol w:w="2826"/>
      </w:tblGrid>
      <w:tr w14:paraId="0E87A37B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  <w:tblHeader/>
        </w:trPr>
        <w:tc>
          <w:tcPr>
            <w:tcW w:w="550" w:type="dxa"/>
            <w:tcBorders>
              <w:top w:val="single" w:color="000000" w:sz="6" w:space="0"/>
              <w:bottom w:val="single" w:color="000000" w:sz="6" w:space="0"/>
            </w:tcBorders>
          </w:tcPr>
          <w:p w14:paraId="02307DE0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</w:tcBorders>
          </w:tcPr>
          <w:p w14:paraId="1959ABC1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Item focus¹</w:t>
            </w:r>
          </w:p>
        </w:tc>
        <w:tc>
          <w:tcPr>
            <w:tcW w:w="9200" w:type="dxa"/>
            <w:tcBorders>
              <w:top w:val="single" w:color="000000" w:sz="6" w:space="0"/>
              <w:bottom w:val="single" w:color="000000" w:sz="6" w:space="0"/>
            </w:tcBorders>
          </w:tcPr>
          <w:p w14:paraId="201ED97E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Manuscript-specific response</w:t>
            </w:r>
          </w:p>
        </w:tc>
        <w:tc>
          <w:tcPr>
            <w:tcW w:w="2826" w:type="dxa"/>
            <w:tcBorders>
              <w:top w:val="single" w:color="000000" w:sz="6" w:space="0"/>
              <w:bottom w:val="single" w:color="000000" w:sz="6" w:space="0"/>
            </w:tcBorders>
          </w:tcPr>
          <w:p w14:paraId="5A8A811A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 location²</w:t>
            </w:r>
          </w:p>
        </w:tc>
      </w:tr>
      <w:tr w14:paraId="50A4579B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049761C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3E8EDCB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Coding structure example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9B5647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The progression from codes to themes is described. An excerpt–code–theme example is cited as Supplementary S2, but this supplement was not supplied and cannot be verified here.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EDD08B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2.6; p. 10; Supplementary S2 (cited only)</w:t>
            </w:r>
          </w:p>
        </w:tc>
      </w:tr>
      <w:tr w14:paraId="3935105E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BC1AA3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5FAB5F0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Theme derivation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4C68D2E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Four themes were developed inductively, then interpreted through complementary theoretical lenses. The theories did not generate or validate themes.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C70A9F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2.6; pp. 10–11</w:t>
            </w:r>
          </w:p>
        </w:tc>
      </w:tr>
      <w:tr w14:paraId="4CCA6A18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3C1C36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7B7358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Analysis software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31C1A7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NVivo organised transcripts, codes and memos; coding decisions were made manually. The software version is not reported.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8310CF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2.6; p. 10</w:t>
            </w:r>
          </w:p>
        </w:tc>
      </w:tr>
      <w:tr w14:paraId="4CE9C93C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0C54EDD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31342F4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Feedback on findings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3A05E9F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A small group reviewed a preliminary findings summary and helped distinguish feeding from respiratory uncertainty. The number involved is not reported. This is separate from transcript checking by eight respondents in Section 2.4.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FEE882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2.8; p. 12; 2.4; p. 8</w:t>
            </w:r>
          </w:p>
        </w:tc>
      </w:tr>
      <w:tr w14:paraId="4DEDC3B6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3FD9DBD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3D28C5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Supporting quotations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5F5D930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Quotations support all four themes and are labelled with participant number, parental role, infant gestational-age information and time since discharge.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23DF708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3.1–3.4; pp. 15–19; 2.9; p. 12</w:t>
            </w:r>
          </w:p>
        </w:tc>
      </w:tr>
      <w:tr w14:paraId="6C4F0F0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357A0BF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628C27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Evidence–interpretation fit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4B925A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Quotations and accounts illustrate the interpretations; Table 2 separates experience, interpretation and practice implications. However, “most frequently described” in 3.3 should be reconciled with the statement that theme frequencies were not quantified.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4DE52F2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3.1–3.4; pp. 15–20; Table 2; pp. 14–15; 2.6; p. 10</w:t>
            </w:r>
          </w:p>
        </w:tc>
      </w:tr>
      <w:tr w14:paraId="5594A7D3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3000AFA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55E619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Main themes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30D1ECB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Four named themes are presented in separate Results subsections, summarised in Table 2 and linked to caregiving calibration.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072F7A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3.1–3.4; pp. 15–20; Table 2; pp. 14–15</w:t>
            </w:r>
          </w:p>
        </w:tc>
      </w:tr>
      <w:tr w14:paraId="68A43B57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2F72CC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1F7DE5E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Variation and contrasting accounts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3BE8877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Contrasts include relief and limited initial fear after discharge, smoother routines when advice was shared, and more selective help-seeking. Formal subthemes are not separately named.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2A17F7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3.1; p. 16; 3.3; p. 18; 3.4; pp. 19–20; 2.8; p. 12</w:t>
            </w:r>
          </w:p>
        </w:tc>
      </w:tr>
    </w:tbl>
    <w:p w14:paraId="7F857881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¹ Item focus labels are paraphrased; original checklist numbering is retained. ² Pages refer to the 32-page rendering of the supplied clean manuscript, counting the title page as page 1. Section references are the primary locators; pagination may change in Word.</w:t>
      </w:r>
    </w:p>
    <w:p w14:paraId="3E6CEF64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742892FC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Supplementary S3. COREQ and SRQR reporting checklists</w:t>
      </w:r>
    </w:p>
    <w:p w14:paraId="539BCE93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SRQR: items 1–7</w:t>
      </w:r>
    </w:p>
    <w:tbl>
      <w:tblPr>
        <w:tblStyle w:val="32"/>
        <w:tblW w:w="14976" w:type="dxa"/>
        <w:tblInd w:w="100" w:type="dxa"/>
        <w:tblLayout w:type="fixed"/>
        <w:tblCellMar>
          <w:top w:w="95" w:type="dxa"/>
          <w:left w:w="100" w:type="dxa"/>
          <w:bottom w:w="95" w:type="dxa"/>
          <w:right w:w="100" w:type="dxa"/>
        </w:tblCellMar>
      </w:tblPr>
      <w:tblGrid>
        <w:gridCol w:w="550"/>
        <w:gridCol w:w="2400"/>
        <w:gridCol w:w="9200"/>
        <w:gridCol w:w="2826"/>
      </w:tblGrid>
      <w:tr w14:paraId="71D909ED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  <w:tblHeader/>
        </w:trPr>
        <w:tc>
          <w:tcPr>
            <w:tcW w:w="550" w:type="dxa"/>
            <w:tcBorders>
              <w:top w:val="single" w:color="000000" w:sz="6" w:space="0"/>
              <w:bottom w:val="single" w:color="000000" w:sz="6" w:space="0"/>
            </w:tcBorders>
          </w:tcPr>
          <w:p w14:paraId="1B50AF27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</w:tcBorders>
          </w:tcPr>
          <w:p w14:paraId="015C252B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Item focus¹</w:t>
            </w:r>
          </w:p>
        </w:tc>
        <w:tc>
          <w:tcPr>
            <w:tcW w:w="9200" w:type="dxa"/>
            <w:tcBorders>
              <w:top w:val="single" w:color="000000" w:sz="6" w:space="0"/>
              <w:bottom w:val="single" w:color="000000" w:sz="6" w:space="0"/>
            </w:tcBorders>
          </w:tcPr>
          <w:p w14:paraId="470A865D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Manuscript-specific response</w:t>
            </w:r>
          </w:p>
        </w:tc>
        <w:tc>
          <w:tcPr>
            <w:tcW w:w="2826" w:type="dxa"/>
            <w:tcBorders>
              <w:top w:val="single" w:color="000000" w:sz="6" w:space="0"/>
              <w:bottom w:val="single" w:color="000000" w:sz="6" w:space="0"/>
            </w:tcBorders>
          </w:tcPr>
          <w:p w14:paraId="79D169E9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 location²</w:t>
            </w:r>
          </w:p>
        </w:tc>
      </w:tr>
      <w:tr w14:paraId="352EBE7F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2E5EB3B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022185F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Study identification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5B1D32B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 title identifies a qualitative study of parents of preterm infants transitioning from NICU monitoring to home caregiving.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A2E819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Title; p. 1</w:t>
            </w:r>
          </w:p>
        </w:tc>
      </w:tr>
      <w:tr w14:paraId="72B4706D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D4EE7E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3723539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Abstract coverage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614BD84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The structured abstract covers background, methods, four themes and conclusions. It lacks a clear standalone aim and retains “staged family transition”, which should be checked against the non-linear interpretation in the main text.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5B4C34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Abstract; pp. 1–2</w:t>
            </w:r>
          </w:p>
        </w:tc>
      </w:tr>
      <w:tr w14:paraId="14108D7A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0F4A0C8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6D00F9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Problem and rationale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6F28DD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 Background reviews transition challenges, discharge preparation, nursing support and the three theories, establishing a gap concerning how parents interpret cues and develop readiness at home.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72391CB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Background; pp. 2–5</w:t>
            </w:r>
          </w:p>
        </w:tc>
      </w:tr>
      <w:tr w14:paraId="1828591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A103CE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3BFCB9D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Study purpose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6971493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 aim concerns parents’ transition experiences, development of caregiving confidence and forms of nursing support that may facilitate the transition.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A13797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End of Background; p. 5</w:t>
            </w:r>
          </w:p>
        </w:tc>
      </w:tr>
      <w:tr w14:paraId="31DF7FB5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EEEDFC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0D0B00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Approach and assumptions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7A2C69D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Qualitative description and reflexive thematic analysis are justified, with theories introduced after initial theme development. A research paradigm or explicit epistemological position is not separately named.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14E50AE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2.1; pp. 5–6; 2.6; pp. 10–11</w:t>
            </w:r>
          </w:p>
        </w:tc>
      </w:tr>
      <w:tr w14:paraId="6B50EDF6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6633030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4E0890F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Researcher reflexivity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39AF2B8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KS’s qualifications, role, training, participant relationship and institutional affiliation are reported. Nursing assumptions and professional authority are examined through reflexive dialogue. Analysis-team attribution differs in the author-contribution statement.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1024B56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2.4–2.6; pp. 8–10; Authors’ contributions; p. 28</w:t>
            </w:r>
          </w:p>
        </w:tc>
      </w:tr>
      <w:tr w14:paraId="321A7CFC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1AC5EEA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36605E7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Study context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A15F6F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 tertiary children’s hospital with a level III NICU, regional referrals and usual discharge preparation is described. Interview locations are reported. The rationale for selecting this site is not explicit.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27B050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2.2–2.4; pp. 7–9</w:t>
            </w:r>
          </w:p>
        </w:tc>
      </w:tr>
    </w:tbl>
    <w:p w14:paraId="3D399575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¹ Item focus labels are paraphrased; original checklist numbering is retained. ² Pages refer to the 32-page rendering of the supplied clean manuscript, counting the title page as page 1. Section references are the primary locators; pagination may change in Word.</w:t>
      </w:r>
    </w:p>
    <w:p w14:paraId="65276F09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Checklist source: O’Brien BC, Harris IB, Beckman TJ, Reed DA, Cook DA. Acad Med. 2014;89:1245–1251. doi:10.1097/ACM.0000000000000388. https://www.equator-network.org/reporting-guidelines/srqr/</w:t>
      </w:r>
    </w:p>
    <w:p w14:paraId="34DB9BB0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67F08C99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Supplementary S3. COREQ and SRQR reporting checklists</w:t>
      </w:r>
    </w:p>
    <w:p w14:paraId="124EA55F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SRQR: items 8–14</w:t>
      </w:r>
    </w:p>
    <w:tbl>
      <w:tblPr>
        <w:tblStyle w:val="32"/>
        <w:tblW w:w="14976" w:type="dxa"/>
        <w:tblInd w:w="100" w:type="dxa"/>
        <w:tblLayout w:type="fixed"/>
        <w:tblCellMar>
          <w:top w:w="95" w:type="dxa"/>
          <w:left w:w="100" w:type="dxa"/>
          <w:bottom w:w="95" w:type="dxa"/>
          <w:right w:w="100" w:type="dxa"/>
        </w:tblCellMar>
      </w:tblPr>
      <w:tblGrid>
        <w:gridCol w:w="550"/>
        <w:gridCol w:w="2400"/>
        <w:gridCol w:w="9200"/>
        <w:gridCol w:w="2826"/>
      </w:tblGrid>
      <w:tr w14:paraId="583DD0E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  <w:tblHeader/>
        </w:trPr>
        <w:tc>
          <w:tcPr>
            <w:tcW w:w="550" w:type="dxa"/>
            <w:tcBorders>
              <w:top w:val="single" w:color="000000" w:sz="6" w:space="0"/>
              <w:bottom w:val="single" w:color="000000" w:sz="6" w:space="0"/>
            </w:tcBorders>
          </w:tcPr>
          <w:p w14:paraId="6E2AF48B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</w:tcBorders>
          </w:tcPr>
          <w:p w14:paraId="00F459D5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Item focus¹</w:t>
            </w:r>
          </w:p>
        </w:tc>
        <w:tc>
          <w:tcPr>
            <w:tcW w:w="9200" w:type="dxa"/>
            <w:tcBorders>
              <w:top w:val="single" w:color="000000" w:sz="6" w:space="0"/>
              <w:bottom w:val="single" w:color="000000" w:sz="6" w:space="0"/>
            </w:tcBorders>
          </w:tcPr>
          <w:p w14:paraId="3926F20F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Manuscript-specific response</w:t>
            </w:r>
          </w:p>
        </w:tc>
        <w:tc>
          <w:tcPr>
            <w:tcW w:w="2826" w:type="dxa"/>
            <w:tcBorders>
              <w:top w:val="single" w:color="000000" w:sz="6" w:space="0"/>
              <w:bottom w:val="single" w:color="000000" w:sz="6" w:space="0"/>
            </w:tcBorders>
          </w:tcPr>
          <w:p w14:paraId="2620ED56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 location²</w:t>
            </w:r>
          </w:p>
        </w:tc>
      </w:tr>
      <w:tr w14:paraId="4B8889E7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6845E3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F1F99E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Sampling rationale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6A60340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Purposive variation, eligibility, recruitment roles, withdrawals and information power are described. CL evaluated adequacy iteratively; the team judged when recruitment could end.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7B87C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2.3; pp. 7–8</w:t>
            </w:r>
          </w:p>
        </w:tc>
      </w:tr>
      <w:tr w14:paraId="4ED70B07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01F35A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58599C6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Ethics and confidentiality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0D32F9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Approval 2025-04-043-K01, consent, voluntary participation, stopping interviews and anonymised identifiers are reported. Data-security arrangements and assurance that refusal would not affect clinical care are not stated.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40D5382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2.9; p. 12; ethics/data declarations; pp. 27–28</w:t>
            </w:r>
          </w:p>
        </w:tc>
      </w:tr>
      <w:tr w14:paraId="60D805B1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2ACEE3F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5E0C14B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Collection procedures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08424E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Mandarin interviews, individual participation, location, duration, recording, field notes and transcript review are described. Calendar dates and any iterative changes to collection procedures are not reported.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88852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2.3–2.4; pp. 7–9</w:t>
            </w:r>
          </w:p>
        </w:tc>
      </w:tr>
      <w:tr w14:paraId="7ABC587E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A5F518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15C6CBE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Collection tools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68866E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The study-specific guide, developers, topics and example prompts are reported, along with audio recording and secure video calls. Guide revisions are not described; cited Supplementary S1 was not supplied.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9E0A8E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pp. 8–9; Supplementary S1 (cited only)</w:t>
            </w:r>
          </w:p>
        </w:tc>
      </w:tr>
      <w:tr w14:paraId="58D4610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269BCA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41C457A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Study units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462DFE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 analysed units were interviews with 24 parents representing 22 infants. Enrolment, withdrawals, paired-family participation and contextual characteristics are reported. Each parent had a separate interview and identifier.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033A88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2.3–2.4; pp. 7–8; 2.9; p. 12; Table 1; pp. 12–13</w:t>
            </w:r>
          </w:p>
        </w:tc>
      </w:tr>
      <w:tr w14:paraId="17477A97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669B7FF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768A26C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Data preparation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CFFD6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Verbatim transcription, transcript review, NVivo organisation, manual coding, Chinese-language analysis, translation checks and de-identification are described. Storage, access controls and retention procedures are not reported.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DE2223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2.4; p. 8; 2.6–2.9; pp. 10–12; data statement; p. 28</w:t>
            </w:r>
          </w:p>
        </w:tc>
      </w:tr>
      <w:tr w14:paraId="278F207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2C36A7D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47D159F7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Analytic process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45752C6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Recursive thematic analysis, coder roles, theme review, later theoretical interpretation and visual synthesis are explained. No inter-coder agreement or frequency analysis was undertaken. The author-contribution statement requires reconciliation with the named analysts.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3B3627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2.6; pp. 10–11; Authors’ contributions; p. 28</w:t>
            </w:r>
          </w:p>
        </w:tc>
      </w:tr>
    </w:tbl>
    <w:p w14:paraId="38DD97D3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¹ Item focus labels are paraphrased; original checklist numbering is retained. ² Pages refer to the 32-page rendering of the supplied clean manuscript, counting the title page as page 1. Section references are the primary locators; pagination may change in Word.</w:t>
      </w:r>
    </w:p>
    <w:p w14:paraId="281659A3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p w14:paraId="7C798FD6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Supplementary S3. COREQ and SRQR reporting checklists</w:t>
      </w:r>
    </w:p>
    <w:p w14:paraId="5E900BD6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>SRQR: items 15–21</w:t>
      </w:r>
    </w:p>
    <w:tbl>
      <w:tblPr>
        <w:tblStyle w:val="32"/>
        <w:tblW w:w="14976" w:type="dxa"/>
        <w:tblInd w:w="100" w:type="dxa"/>
        <w:tblLayout w:type="fixed"/>
        <w:tblCellMar>
          <w:top w:w="95" w:type="dxa"/>
          <w:left w:w="100" w:type="dxa"/>
          <w:bottom w:w="95" w:type="dxa"/>
          <w:right w:w="100" w:type="dxa"/>
        </w:tblCellMar>
      </w:tblPr>
      <w:tblGrid>
        <w:gridCol w:w="550"/>
        <w:gridCol w:w="2400"/>
        <w:gridCol w:w="9200"/>
        <w:gridCol w:w="2826"/>
      </w:tblGrid>
      <w:tr w14:paraId="063203AE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  <w:tblHeader/>
        </w:trPr>
        <w:tc>
          <w:tcPr>
            <w:tcW w:w="550" w:type="dxa"/>
            <w:tcBorders>
              <w:top w:val="single" w:color="000000" w:sz="6" w:space="0"/>
              <w:bottom w:val="single" w:color="000000" w:sz="6" w:space="0"/>
            </w:tcBorders>
          </w:tcPr>
          <w:p w14:paraId="5722FDC3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2400" w:type="dxa"/>
            <w:tcBorders>
              <w:top w:val="single" w:color="000000" w:sz="6" w:space="0"/>
              <w:bottom w:val="single" w:color="000000" w:sz="6" w:space="0"/>
            </w:tcBorders>
          </w:tcPr>
          <w:p w14:paraId="746E06B1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Item focus¹</w:t>
            </w:r>
          </w:p>
        </w:tc>
        <w:tc>
          <w:tcPr>
            <w:tcW w:w="9200" w:type="dxa"/>
            <w:tcBorders>
              <w:top w:val="single" w:color="000000" w:sz="6" w:space="0"/>
              <w:bottom w:val="single" w:color="000000" w:sz="6" w:space="0"/>
            </w:tcBorders>
          </w:tcPr>
          <w:p w14:paraId="3C03A0DF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Manuscript-specific response</w:t>
            </w:r>
          </w:p>
        </w:tc>
        <w:tc>
          <w:tcPr>
            <w:tcW w:w="2826" w:type="dxa"/>
            <w:tcBorders>
              <w:top w:val="single" w:color="000000" w:sz="6" w:space="0"/>
              <w:bottom w:val="single" w:color="000000" w:sz="6" w:space="0"/>
            </w:tcBorders>
          </w:tcPr>
          <w:p w14:paraId="723F6C7E">
            <w:pPr>
              <w:keepNext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Manuscript location²</w:t>
            </w:r>
          </w:p>
        </w:tc>
      </w:tr>
      <w:tr w14:paraId="7D7B9149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7C3DEE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404A788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Trustworthiness practices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03FF2A51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Partly reported. Memos, an audit trail, reflexive dialogue, contextual description and discussion of contrasting cases are documented. Findings-review participant numbers are missing. The credibility wording about independent coding in 2.8 needs alignment with 2.6.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6F07134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2.5–2.8; pp. 9–12</w:t>
            </w:r>
          </w:p>
        </w:tc>
      </w:tr>
      <w:tr w14:paraId="46A1C288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08819F8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6FD190D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Interpretive synthesis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55AEC56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Four themes are integrated through caregiving calibration, formally defined in the Discussion and distinguished from confidence, competence and readiness. The visual matrix is described as a retrospective analytic synthesis.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2CD6C71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2.6; pp. 10–11; Results; pp. 12–20; 4.1; pp. 20–21</w:t>
            </w:r>
          </w:p>
        </w:tc>
      </w:tr>
      <w:tr w14:paraId="78E2C185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46B0C62E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06AFA65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Empirical support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B8CD9A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All four themes include identifiable-by-code quotations and contextual accounts. Contrasting experiences appear in the Results. Supplementary S2 is cited for an analytic example but was not available for verification.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0585CBA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3.1–3.4; pp. 15–20; 2.6; p. 10</w:t>
            </w:r>
          </w:p>
        </w:tc>
      </w:tr>
      <w:tr w14:paraId="0603BFE2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2E27153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2C648E4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Contribution and applicability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28B4253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 Discussion compares findings with literature and develops implications for readiness, nursing practice, equity and future research. Figure 3 is explicitly proposed and untested. The White et al. [32] citation in 4.1 does not match reference 32, which lists Lincoln and Guba.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2203C75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4.1–4.6; pp. 20–27; Figure 3; pp. 24–25; References; p. 32</w:t>
            </w:r>
          </w:p>
        </w:tc>
      </w:tr>
      <w:tr w14:paraId="373EF5F2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58E5021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648D0C2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Study limitations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2184D6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Single-site transferability, retrospective accounts, cross-sectional design, descriptive counts, uncollected clinical severity data and researchers’ nursing perspectives are acknowledged.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495E06F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4.6; pp. 26–27</w:t>
            </w:r>
          </w:p>
        </w:tc>
      </w:tr>
      <w:tr w14:paraId="23096684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056E1D2F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6C62468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Competing interests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11377FB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The authors declare no competing interests. Institutional and professional influences are separately considered in the reflexivity section.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192B091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Competing interests; p. 28; 2.5; p. 9</w:t>
            </w:r>
          </w:p>
        </w:tc>
      </w:tr>
      <w:tr w14:paraId="22292AEF">
        <w:tblPrEx>
          <w:tblCellMar>
            <w:top w:w="95" w:type="dxa"/>
            <w:left w:w="100" w:type="dxa"/>
            <w:bottom w:w="95" w:type="dxa"/>
            <w:right w:w="100" w:type="dxa"/>
          </w:tblCellMar>
        </w:tblPrEx>
        <w:trPr>
          <w:cantSplit/>
        </w:trPr>
        <w:tc>
          <w:tcPr>
            <w:tcW w:w="550" w:type="dxa"/>
            <w:tcBorders>
              <w:top w:val="single" w:color="C8C8C8" w:sz="2" w:space="0"/>
              <w:bottom w:val="single" w:color="C8C8C8" w:sz="2" w:space="0"/>
            </w:tcBorders>
          </w:tcPr>
          <w:p w14:paraId="3AAEACA5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2400" w:type="dxa"/>
            <w:tcBorders>
              <w:top w:val="single" w:color="C8C8C8" w:sz="2" w:space="0"/>
              <w:bottom w:val="single" w:color="C8C8C8" w:sz="2" w:space="0"/>
            </w:tcBorders>
          </w:tcPr>
          <w:p w14:paraId="5A2215D9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Financial support</w:t>
            </w:r>
          </w:p>
        </w:tc>
        <w:tc>
          <w:tcPr>
            <w:tcW w:w="9200" w:type="dxa"/>
            <w:tcBorders>
              <w:top w:val="single" w:color="C8C8C8" w:sz="2" w:space="0"/>
              <w:bottom w:val="single" w:color="C8C8C8" w:sz="2" w:space="0"/>
            </w:tcBorders>
          </w:tcPr>
          <w:p w14:paraId="68AD12D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No specific grant from public, commercial or not-for-profit funding agencies is reported. There is therefore no named grant funder whose role requires description.</w:t>
            </w:r>
          </w:p>
        </w:tc>
        <w:tc>
          <w:tcPr>
            <w:tcW w:w="2826" w:type="dxa"/>
            <w:tcBorders>
              <w:top w:val="single" w:color="C8C8C8" w:sz="2" w:space="0"/>
              <w:bottom w:val="single" w:color="C8C8C8" w:sz="2" w:space="0"/>
            </w:tcBorders>
          </w:tcPr>
          <w:p w14:paraId="52B91A0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Funding; p. 28</w:t>
            </w:r>
          </w:p>
        </w:tc>
      </w:tr>
    </w:tbl>
    <w:p w14:paraId="2060CDDF">
      <w:pPr>
        <w:spacing w:after="10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¹ Item focus labels are paraphrased; original checklist numbering is retained. ² Pages refer to the 32-page rendering of the supplied clean manuscript, counting the title page as page 1. Section references are the primary locators; pagination may change in Word.</w:t>
      </w:r>
    </w:p>
    <w:sectPr>
      <w:footerReference r:id="rId5" w:type="default"/>
      <w:pgSz w:w="16848" w:h="11952"/>
      <w:pgMar w:top="792" w:right="936" w:bottom="792" w:left="936" w:header="360" w:footer="36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9D50A">
    <w:pPr>
      <w:pStyle w:val="24"/>
      <w:jc w:val="right"/>
    </w:pPr>
    <w:r>
      <w:t xml:space="preserve">Supplementary S3 |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7ACA"/>
    <w:rsid w:val="0079054A"/>
    <w:rsid w:val="00A269A1"/>
    <w:rsid w:val="00AA1D8D"/>
    <w:rsid w:val="00B47730"/>
    <w:rsid w:val="00C66428"/>
    <w:rsid w:val="00CB0664"/>
    <w:rsid w:val="00FC693F"/>
    <w:rsid w:val="1FC57DA2"/>
    <w:rsid w:val="53D31D87"/>
    <w:rsid w:val="5B39640C"/>
    <w:rsid w:val="604D4C6F"/>
    <w:rsid w:val="7040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Theme="minorEastAsia" w:cstheme="minorBidi"/>
      <w:color w:val="000000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after="100"/>
      <w:outlineLvl w:val="0"/>
    </w:pPr>
    <w:rPr>
      <w:rFonts w:asciiTheme="majorHAnsi" w:hAnsiTheme="majorHAnsi" w:eastAsiaTheme="majorEastAsia" w:cstheme="majorBidi"/>
      <w:b/>
      <w:bCs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after="100"/>
      <w:outlineLvl w:val="1"/>
    </w:pPr>
    <w:rPr>
      <w:rFonts w:asciiTheme="majorHAnsi" w:hAnsiTheme="majorHAnsi" w:eastAsiaTheme="majorEastAsia" w:cstheme="majorBidi"/>
      <w:b/>
      <w:bCs/>
      <w:sz w:val="30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2130</Words>
  <Characters>13097</Characters>
  <Lines>108</Lines>
  <Paragraphs>30</Paragraphs>
  <TotalTime>2</TotalTime>
  <ScaleCrop>false</ScaleCrop>
  <LinksUpToDate>false</LinksUpToDate>
  <CharactersWithSpaces>14962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Dr. Lei</cp:lastModifiedBy>
  <dcterms:modified xsi:type="dcterms:W3CDTF">2026-09-06T06:24:16Z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A36695DE53BD468382F462A403556638_13</vt:lpwstr>
  </property>
  <property fmtid="{D5CDD505-2E9C-101B-9397-08002B2CF9AE}" pid="4" name="KSOTemplateDocerSaveRecord">
    <vt:lpwstr>eyJoZGlkIjoiYzk3YWE2Nzc3YTViZjYxNTdjM2Y3NjhlMjczYjg3Y2UiLCJ1c2VySWQiOiIyMDg0MDAzMzAifQ==</vt:lpwstr>
  </property>
</Properties>
</file>