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AE997C">
      <w:pPr>
        <w:pStyle w:val="2"/>
        <w:keepNext/>
        <w:keepLines w:val="0"/>
        <w:pageBreakBefore w:val="0"/>
        <w:kinsoku/>
        <w:wordWrap/>
        <w:overflowPunct/>
        <w:topLinePunct w:val="0"/>
        <w:autoSpaceDE/>
        <w:autoSpaceDN/>
        <w:bidi w:val="0"/>
        <w:adjustRightInd/>
        <w:snapToGrid/>
        <w:spacing w:before="320" w:after="160"/>
        <w:ind w:firstLine="0" w:firstLineChars="0"/>
        <w:jc w:val="both"/>
        <w:textAlignment w:val="auto"/>
      </w:pPr>
      <w:r>
        <w:rPr>
          <w:rFonts w:ascii="Times New Roman" w:hAnsi="Times New Roman" w:eastAsia="Times New Roman" w:cs="Times New Roman"/>
          <w:b/>
          <w:bCs/>
          <w:color w:val="1F3A5F"/>
          <w:sz w:val="30"/>
          <w:szCs w:val="30"/>
        </w:rPr>
        <w:t>Supplementary material</w:t>
      </w:r>
    </w:p>
    <w:p w14:paraId="1F9335DA">
      <w:pPr>
        <w:pStyle w:val="3"/>
        <w:keepNext/>
        <w:keepLines w:val="0"/>
        <w:pageBreakBefore w:val="0"/>
        <w:kinsoku/>
        <w:wordWrap/>
        <w:overflowPunct/>
        <w:topLinePunct w:val="0"/>
        <w:autoSpaceDE/>
        <w:autoSpaceDN/>
        <w:bidi w:val="0"/>
        <w:adjustRightInd/>
        <w:snapToGrid/>
        <w:spacing w:before="240" w:after="120"/>
        <w:ind w:firstLine="0" w:firstLineChars="0"/>
        <w:jc w:val="both"/>
        <w:textAlignment w:val="auto"/>
      </w:pPr>
      <w:r>
        <w:rPr>
          <w:rFonts w:ascii="Times New Roman" w:hAnsi="Times New Roman" w:eastAsia="Times New Roman" w:cs="Times New Roman"/>
          <w:b/>
          <w:bCs/>
          <w:color w:val="1F3A5F"/>
          <w:sz w:val="26"/>
          <w:szCs w:val="26"/>
        </w:rPr>
        <w:t>Appendix S</w:t>
      </w:r>
      <w:r>
        <w:rPr>
          <w:rFonts w:hint="eastAsia" w:eastAsia="宋体" w:cs="Times New Roman"/>
          <w:b/>
          <w:bCs/>
          <w:color w:val="1F3A5F"/>
          <w:sz w:val="26"/>
          <w:szCs w:val="26"/>
          <w:lang w:val="en-US" w:eastAsia="zh-CN"/>
        </w:rPr>
        <w:t>1</w:t>
      </w:r>
      <w:r>
        <w:rPr>
          <w:rFonts w:ascii="Times New Roman" w:hAnsi="Times New Roman" w:eastAsia="Times New Roman" w:cs="Times New Roman"/>
          <w:b/>
          <w:bCs/>
          <w:color w:val="1F3A5F"/>
          <w:sz w:val="26"/>
          <w:szCs w:val="26"/>
        </w:rPr>
        <w:t>. Sampling-dimension fill matrix (transparency presentation)</w:t>
      </w:r>
    </w:p>
    <w:p w14:paraId="59E54310">
      <w:pPr>
        <w:keepLines w:val="0"/>
        <w:pageBreakBefore w:val="0"/>
        <w:kinsoku/>
        <w:wordWrap/>
        <w:overflowPunct/>
        <w:topLinePunct w:val="0"/>
        <w:autoSpaceDE/>
        <w:autoSpaceDN/>
        <w:bidi w:val="0"/>
        <w:adjustRightInd/>
        <w:snapToGrid/>
        <w:spacing w:before="0" w:after="160" w:line="276" w:lineRule="auto"/>
        <w:ind w:firstLine="0" w:firstLineChars="0"/>
        <w:jc w:val="both"/>
        <w:textAlignment w:val="auto"/>
      </w:pPr>
      <w:r>
        <w:rPr>
          <w:rFonts w:ascii="Times New Roman" w:hAnsi="Times New Roman" w:eastAsia="Times New Roman" w:cs="Times New Roman"/>
          <w:b w:val="0"/>
          <w:bCs w:val="0"/>
          <w:i w:val="0"/>
          <w:iCs w:val="0"/>
          <w:sz w:val="22"/>
          <w:szCs w:val="22"/>
        </w:rPr>
        <w:t>Purpose: to show explicitly the sparsity of the 26 participants' distribution across sampling dimensions, so that readers do not assume the study 'covered all combinations of dimensions'.</w:t>
      </w:r>
    </w:p>
    <w:p w14:paraId="0040BC02">
      <w:pPr>
        <w:keepLines w:val="0"/>
        <w:pageBreakBefore w:val="0"/>
        <w:kinsoku/>
        <w:wordWrap/>
        <w:overflowPunct/>
        <w:topLinePunct w:val="0"/>
        <w:autoSpaceDE/>
        <w:autoSpaceDN/>
        <w:bidi w:val="0"/>
        <w:adjustRightInd/>
        <w:snapToGrid/>
        <w:spacing w:before="60" w:after="60" w:line="276" w:lineRule="auto"/>
        <w:ind w:firstLine="0" w:firstLineChars="0"/>
        <w:jc w:val="both"/>
        <w:textAlignment w:val="auto"/>
      </w:pPr>
      <w:r>
        <w:rPr>
          <w:rFonts w:ascii="Times New Roman" w:hAnsi="Times New Roman" w:eastAsia="Times New Roman" w:cs="Times New Roman"/>
          <w:b/>
          <w:bCs/>
          <w:i w:val="0"/>
          <w:iCs w:val="0"/>
          <w:color w:val="1F3A5F"/>
          <w:sz w:val="19"/>
          <w:szCs w:val="19"/>
        </w:rPr>
        <w:t>A. Institution type × geographic region (n per cell)</w:t>
      </w:r>
    </w:p>
    <w:tbl>
      <w:tblPr>
        <w:tblStyle w:val="10"/>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560"/>
        <w:gridCol w:w="1450"/>
        <w:gridCol w:w="1450"/>
        <w:gridCol w:w="1450"/>
        <w:gridCol w:w="1450"/>
      </w:tblGrid>
      <w:tr w14:paraId="0B97A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3560" w:type="dxa"/>
            <w:tcBorders>
              <w:top w:val="single" w:color="B8C2CC" w:sz="4" w:space="0"/>
              <w:left w:val="single" w:color="B8C2CC" w:sz="4" w:space="0"/>
              <w:bottom w:val="single" w:color="B8C2CC" w:sz="4" w:space="0"/>
              <w:right w:val="single" w:color="B8C2CC" w:sz="4" w:space="0"/>
            </w:tcBorders>
            <w:shd w:val="clear" w:color="auto" w:fill="1F3A5F"/>
            <w:tcMar>
              <w:top w:w="50" w:type="dxa"/>
              <w:left w:w="90" w:type="dxa"/>
              <w:bottom w:w="50" w:type="dxa"/>
              <w:right w:w="90" w:type="dxa"/>
            </w:tcMar>
            <w:vAlign w:val="center"/>
          </w:tcPr>
          <w:p w14:paraId="7BF1D10A">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bCs/>
                <w:i w:val="0"/>
                <w:iCs w:val="0"/>
                <w:color w:val="FFFFFF"/>
                <w:sz w:val="16"/>
                <w:szCs w:val="16"/>
              </w:rPr>
              <w:t>Institution type</w:t>
            </w:r>
          </w:p>
        </w:tc>
        <w:tc>
          <w:tcPr>
            <w:tcW w:w="1450" w:type="dxa"/>
            <w:tcBorders>
              <w:top w:val="single" w:color="B8C2CC" w:sz="4" w:space="0"/>
              <w:left w:val="single" w:color="B8C2CC" w:sz="4" w:space="0"/>
              <w:bottom w:val="single" w:color="B8C2CC" w:sz="4" w:space="0"/>
              <w:right w:val="single" w:color="B8C2CC" w:sz="4" w:space="0"/>
            </w:tcBorders>
            <w:shd w:val="clear" w:color="auto" w:fill="1F3A5F"/>
            <w:tcMar>
              <w:top w:w="50" w:type="dxa"/>
              <w:left w:w="90" w:type="dxa"/>
              <w:bottom w:w="50" w:type="dxa"/>
              <w:right w:w="90" w:type="dxa"/>
            </w:tcMar>
            <w:vAlign w:val="center"/>
          </w:tcPr>
          <w:p w14:paraId="4D71D547">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bCs/>
                <w:i w:val="0"/>
                <w:iCs w:val="0"/>
                <w:color w:val="FFFFFF"/>
                <w:sz w:val="16"/>
                <w:szCs w:val="16"/>
              </w:rPr>
              <w:t>East</w:t>
            </w:r>
          </w:p>
        </w:tc>
        <w:tc>
          <w:tcPr>
            <w:tcW w:w="1450" w:type="dxa"/>
            <w:tcBorders>
              <w:top w:val="single" w:color="B8C2CC" w:sz="4" w:space="0"/>
              <w:left w:val="single" w:color="B8C2CC" w:sz="4" w:space="0"/>
              <w:bottom w:val="single" w:color="B8C2CC" w:sz="4" w:space="0"/>
              <w:right w:val="single" w:color="B8C2CC" w:sz="4" w:space="0"/>
            </w:tcBorders>
            <w:shd w:val="clear" w:color="auto" w:fill="1F3A5F"/>
            <w:tcMar>
              <w:top w:w="50" w:type="dxa"/>
              <w:left w:w="90" w:type="dxa"/>
              <w:bottom w:w="50" w:type="dxa"/>
              <w:right w:w="90" w:type="dxa"/>
            </w:tcMar>
            <w:vAlign w:val="center"/>
          </w:tcPr>
          <w:p w14:paraId="52E9BCAE">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bCs/>
                <w:i w:val="0"/>
                <w:iCs w:val="0"/>
                <w:color w:val="FFFFFF"/>
                <w:sz w:val="16"/>
                <w:szCs w:val="16"/>
              </w:rPr>
              <w:t>Central</w:t>
            </w:r>
          </w:p>
        </w:tc>
        <w:tc>
          <w:tcPr>
            <w:tcW w:w="1450" w:type="dxa"/>
            <w:tcBorders>
              <w:top w:val="single" w:color="B8C2CC" w:sz="4" w:space="0"/>
              <w:left w:val="single" w:color="B8C2CC" w:sz="4" w:space="0"/>
              <w:bottom w:val="single" w:color="B8C2CC" w:sz="4" w:space="0"/>
              <w:right w:val="single" w:color="B8C2CC" w:sz="4" w:space="0"/>
            </w:tcBorders>
            <w:shd w:val="clear" w:color="auto" w:fill="1F3A5F"/>
            <w:tcMar>
              <w:top w:w="50" w:type="dxa"/>
              <w:left w:w="90" w:type="dxa"/>
              <w:bottom w:w="50" w:type="dxa"/>
              <w:right w:w="90" w:type="dxa"/>
            </w:tcMar>
            <w:vAlign w:val="center"/>
          </w:tcPr>
          <w:p w14:paraId="34E1CD20">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bCs/>
                <w:i w:val="0"/>
                <w:iCs w:val="0"/>
                <w:color w:val="FFFFFF"/>
                <w:sz w:val="16"/>
                <w:szCs w:val="16"/>
              </w:rPr>
              <w:t>West</w:t>
            </w:r>
          </w:p>
        </w:tc>
        <w:tc>
          <w:tcPr>
            <w:tcW w:w="1450" w:type="dxa"/>
            <w:tcBorders>
              <w:top w:val="single" w:color="B8C2CC" w:sz="4" w:space="0"/>
              <w:left w:val="single" w:color="B8C2CC" w:sz="4" w:space="0"/>
              <w:bottom w:val="single" w:color="B8C2CC" w:sz="4" w:space="0"/>
              <w:right w:val="single" w:color="B8C2CC" w:sz="4" w:space="0"/>
            </w:tcBorders>
            <w:shd w:val="clear" w:color="auto" w:fill="1F3A5F"/>
            <w:tcMar>
              <w:top w:w="50" w:type="dxa"/>
              <w:left w:w="90" w:type="dxa"/>
              <w:bottom w:w="50" w:type="dxa"/>
              <w:right w:w="90" w:type="dxa"/>
            </w:tcMar>
            <w:vAlign w:val="center"/>
          </w:tcPr>
          <w:p w14:paraId="2488D571">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bCs/>
                <w:i w:val="0"/>
                <w:iCs w:val="0"/>
                <w:color w:val="FFFFFF"/>
                <w:sz w:val="16"/>
                <w:szCs w:val="16"/>
              </w:rPr>
              <w:t>Total</w:t>
            </w:r>
          </w:p>
        </w:tc>
      </w:tr>
      <w:tr w14:paraId="65E3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56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67CE23CE">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Independent ophthalmology, tertiary Grade-A general</w:t>
            </w:r>
          </w:p>
        </w:tc>
        <w:tc>
          <w:tcPr>
            <w:tcW w:w="145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02394E5A">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5</w:t>
            </w:r>
          </w:p>
        </w:tc>
        <w:tc>
          <w:tcPr>
            <w:tcW w:w="145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59015579">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3</w:t>
            </w:r>
          </w:p>
        </w:tc>
        <w:tc>
          <w:tcPr>
            <w:tcW w:w="145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0999EB1F">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w:t>
            </w:r>
          </w:p>
        </w:tc>
        <w:tc>
          <w:tcPr>
            <w:tcW w:w="145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2BDBCDA4">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10</w:t>
            </w:r>
          </w:p>
        </w:tc>
      </w:tr>
      <w:tr w14:paraId="43D6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56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62AA1FC1">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Tertiary specialist eye hospital</w:t>
            </w:r>
          </w:p>
        </w:tc>
        <w:tc>
          <w:tcPr>
            <w:tcW w:w="145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7937A60B">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w:t>
            </w:r>
          </w:p>
        </w:tc>
        <w:tc>
          <w:tcPr>
            <w:tcW w:w="145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7194387F">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w:t>
            </w:r>
          </w:p>
        </w:tc>
        <w:tc>
          <w:tcPr>
            <w:tcW w:w="145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05F6C082">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45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5BA59BB1">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4</w:t>
            </w:r>
          </w:p>
        </w:tc>
      </w:tr>
      <w:tr w14:paraId="139DF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56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665C49B7">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Tertiary Grade-B / secondary specialist eye</w:t>
            </w:r>
          </w:p>
        </w:tc>
        <w:tc>
          <w:tcPr>
            <w:tcW w:w="145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071F47D5">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45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0DBCBF36">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w:t>
            </w:r>
          </w:p>
        </w:tc>
        <w:tc>
          <w:tcPr>
            <w:tcW w:w="145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6F433085">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3</w:t>
            </w:r>
          </w:p>
        </w:tc>
        <w:tc>
          <w:tcPr>
            <w:tcW w:w="145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5A3CDB49">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5</w:t>
            </w:r>
          </w:p>
        </w:tc>
      </w:tr>
      <w:tr w14:paraId="43788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56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0BD170E6">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Secondary general hospital, combined dept</w:t>
            </w:r>
          </w:p>
        </w:tc>
        <w:tc>
          <w:tcPr>
            <w:tcW w:w="145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1D466ABD">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45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079DDC32">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w:t>
            </w:r>
          </w:p>
        </w:tc>
        <w:tc>
          <w:tcPr>
            <w:tcW w:w="145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2D18D76A">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w:t>
            </w:r>
          </w:p>
        </w:tc>
        <w:tc>
          <w:tcPr>
            <w:tcW w:w="145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232022F4">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5</w:t>
            </w:r>
          </w:p>
        </w:tc>
      </w:tr>
      <w:tr w14:paraId="03BE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56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089BD66C">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Primary eye health/screening</w:t>
            </w:r>
          </w:p>
        </w:tc>
        <w:tc>
          <w:tcPr>
            <w:tcW w:w="145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4E4BF0E3">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45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24D95DE7">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45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58AD4E7E">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45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4B49A63A">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w:t>
            </w:r>
          </w:p>
        </w:tc>
      </w:tr>
      <w:tr w14:paraId="2E96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356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0555D5D9">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Total</w:t>
            </w:r>
          </w:p>
        </w:tc>
        <w:tc>
          <w:tcPr>
            <w:tcW w:w="145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5A97549D">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9</w:t>
            </w:r>
          </w:p>
        </w:tc>
        <w:tc>
          <w:tcPr>
            <w:tcW w:w="145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00DF2A4B">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8</w:t>
            </w:r>
          </w:p>
        </w:tc>
        <w:tc>
          <w:tcPr>
            <w:tcW w:w="145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4A31B353">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9</w:t>
            </w:r>
          </w:p>
        </w:tc>
        <w:tc>
          <w:tcPr>
            <w:tcW w:w="145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1D78A927">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26</w:t>
            </w:r>
          </w:p>
        </w:tc>
      </w:tr>
    </w:tbl>
    <w:p w14:paraId="51E72CB8">
      <w:pPr>
        <w:keepLines w:val="0"/>
        <w:pageBreakBefore w:val="0"/>
        <w:kinsoku/>
        <w:wordWrap/>
        <w:overflowPunct/>
        <w:topLinePunct w:val="0"/>
        <w:autoSpaceDE/>
        <w:autoSpaceDN/>
        <w:bidi w:val="0"/>
        <w:adjustRightInd/>
        <w:snapToGrid/>
        <w:spacing w:before="60" w:after="140" w:line="230" w:lineRule="auto"/>
        <w:ind w:firstLine="0" w:firstLineChars="0"/>
        <w:jc w:val="both"/>
        <w:textAlignment w:val="auto"/>
      </w:pPr>
      <w:r>
        <w:rPr>
          <w:rFonts w:ascii="Times New Roman" w:hAnsi="Times New Roman" w:eastAsia="Times New Roman" w:cs="Times New Roman"/>
          <w:b w:val="0"/>
          <w:bCs w:val="0"/>
          <w:i/>
          <w:iCs/>
          <w:color w:val="555555"/>
          <w:sz w:val="17"/>
          <w:szCs w:val="17"/>
        </w:rPr>
        <w:t>Note: western primary-eye-health functions were partly covered by combined-department posts at secondary general hospitals; pure primary-care posts were under-represented in the western region, which is a limitation of this study.</w:t>
      </w:r>
    </w:p>
    <w:p w14:paraId="4D5C9CF3">
      <w:pPr>
        <w:keepLines w:val="0"/>
        <w:pageBreakBefore w:val="0"/>
        <w:kinsoku/>
        <w:wordWrap/>
        <w:overflowPunct/>
        <w:topLinePunct w:val="0"/>
        <w:autoSpaceDE/>
        <w:autoSpaceDN/>
        <w:bidi w:val="0"/>
        <w:adjustRightInd/>
        <w:snapToGrid/>
        <w:spacing w:before="80" w:after="60" w:line="276" w:lineRule="auto"/>
        <w:ind w:firstLine="0" w:firstLineChars="0"/>
        <w:jc w:val="both"/>
        <w:textAlignment w:val="auto"/>
        <w:rPr>
          <w:rFonts w:ascii="Times New Roman" w:hAnsi="Times New Roman" w:eastAsia="Times New Roman" w:cs="Times New Roman"/>
          <w:b/>
          <w:bCs/>
          <w:i w:val="0"/>
          <w:iCs w:val="0"/>
          <w:color w:val="1F3A5F"/>
          <w:sz w:val="19"/>
          <w:szCs w:val="19"/>
        </w:rPr>
      </w:pPr>
    </w:p>
    <w:p w14:paraId="4178DEE8">
      <w:pPr>
        <w:keepLines w:val="0"/>
        <w:pageBreakBefore w:val="0"/>
        <w:kinsoku/>
        <w:wordWrap/>
        <w:overflowPunct/>
        <w:topLinePunct w:val="0"/>
        <w:autoSpaceDE/>
        <w:autoSpaceDN/>
        <w:bidi w:val="0"/>
        <w:adjustRightInd/>
        <w:snapToGrid/>
        <w:spacing w:before="80" w:after="60" w:line="276" w:lineRule="auto"/>
        <w:ind w:firstLine="0" w:firstLineChars="0"/>
        <w:jc w:val="both"/>
        <w:textAlignment w:val="auto"/>
      </w:pPr>
      <w:r>
        <w:rPr>
          <w:rFonts w:ascii="Times New Roman" w:hAnsi="Times New Roman" w:eastAsia="Times New Roman" w:cs="Times New Roman"/>
          <w:b/>
          <w:bCs/>
          <w:i w:val="0"/>
          <w:iCs w:val="0"/>
          <w:color w:val="1F3A5F"/>
          <w:sz w:val="19"/>
          <w:szCs w:val="19"/>
        </w:rPr>
        <w:t>B. Subspecialty × length of service (n per cell)</w:t>
      </w:r>
    </w:p>
    <w:tbl>
      <w:tblPr>
        <w:tblStyle w:val="10"/>
        <w:tblW w:w="9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860"/>
        <w:gridCol w:w="1300"/>
        <w:gridCol w:w="1300"/>
        <w:gridCol w:w="1300"/>
        <w:gridCol w:w="1300"/>
        <w:gridCol w:w="1300"/>
      </w:tblGrid>
      <w:tr w14:paraId="1E122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860" w:type="dxa"/>
            <w:tcBorders>
              <w:top w:val="single" w:color="B8C2CC" w:sz="4" w:space="0"/>
              <w:left w:val="single" w:color="B8C2CC" w:sz="4" w:space="0"/>
              <w:bottom w:val="single" w:color="B8C2CC" w:sz="4" w:space="0"/>
              <w:right w:val="single" w:color="B8C2CC" w:sz="4" w:space="0"/>
            </w:tcBorders>
            <w:shd w:val="clear" w:color="auto" w:fill="1F3A5F"/>
            <w:tcMar>
              <w:top w:w="50" w:type="dxa"/>
              <w:left w:w="90" w:type="dxa"/>
              <w:bottom w:w="50" w:type="dxa"/>
              <w:right w:w="90" w:type="dxa"/>
            </w:tcMar>
            <w:vAlign w:val="center"/>
          </w:tcPr>
          <w:p w14:paraId="6E8354C5">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bCs/>
                <w:i w:val="0"/>
                <w:iCs w:val="0"/>
                <w:color w:val="FFFFFF"/>
                <w:sz w:val="16"/>
                <w:szCs w:val="16"/>
              </w:rPr>
              <w:t>Subspecialty</w:t>
            </w:r>
          </w:p>
        </w:tc>
        <w:tc>
          <w:tcPr>
            <w:tcW w:w="1300" w:type="dxa"/>
            <w:tcBorders>
              <w:top w:val="single" w:color="B8C2CC" w:sz="4" w:space="0"/>
              <w:left w:val="single" w:color="B8C2CC" w:sz="4" w:space="0"/>
              <w:bottom w:val="single" w:color="B8C2CC" w:sz="4" w:space="0"/>
              <w:right w:val="single" w:color="B8C2CC" w:sz="4" w:space="0"/>
            </w:tcBorders>
            <w:shd w:val="clear" w:color="auto" w:fill="1F3A5F"/>
            <w:tcMar>
              <w:top w:w="50" w:type="dxa"/>
              <w:left w:w="90" w:type="dxa"/>
              <w:bottom w:w="50" w:type="dxa"/>
              <w:right w:w="90" w:type="dxa"/>
            </w:tcMar>
            <w:vAlign w:val="center"/>
          </w:tcPr>
          <w:p w14:paraId="701A7165">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bCs/>
                <w:i w:val="0"/>
                <w:iCs w:val="0"/>
                <w:color w:val="FFFFFF"/>
                <w:sz w:val="16"/>
                <w:szCs w:val="16"/>
              </w:rPr>
              <w:t>0–2 yr</w:t>
            </w:r>
          </w:p>
        </w:tc>
        <w:tc>
          <w:tcPr>
            <w:tcW w:w="1300" w:type="dxa"/>
            <w:tcBorders>
              <w:top w:val="single" w:color="B8C2CC" w:sz="4" w:space="0"/>
              <w:left w:val="single" w:color="B8C2CC" w:sz="4" w:space="0"/>
              <w:bottom w:val="single" w:color="B8C2CC" w:sz="4" w:space="0"/>
              <w:right w:val="single" w:color="B8C2CC" w:sz="4" w:space="0"/>
            </w:tcBorders>
            <w:shd w:val="clear" w:color="auto" w:fill="1F3A5F"/>
            <w:tcMar>
              <w:top w:w="50" w:type="dxa"/>
              <w:left w:w="90" w:type="dxa"/>
              <w:bottom w:w="50" w:type="dxa"/>
              <w:right w:w="90" w:type="dxa"/>
            </w:tcMar>
            <w:vAlign w:val="center"/>
          </w:tcPr>
          <w:p w14:paraId="0FC174F7">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bCs/>
                <w:i w:val="0"/>
                <w:iCs w:val="0"/>
                <w:color w:val="FFFFFF"/>
                <w:sz w:val="16"/>
                <w:szCs w:val="16"/>
              </w:rPr>
              <w:t>3–5 yr</w:t>
            </w:r>
          </w:p>
        </w:tc>
        <w:tc>
          <w:tcPr>
            <w:tcW w:w="1300" w:type="dxa"/>
            <w:tcBorders>
              <w:top w:val="single" w:color="B8C2CC" w:sz="4" w:space="0"/>
              <w:left w:val="single" w:color="B8C2CC" w:sz="4" w:space="0"/>
              <w:bottom w:val="single" w:color="B8C2CC" w:sz="4" w:space="0"/>
              <w:right w:val="single" w:color="B8C2CC" w:sz="4" w:space="0"/>
            </w:tcBorders>
            <w:shd w:val="clear" w:color="auto" w:fill="1F3A5F"/>
            <w:tcMar>
              <w:top w:w="50" w:type="dxa"/>
              <w:left w:w="90" w:type="dxa"/>
              <w:bottom w:w="50" w:type="dxa"/>
              <w:right w:w="90" w:type="dxa"/>
            </w:tcMar>
            <w:vAlign w:val="center"/>
          </w:tcPr>
          <w:p w14:paraId="12648A2C">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bCs/>
                <w:i w:val="0"/>
                <w:iCs w:val="0"/>
                <w:color w:val="FFFFFF"/>
                <w:sz w:val="16"/>
                <w:szCs w:val="16"/>
              </w:rPr>
              <w:t>6–10 yr</w:t>
            </w:r>
          </w:p>
        </w:tc>
        <w:tc>
          <w:tcPr>
            <w:tcW w:w="1300" w:type="dxa"/>
            <w:tcBorders>
              <w:top w:val="single" w:color="B8C2CC" w:sz="4" w:space="0"/>
              <w:left w:val="single" w:color="B8C2CC" w:sz="4" w:space="0"/>
              <w:bottom w:val="single" w:color="B8C2CC" w:sz="4" w:space="0"/>
              <w:right w:val="single" w:color="B8C2CC" w:sz="4" w:space="0"/>
            </w:tcBorders>
            <w:shd w:val="clear" w:color="auto" w:fill="1F3A5F"/>
            <w:tcMar>
              <w:top w:w="50" w:type="dxa"/>
              <w:left w:w="90" w:type="dxa"/>
              <w:bottom w:w="50" w:type="dxa"/>
              <w:right w:w="90" w:type="dxa"/>
            </w:tcMar>
            <w:vAlign w:val="center"/>
          </w:tcPr>
          <w:p w14:paraId="5C1F4FC9">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bCs/>
                <w:i w:val="0"/>
                <w:iCs w:val="0"/>
                <w:color w:val="FFFFFF"/>
                <w:sz w:val="16"/>
                <w:szCs w:val="16"/>
              </w:rPr>
              <w:t>&gt;10 yr</w:t>
            </w:r>
          </w:p>
        </w:tc>
        <w:tc>
          <w:tcPr>
            <w:tcW w:w="1300" w:type="dxa"/>
            <w:tcBorders>
              <w:top w:val="single" w:color="B8C2CC" w:sz="4" w:space="0"/>
              <w:left w:val="single" w:color="B8C2CC" w:sz="4" w:space="0"/>
              <w:bottom w:val="single" w:color="B8C2CC" w:sz="4" w:space="0"/>
              <w:right w:val="single" w:color="B8C2CC" w:sz="4" w:space="0"/>
            </w:tcBorders>
            <w:shd w:val="clear" w:color="auto" w:fill="1F3A5F"/>
            <w:tcMar>
              <w:top w:w="50" w:type="dxa"/>
              <w:left w:w="90" w:type="dxa"/>
              <w:bottom w:w="50" w:type="dxa"/>
              <w:right w:w="90" w:type="dxa"/>
            </w:tcMar>
            <w:vAlign w:val="center"/>
          </w:tcPr>
          <w:p w14:paraId="38B59363">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bCs/>
                <w:i w:val="0"/>
                <w:iCs w:val="0"/>
                <w:color w:val="FFFFFF"/>
                <w:sz w:val="16"/>
                <w:szCs w:val="16"/>
              </w:rPr>
              <w:t>Total</w:t>
            </w:r>
          </w:p>
        </w:tc>
      </w:tr>
      <w:tr w14:paraId="0D8F9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6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13DDF1C5">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Retina</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4FD1836F">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39B5718D">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4A989CA9">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71DDE347">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6622B21E">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4</w:t>
            </w:r>
          </w:p>
        </w:tc>
      </w:tr>
      <w:tr w14:paraId="20E2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6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670E12E6">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Cataract</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63556308">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2E1F1194">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16FACC8D">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1D5ABA0D">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034BA95B">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4</w:t>
            </w:r>
          </w:p>
        </w:tc>
      </w:tr>
      <w:tr w14:paraId="62841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6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7064F800">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Glaucoma</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3323C2A6">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3D96F7C0">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13119412">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3C59ED96">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60A4CCC0">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3</w:t>
            </w:r>
          </w:p>
        </w:tc>
      </w:tr>
      <w:tr w14:paraId="60D04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6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696FD74A">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Ocular trauma/emergency</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20EC9B37">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28FB6C0B">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5A2CEB45">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3BDD99B2">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3</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165586D3">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4</w:t>
            </w:r>
          </w:p>
        </w:tc>
      </w:tr>
      <w:tr w14:paraId="68BA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6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6221E38F">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Optometry</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4176F835">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6A0BA762">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2560FD28">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14A8C48D">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2B843B9D">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3</w:t>
            </w:r>
          </w:p>
        </w:tc>
      </w:tr>
      <w:tr w14:paraId="1E36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6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072727B6">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Paediatric ophthalmology</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141FFDD7">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63063EF0">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681DB04D">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5FA0B8D5">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008BB317">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r>
      <w:tr w14:paraId="5F23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6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4C637CA8">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Ocular surface/cornea</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07864C39">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68667198">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38DBAE3B">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53566E9D">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72641731">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r>
      <w:tr w14:paraId="086B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6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2AF42C13">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Ophthalmic outpatient/day ward</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1F70CE93">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5E571B68">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2590BC4D">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18E3BD51">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2C03767D">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3</w:t>
            </w:r>
          </w:p>
        </w:tc>
      </w:tr>
      <w:tr w14:paraId="4E50C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6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01770B56">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Primary eye health/screening</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131BC81F">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67A4D24B">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0</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4FABC5FE">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1E71D006">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tcMar>
              <w:top w:w="50" w:type="dxa"/>
              <w:left w:w="90" w:type="dxa"/>
              <w:bottom w:w="50" w:type="dxa"/>
              <w:right w:w="90" w:type="dxa"/>
            </w:tcMar>
            <w:vAlign w:val="center"/>
          </w:tcPr>
          <w:p w14:paraId="2849860A">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3</w:t>
            </w:r>
          </w:p>
        </w:tc>
      </w:tr>
      <w:tr w14:paraId="31700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86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4C9F29F7">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Total</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7C1FB5CF">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6772354C">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7</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1C535C3C">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8</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5D506ACE">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10</w:t>
            </w:r>
          </w:p>
        </w:tc>
        <w:tc>
          <w:tcPr>
            <w:tcW w:w="1300" w:type="dxa"/>
            <w:tcBorders>
              <w:top w:val="single" w:color="B8C2CC" w:sz="4" w:space="0"/>
              <w:left w:val="single" w:color="B8C2CC" w:sz="4" w:space="0"/>
              <w:bottom w:val="single" w:color="B8C2CC" w:sz="4" w:space="0"/>
              <w:right w:val="single" w:color="B8C2CC" w:sz="4" w:space="0"/>
            </w:tcBorders>
            <w:shd w:val="clear" w:color="auto" w:fill="EEF2F6"/>
            <w:tcMar>
              <w:top w:w="50" w:type="dxa"/>
              <w:left w:w="90" w:type="dxa"/>
              <w:bottom w:w="50" w:type="dxa"/>
              <w:right w:w="90" w:type="dxa"/>
            </w:tcMar>
            <w:vAlign w:val="center"/>
          </w:tcPr>
          <w:p w14:paraId="20D20D72">
            <w:pPr>
              <w:keepLines w:val="0"/>
              <w:pageBreakBefore w:val="0"/>
              <w:kinsoku/>
              <w:wordWrap/>
              <w:overflowPunct/>
              <w:topLinePunct w:val="0"/>
              <w:autoSpaceDE/>
              <w:autoSpaceDN/>
              <w:bidi w:val="0"/>
              <w:adjustRightInd/>
              <w:snapToGrid/>
              <w:spacing w:after="0" w:line="230" w:lineRule="auto"/>
              <w:ind w:firstLine="0" w:firstLineChars="0"/>
              <w:jc w:val="both"/>
              <w:textAlignment w:val="auto"/>
            </w:pPr>
            <w:r>
              <w:rPr>
                <w:rFonts w:ascii="Times New Roman" w:hAnsi="Times New Roman" w:eastAsia="Times New Roman" w:cs="Times New Roman"/>
                <w:b w:val="0"/>
                <w:bCs w:val="0"/>
                <w:i w:val="0"/>
                <w:iCs w:val="0"/>
                <w:sz w:val="16"/>
                <w:szCs w:val="16"/>
              </w:rPr>
              <w:t>26</w:t>
            </w:r>
          </w:p>
        </w:tc>
      </w:tr>
    </w:tbl>
    <w:p w14:paraId="43CFE7D1">
      <w:pPr>
        <w:keepLines w:val="0"/>
        <w:pageBreakBefore w:val="0"/>
        <w:kinsoku/>
        <w:wordWrap/>
        <w:overflowPunct/>
        <w:topLinePunct w:val="0"/>
        <w:autoSpaceDE/>
        <w:autoSpaceDN/>
        <w:bidi w:val="0"/>
        <w:adjustRightInd/>
        <w:snapToGrid/>
        <w:spacing w:before="60" w:after="140" w:line="230" w:lineRule="auto"/>
        <w:ind w:firstLine="0" w:firstLineChars="0"/>
        <w:jc w:val="both"/>
        <w:textAlignment w:val="auto"/>
        <w:rPr>
          <w:rFonts w:ascii="Times New Roman" w:hAnsi="Times New Roman" w:eastAsia="Times New Roman" w:cs="Times New Roman"/>
          <w:b w:val="0"/>
          <w:bCs w:val="0"/>
          <w:i/>
          <w:iCs/>
          <w:color w:val="555555"/>
          <w:sz w:val="17"/>
          <w:szCs w:val="17"/>
        </w:rPr>
      </w:pPr>
      <w:r>
        <w:rPr>
          <w:rFonts w:ascii="Times New Roman" w:hAnsi="Times New Roman" w:eastAsia="Times New Roman" w:cs="Times New Roman"/>
          <w:b w:val="0"/>
          <w:bCs w:val="0"/>
          <w:i/>
          <w:iCs/>
          <w:color w:val="555555"/>
          <w:sz w:val="17"/>
          <w:szCs w:val="17"/>
        </w:rPr>
        <w:t>There are 9 × 4 = 36 theoretical cells, of which 21 are empty (58.3%). This sparsity is typical of a qualitative descriptive study under maximum-variation purposive sampling — the goal is variation coverage rather than cell exhaustion — but the team explicitly makes no substantive subgroup claims about the empty cells.</w:t>
      </w:r>
    </w:p>
    <w:p w14:paraId="226D5E80">
      <w:pPr>
        <w:rPr>
          <w:rFonts w:ascii="Times New Roman" w:hAnsi="Times New Roman" w:eastAsia="Times New Roman" w:cs="Times New Roman"/>
          <w:b/>
          <w:bCs/>
          <w:color w:val="1F3A5F"/>
          <w:sz w:val="26"/>
          <w:szCs w:val="26"/>
        </w:rPr>
      </w:pPr>
      <w:r>
        <w:rPr>
          <w:rFonts w:ascii="Times New Roman" w:hAnsi="Times New Roman" w:eastAsia="Times New Roman" w:cs="Times New Roman"/>
          <w:b/>
          <w:bCs/>
          <w:color w:val="1F3A5F"/>
          <w:sz w:val="26"/>
          <w:szCs w:val="26"/>
        </w:rPr>
        <w:br w:type="page"/>
      </w:r>
    </w:p>
    <w:p w14:paraId="3CCE557C">
      <w:pPr>
        <w:pStyle w:val="3"/>
        <w:keepNext/>
        <w:keepLines w:val="0"/>
        <w:pageBreakBefore w:val="0"/>
        <w:kinsoku/>
        <w:wordWrap/>
        <w:overflowPunct/>
        <w:topLinePunct w:val="0"/>
        <w:autoSpaceDE/>
        <w:autoSpaceDN/>
        <w:bidi w:val="0"/>
        <w:adjustRightInd/>
        <w:snapToGrid/>
        <w:spacing w:before="240" w:after="120"/>
        <w:ind w:firstLine="0" w:firstLineChars="0"/>
        <w:jc w:val="both"/>
        <w:textAlignment w:val="auto"/>
      </w:pPr>
      <w:r>
        <w:rPr>
          <w:rFonts w:ascii="Times New Roman" w:hAnsi="Times New Roman" w:eastAsia="Times New Roman" w:cs="Times New Roman"/>
          <w:b/>
          <w:bCs/>
          <w:color w:val="1F3A5F"/>
          <w:sz w:val="26"/>
          <w:szCs w:val="26"/>
        </w:rPr>
        <w:t>Appendix S</w:t>
      </w:r>
      <w:r>
        <w:rPr>
          <w:rFonts w:hint="eastAsia" w:eastAsia="宋体" w:cs="Times New Roman"/>
          <w:b/>
          <w:bCs/>
          <w:color w:val="1F3A5F"/>
          <w:sz w:val="26"/>
          <w:szCs w:val="26"/>
          <w:lang w:val="en-US" w:eastAsia="zh-CN"/>
        </w:rPr>
        <w:t>2</w:t>
      </w:r>
      <w:r>
        <w:rPr>
          <w:rFonts w:ascii="Times New Roman" w:hAnsi="Times New Roman" w:eastAsia="Times New Roman" w:cs="Times New Roman"/>
          <w:b/>
          <w:bCs/>
          <w:color w:val="1F3A5F"/>
          <w:sz w:val="26"/>
          <w:szCs w:val="26"/>
        </w:rPr>
        <w:t>. Full roster of the 26 ophthalmic-nurse participants</w:t>
      </w:r>
    </w:p>
    <w:p w14:paraId="7F94F22E">
      <w:pPr>
        <w:keepLines w:val="0"/>
        <w:pageBreakBefore w:val="0"/>
        <w:kinsoku/>
        <w:wordWrap/>
        <w:overflowPunct/>
        <w:topLinePunct w:val="0"/>
        <w:autoSpaceDE/>
        <w:autoSpaceDN/>
        <w:bidi w:val="0"/>
        <w:adjustRightInd/>
        <w:snapToGrid/>
        <w:spacing w:before="0" w:after="160" w:line="276" w:lineRule="auto"/>
        <w:ind w:firstLine="0" w:firstLineChars="0"/>
        <w:jc w:val="both"/>
        <w:textAlignment w:val="auto"/>
      </w:pPr>
      <w:r>
        <w:rPr>
          <w:rFonts w:ascii="Times New Roman" w:hAnsi="Times New Roman" w:eastAsia="Times New Roman" w:cs="Times New Roman"/>
          <w:b w:val="0"/>
          <w:bCs w:val="0"/>
          <w:i/>
          <w:iCs/>
          <w:color w:val="555555"/>
          <w:sz w:val="18"/>
          <w:szCs w:val="18"/>
        </w:rPr>
        <w:t>Each participant was assigned a unique pseudonym/identifier (N01–N26); given names have been removed for anonymity. Ages are reported in single years for transparency of the maximum-variation sample.</w:t>
      </w:r>
    </w:p>
    <w:tbl>
      <w:tblPr>
        <w:tblStyle w:val="10"/>
        <w:tblW w:w="4996" w:type="pct"/>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 w:type="dxa"/>
          <w:bottom w:w="0" w:type="dxa"/>
          <w:right w:w="10" w:type="dxa"/>
        </w:tblCellMar>
      </w:tblPr>
      <w:tblGrid>
        <w:gridCol w:w="479"/>
        <w:gridCol w:w="578"/>
        <w:gridCol w:w="2106"/>
        <w:gridCol w:w="3733"/>
        <w:gridCol w:w="687"/>
        <w:gridCol w:w="448"/>
        <w:gridCol w:w="1501"/>
      </w:tblGrid>
      <w:tr w14:paraId="021630A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tblHeader/>
          <w:jc w:val="center"/>
        </w:trPr>
        <w:tc>
          <w:tcPr>
            <w:tcW w:w="251" w:type="pct"/>
            <w:tcBorders>
              <w:top w:val="single" w:color="B8C2CC" w:sz="12" w:space="0"/>
              <w:left w:val="nil"/>
              <w:bottom w:val="nil"/>
              <w:right w:val="nil"/>
            </w:tcBorders>
            <w:shd w:val="clear" w:color="auto" w:fill="1F3A5F"/>
            <w:noWrap w:val="0"/>
            <w:tcMar>
              <w:top w:w="50" w:type="dxa"/>
              <w:left w:w="90" w:type="dxa"/>
              <w:bottom w:w="50" w:type="dxa"/>
              <w:right w:w="90" w:type="dxa"/>
            </w:tcMar>
            <w:vAlign w:val="center"/>
          </w:tcPr>
          <w:p w14:paraId="02E04861">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15"/>
              </w:rPr>
            </w:pPr>
            <w:r>
              <w:rPr>
                <w:rFonts w:ascii="Times New Roman" w:hAnsi="Times New Roman" w:eastAsia="Times New Roman" w:cs="Times New Roman"/>
                <w:b/>
                <w:bCs/>
                <w:i w:val="0"/>
                <w:iCs w:val="0"/>
                <w:color w:val="FFFFFF"/>
                <w:sz w:val="15"/>
                <w:szCs w:val="15"/>
              </w:rPr>
              <w:t>ID</w:t>
            </w:r>
          </w:p>
        </w:tc>
        <w:tc>
          <w:tcPr>
            <w:tcW w:w="303" w:type="pct"/>
            <w:tcBorders>
              <w:top w:val="single" w:color="B8C2CC" w:sz="12" w:space="0"/>
              <w:left w:val="nil"/>
              <w:bottom w:val="nil"/>
              <w:right w:val="nil"/>
            </w:tcBorders>
            <w:shd w:val="clear" w:color="auto" w:fill="1F3A5F"/>
            <w:noWrap w:val="0"/>
            <w:tcMar>
              <w:top w:w="50" w:type="dxa"/>
              <w:left w:w="90" w:type="dxa"/>
              <w:bottom w:w="50" w:type="dxa"/>
              <w:right w:w="90" w:type="dxa"/>
            </w:tcMar>
            <w:vAlign w:val="center"/>
          </w:tcPr>
          <w:p w14:paraId="7A26EFD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15"/>
              </w:rPr>
            </w:pPr>
            <w:r>
              <w:rPr>
                <w:rFonts w:ascii="Times New Roman" w:hAnsi="Times New Roman" w:eastAsia="Times New Roman" w:cs="Times New Roman"/>
                <w:b/>
                <w:bCs/>
                <w:i w:val="0"/>
                <w:iCs w:val="0"/>
                <w:color w:val="FFFFFF"/>
                <w:sz w:val="15"/>
                <w:szCs w:val="15"/>
              </w:rPr>
              <w:t>Age</w:t>
            </w:r>
          </w:p>
        </w:tc>
        <w:tc>
          <w:tcPr>
            <w:tcW w:w="1104" w:type="pct"/>
            <w:tcBorders>
              <w:top w:val="single" w:color="B8C2CC" w:sz="12" w:space="0"/>
              <w:left w:val="nil"/>
              <w:bottom w:val="nil"/>
              <w:right w:val="nil"/>
            </w:tcBorders>
            <w:shd w:val="clear" w:color="auto" w:fill="1F3A5F"/>
            <w:noWrap w:val="0"/>
            <w:tcMar>
              <w:top w:w="50" w:type="dxa"/>
              <w:left w:w="90" w:type="dxa"/>
              <w:bottom w:w="50" w:type="dxa"/>
              <w:right w:w="90" w:type="dxa"/>
            </w:tcMar>
            <w:vAlign w:val="center"/>
          </w:tcPr>
          <w:p w14:paraId="4FD104B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15"/>
              </w:rPr>
            </w:pPr>
            <w:r>
              <w:rPr>
                <w:rFonts w:ascii="Times New Roman" w:hAnsi="Times New Roman" w:eastAsia="Times New Roman" w:cs="Times New Roman"/>
                <w:b/>
                <w:bCs/>
                <w:i w:val="0"/>
                <w:iCs w:val="0"/>
                <w:color w:val="FFFFFF"/>
                <w:sz w:val="15"/>
                <w:szCs w:val="15"/>
              </w:rPr>
              <w:t>Subspecialty</w:t>
            </w:r>
          </w:p>
        </w:tc>
        <w:tc>
          <w:tcPr>
            <w:tcW w:w="1957" w:type="pct"/>
            <w:tcBorders>
              <w:top w:val="single" w:color="B8C2CC" w:sz="12" w:space="0"/>
              <w:left w:val="nil"/>
              <w:bottom w:val="nil"/>
              <w:right w:val="nil"/>
            </w:tcBorders>
            <w:shd w:val="clear" w:color="auto" w:fill="1F3A5F"/>
            <w:noWrap w:val="0"/>
            <w:tcMar>
              <w:top w:w="50" w:type="dxa"/>
              <w:left w:w="90" w:type="dxa"/>
              <w:bottom w:w="50" w:type="dxa"/>
              <w:right w:w="90" w:type="dxa"/>
            </w:tcMar>
            <w:vAlign w:val="center"/>
          </w:tcPr>
          <w:p w14:paraId="4D465126">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15"/>
              </w:rPr>
            </w:pPr>
            <w:r>
              <w:rPr>
                <w:rFonts w:ascii="Times New Roman" w:hAnsi="Times New Roman" w:eastAsia="Times New Roman" w:cs="Times New Roman"/>
                <w:b/>
                <w:bCs/>
                <w:i w:val="0"/>
                <w:iCs w:val="0"/>
                <w:color w:val="FFFFFF"/>
                <w:sz w:val="15"/>
                <w:szCs w:val="15"/>
              </w:rPr>
              <w:t>Institution type × establishment</w:t>
            </w:r>
          </w:p>
        </w:tc>
        <w:tc>
          <w:tcPr>
            <w:tcW w:w="360" w:type="pct"/>
            <w:tcBorders>
              <w:top w:val="single" w:color="B8C2CC" w:sz="12" w:space="0"/>
              <w:left w:val="nil"/>
              <w:bottom w:val="nil"/>
              <w:right w:val="nil"/>
            </w:tcBorders>
            <w:shd w:val="clear" w:color="auto" w:fill="1F3A5F"/>
            <w:noWrap w:val="0"/>
            <w:tcMar>
              <w:top w:w="50" w:type="dxa"/>
              <w:left w:w="90" w:type="dxa"/>
              <w:bottom w:w="50" w:type="dxa"/>
              <w:right w:w="90" w:type="dxa"/>
            </w:tcMar>
            <w:vAlign w:val="center"/>
          </w:tcPr>
          <w:p w14:paraId="23C7561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15"/>
              </w:rPr>
            </w:pPr>
            <w:r>
              <w:rPr>
                <w:rFonts w:ascii="Times New Roman" w:hAnsi="Times New Roman" w:eastAsia="Times New Roman" w:cs="Times New Roman"/>
                <w:b/>
                <w:bCs/>
                <w:i w:val="0"/>
                <w:iCs w:val="0"/>
                <w:color w:val="FFFFFF"/>
                <w:sz w:val="15"/>
                <w:szCs w:val="15"/>
              </w:rPr>
              <w:t>Region</w:t>
            </w:r>
          </w:p>
        </w:tc>
        <w:tc>
          <w:tcPr>
            <w:tcW w:w="235" w:type="pct"/>
            <w:tcBorders>
              <w:top w:val="single" w:color="B8C2CC" w:sz="12" w:space="0"/>
              <w:left w:val="nil"/>
              <w:bottom w:val="nil"/>
              <w:right w:val="nil"/>
            </w:tcBorders>
            <w:shd w:val="clear" w:color="auto" w:fill="1F3A5F"/>
            <w:noWrap w:val="0"/>
            <w:tcMar>
              <w:top w:w="50" w:type="dxa"/>
              <w:left w:w="90" w:type="dxa"/>
              <w:bottom w:w="50" w:type="dxa"/>
              <w:right w:w="90" w:type="dxa"/>
            </w:tcMar>
            <w:vAlign w:val="center"/>
          </w:tcPr>
          <w:p w14:paraId="01BCCD2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15"/>
              </w:rPr>
            </w:pPr>
            <w:r>
              <w:rPr>
                <w:rFonts w:ascii="Times New Roman" w:hAnsi="Times New Roman" w:eastAsia="Times New Roman" w:cs="Times New Roman"/>
                <w:b/>
                <w:bCs/>
                <w:i w:val="0"/>
                <w:iCs w:val="0"/>
                <w:color w:val="FFFFFF"/>
                <w:sz w:val="15"/>
                <w:szCs w:val="15"/>
              </w:rPr>
              <w:t>Yrs</w:t>
            </w:r>
          </w:p>
        </w:tc>
        <w:tc>
          <w:tcPr>
            <w:tcW w:w="787" w:type="pct"/>
            <w:tcBorders>
              <w:top w:val="single" w:color="B8C2CC" w:sz="12" w:space="0"/>
              <w:left w:val="nil"/>
              <w:bottom w:val="nil"/>
              <w:right w:val="nil"/>
            </w:tcBorders>
            <w:shd w:val="clear" w:color="auto" w:fill="1F3A5F"/>
            <w:noWrap w:val="0"/>
            <w:tcMar>
              <w:top w:w="50" w:type="dxa"/>
              <w:left w:w="90" w:type="dxa"/>
              <w:bottom w:w="50" w:type="dxa"/>
              <w:right w:w="90" w:type="dxa"/>
            </w:tcMar>
            <w:vAlign w:val="center"/>
          </w:tcPr>
          <w:p w14:paraId="3BA459C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b/>
                <w:sz w:val="15"/>
              </w:rPr>
            </w:pPr>
            <w:r>
              <w:rPr>
                <w:rFonts w:ascii="Times New Roman" w:hAnsi="Times New Roman" w:eastAsia="Times New Roman" w:cs="Times New Roman"/>
                <w:b/>
                <w:bCs/>
                <w:i w:val="0"/>
                <w:iCs w:val="0"/>
                <w:color w:val="FFFFFF"/>
                <w:sz w:val="15"/>
                <w:szCs w:val="15"/>
              </w:rPr>
              <w:t>GenAI exposure</w:t>
            </w:r>
          </w:p>
        </w:tc>
      </w:tr>
      <w:tr w14:paraId="4BB08F3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single" w:color="B8C2CC" w:sz="4" w:space="0"/>
              <w:left w:val="nil"/>
              <w:bottom w:val="nil"/>
              <w:right w:val="nil"/>
            </w:tcBorders>
            <w:noWrap w:val="0"/>
            <w:tcMar>
              <w:top w:w="50" w:type="dxa"/>
              <w:left w:w="90" w:type="dxa"/>
              <w:bottom w:w="50" w:type="dxa"/>
              <w:right w:w="90" w:type="dxa"/>
            </w:tcMar>
            <w:vAlign w:val="center"/>
          </w:tcPr>
          <w:p w14:paraId="1E184B2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N01</w:t>
            </w:r>
          </w:p>
        </w:tc>
        <w:tc>
          <w:tcPr>
            <w:tcW w:w="303" w:type="pct"/>
            <w:tcBorders>
              <w:top w:val="single" w:color="B8C2CC" w:sz="4" w:space="0"/>
              <w:left w:val="nil"/>
              <w:bottom w:val="nil"/>
              <w:right w:val="nil"/>
            </w:tcBorders>
            <w:noWrap w:val="0"/>
            <w:tcMar>
              <w:top w:w="50" w:type="dxa"/>
              <w:left w:w="90" w:type="dxa"/>
              <w:bottom w:w="50" w:type="dxa"/>
              <w:right w:w="90" w:type="dxa"/>
            </w:tcMar>
            <w:vAlign w:val="center"/>
          </w:tcPr>
          <w:p w14:paraId="340D5D9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25-29</w:t>
            </w:r>
          </w:p>
        </w:tc>
        <w:tc>
          <w:tcPr>
            <w:tcW w:w="1104" w:type="pct"/>
            <w:tcBorders>
              <w:top w:val="single" w:color="B8C2CC" w:sz="4" w:space="0"/>
              <w:left w:val="nil"/>
              <w:bottom w:val="nil"/>
              <w:right w:val="nil"/>
            </w:tcBorders>
            <w:noWrap w:val="0"/>
            <w:tcMar>
              <w:top w:w="50" w:type="dxa"/>
              <w:left w:w="90" w:type="dxa"/>
              <w:bottom w:w="50" w:type="dxa"/>
              <w:right w:w="90" w:type="dxa"/>
            </w:tcMar>
            <w:vAlign w:val="center"/>
          </w:tcPr>
          <w:p w14:paraId="60FA958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Retina</w:t>
            </w:r>
          </w:p>
        </w:tc>
        <w:tc>
          <w:tcPr>
            <w:tcW w:w="1957" w:type="pct"/>
            <w:tcBorders>
              <w:top w:val="single" w:color="B8C2CC" w:sz="4" w:space="0"/>
              <w:left w:val="nil"/>
              <w:bottom w:val="nil"/>
              <w:right w:val="nil"/>
            </w:tcBorders>
            <w:noWrap w:val="0"/>
            <w:tcMar>
              <w:top w:w="50" w:type="dxa"/>
              <w:left w:w="90" w:type="dxa"/>
              <w:bottom w:w="50" w:type="dxa"/>
              <w:right w:w="90" w:type="dxa"/>
            </w:tcMar>
            <w:vAlign w:val="center"/>
          </w:tcPr>
          <w:p w14:paraId="4FF951A1">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Independent ophthalmology, tertiary Grade-A general</w:t>
            </w:r>
          </w:p>
        </w:tc>
        <w:tc>
          <w:tcPr>
            <w:tcW w:w="360" w:type="pct"/>
            <w:tcBorders>
              <w:top w:val="single" w:color="B8C2CC" w:sz="4" w:space="0"/>
              <w:left w:val="nil"/>
              <w:bottom w:val="nil"/>
              <w:right w:val="nil"/>
            </w:tcBorders>
            <w:noWrap w:val="0"/>
            <w:tcMar>
              <w:top w:w="50" w:type="dxa"/>
              <w:left w:w="90" w:type="dxa"/>
              <w:bottom w:w="50" w:type="dxa"/>
              <w:right w:w="90" w:type="dxa"/>
            </w:tcMar>
            <w:vAlign w:val="center"/>
          </w:tcPr>
          <w:p w14:paraId="4045182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East</w:t>
            </w:r>
          </w:p>
        </w:tc>
        <w:tc>
          <w:tcPr>
            <w:tcW w:w="235" w:type="pct"/>
            <w:tcBorders>
              <w:top w:val="single" w:color="B8C2CC" w:sz="4" w:space="0"/>
              <w:left w:val="nil"/>
              <w:bottom w:val="nil"/>
              <w:right w:val="nil"/>
            </w:tcBorders>
            <w:noWrap w:val="0"/>
            <w:tcMar>
              <w:top w:w="50" w:type="dxa"/>
              <w:left w:w="90" w:type="dxa"/>
              <w:bottom w:w="50" w:type="dxa"/>
              <w:right w:w="90" w:type="dxa"/>
            </w:tcMar>
            <w:vAlign w:val="center"/>
          </w:tcPr>
          <w:p w14:paraId="7947C67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5</w:t>
            </w:r>
          </w:p>
        </w:tc>
        <w:tc>
          <w:tcPr>
            <w:tcW w:w="787" w:type="pct"/>
            <w:tcBorders>
              <w:top w:val="single" w:color="B8C2CC" w:sz="4" w:space="0"/>
              <w:left w:val="nil"/>
              <w:bottom w:val="nil"/>
              <w:right w:val="nil"/>
            </w:tcBorders>
            <w:noWrap w:val="0"/>
            <w:tcMar>
              <w:top w:w="50" w:type="dxa"/>
              <w:left w:w="90" w:type="dxa"/>
              <w:bottom w:w="50" w:type="dxa"/>
              <w:right w:w="90" w:type="dxa"/>
            </w:tcMar>
            <w:vAlign w:val="center"/>
          </w:tcPr>
          <w:p w14:paraId="0692493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Limited exploration</w:t>
            </w:r>
          </w:p>
        </w:tc>
      </w:tr>
      <w:tr w14:paraId="77B803B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shd w:val="clear" w:color="auto" w:fill="EEF2F6"/>
            <w:noWrap w:val="0"/>
            <w:tcMar>
              <w:top w:w="50" w:type="dxa"/>
              <w:left w:w="90" w:type="dxa"/>
              <w:bottom w:w="50" w:type="dxa"/>
              <w:right w:w="90" w:type="dxa"/>
            </w:tcMar>
            <w:vAlign w:val="center"/>
          </w:tcPr>
          <w:p w14:paraId="508093A2">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N02</w:t>
            </w:r>
          </w:p>
        </w:tc>
        <w:tc>
          <w:tcPr>
            <w:tcW w:w="303" w:type="pct"/>
            <w:tcBorders>
              <w:top w:val="nil"/>
              <w:left w:val="nil"/>
              <w:bottom w:val="nil"/>
              <w:right w:val="nil"/>
            </w:tcBorders>
            <w:shd w:val="clear" w:color="auto" w:fill="EEF2F6"/>
            <w:noWrap w:val="0"/>
            <w:tcMar>
              <w:top w:w="50" w:type="dxa"/>
              <w:left w:w="90" w:type="dxa"/>
              <w:bottom w:w="50" w:type="dxa"/>
              <w:right w:w="90" w:type="dxa"/>
            </w:tcMar>
            <w:vAlign w:val="center"/>
          </w:tcPr>
          <w:p w14:paraId="3AB958CC">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30-34</w:t>
            </w:r>
          </w:p>
        </w:tc>
        <w:tc>
          <w:tcPr>
            <w:tcW w:w="1104" w:type="pct"/>
            <w:tcBorders>
              <w:top w:val="nil"/>
              <w:left w:val="nil"/>
              <w:bottom w:val="nil"/>
              <w:right w:val="nil"/>
            </w:tcBorders>
            <w:shd w:val="clear" w:color="auto" w:fill="EEF2F6"/>
            <w:noWrap w:val="0"/>
            <w:tcMar>
              <w:top w:w="50" w:type="dxa"/>
              <w:left w:w="90" w:type="dxa"/>
              <w:bottom w:w="50" w:type="dxa"/>
              <w:right w:w="90" w:type="dxa"/>
            </w:tcMar>
            <w:vAlign w:val="center"/>
          </w:tcPr>
          <w:p w14:paraId="0F009BF6">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Ocular trauma/emergency</w:t>
            </w:r>
          </w:p>
        </w:tc>
        <w:tc>
          <w:tcPr>
            <w:tcW w:w="1957" w:type="pct"/>
            <w:tcBorders>
              <w:top w:val="nil"/>
              <w:left w:val="nil"/>
              <w:bottom w:val="nil"/>
              <w:right w:val="nil"/>
            </w:tcBorders>
            <w:shd w:val="clear" w:color="auto" w:fill="EEF2F6"/>
            <w:noWrap w:val="0"/>
            <w:tcMar>
              <w:top w:w="50" w:type="dxa"/>
              <w:left w:w="90" w:type="dxa"/>
              <w:bottom w:w="50" w:type="dxa"/>
              <w:right w:w="90" w:type="dxa"/>
            </w:tcMar>
            <w:vAlign w:val="center"/>
          </w:tcPr>
          <w:p w14:paraId="3E748DB7">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Independent ophthalmology, tertiary Grade-A general</w:t>
            </w:r>
          </w:p>
        </w:tc>
        <w:tc>
          <w:tcPr>
            <w:tcW w:w="360" w:type="pct"/>
            <w:tcBorders>
              <w:top w:val="nil"/>
              <w:left w:val="nil"/>
              <w:bottom w:val="nil"/>
              <w:right w:val="nil"/>
            </w:tcBorders>
            <w:shd w:val="clear" w:color="auto" w:fill="EEF2F6"/>
            <w:noWrap w:val="0"/>
            <w:tcMar>
              <w:top w:w="50" w:type="dxa"/>
              <w:left w:w="90" w:type="dxa"/>
              <w:bottom w:w="50" w:type="dxa"/>
              <w:right w:w="90" w:type="dxa"/>
            </w:tcMar>
            <w:vAlign w:val="center"/>
          </w:tcPr>
          <w:p w14:paraId="5DA45EE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East</w:t>
            </w:r>
          </w:p>
        </w:tc>
        <w:tc>
          <w:tcPr>
            <w:tcW w:w="235" w:type="pct"/>
            <w:tcBorders>
              <w:top w:val="nil"/>
              <w:left w:val="nil"/>
              <w:bottom w:val="nil"/>
              <w:right w:val="nil"/>
            </w:tcBorders>
            <w:shd w:val="clear" w:color="auto" w:fill="EEF2F6"/>
            <w:noWrap w:val="0"/>
            <w:tcMar>
              <w:top w:w="50" w:type="dxa"/>
              <w:left w:w="90" w:type="dxa"/>
              <w:bottom w:w="50" w:type="dxa"/>
              <w:right w:w="90" w:type="dxa"/>
            </w:tcMar>
            <w:vAlign w:val="center"/>
          </w:tcPr>
          <w:p w14:paraId="5F7CD7F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11</w:t>
            </w:r>
          </w:p>
        </w:tc>
        <w:tc>
          <w:tcPr>
            <w:tcW w:w="787" w:type="pct"/>
            <w:tcBorders>
              <w:top w:val="nil"/>
              <w:left w:val="nil"/>
              <w:bottom w:val="nil"/>
              <w:right w:val="nil"/>
            </w:tcBorders>
            <w:shd w:val="clear" w:color="auto" w:fill="EEF2F6"/>
            <w:noWrap w:val="0"/>
            <w:tcMar>
              <w:top w:w="50" w:type="dxa"/>
              <w:left w:w="90" w:type="dxa"/>
              <w:bottom w:w="50" w:type="dxa"/>
              <w:right w:w="90" w:type="dxa"/>
            </w:tcMar>
            <w:vAlign w:val="center"/>
          </w:tcPr>
          <w:p w14:paraId="1C51A934">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Routine ancillary</w:t>
            </w:r>
          </w:p>
        </w:tc>
      </w:tr>
      <w:tr w14:paraId="7F67B7EE">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noWrap w:val="0"/>
            <w:tcMar>
              <w:top w:w="50" w:type="dxa"/>
              <w:left w:w="90" w:type="dxa"/>
              <w:bottom w:w="50" w:type="dxa"/>
              <w:right w:w="90" w:type="dxa"/>
            </w:tcMar>
            <w:vAlign w:val="center"/>
          </w:tcPr>
          <w:p w14:paraId="2B8FF70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N03</w:t>
            </w:r>
          </w:p>
        </w:tc>
        <w:tc>
          <w:tcPr>
            <w:tcW w:w="303" w:type="pct"/>
            <w:tcBorders>
              <w:top w:val="nil"/>
              <w:left w:val="nil"/>
              <w:bottom w:val="nil"/>
              <w:right w:val="nil"/>
            </w:tcBorders>
            <w:noWrap w:val="0"/>
            <w:tcMar>
              <w:top w:w="50" w:type="dxa"/>
              <w:left w:w="90" w:type="dxa"/>
              <w:bottom w:w="50" w:type="dxa"/>
              <w:right w:w="90" w:type="dxa"/>
            </w:tcMar>
            <w:vAlign w:val="center"/>
          </w:tcPr>
          <w:p w14:paraId="594EB2B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25-29</w:t>
            </w:r>
          </w:p>
        </w:tc>
        <w:tc>
          <w:tcPr>
            <w:tcW w:w="1104" w:type="pct"/>
            <w:tcBorders>
              <w:top w:val="nil"/>
              <w:left w:val="nil"/>
              <w:bottom w:val="nil"/>
              <w:right w:val="nil"/>
            </w:tcBorders>
            <w:noWrap w:val="0"/>
            <w:tcMar>
              <w:top w:w="50" w:type="dxa"/>
              <w:left w:w="90" w:type="dxa"/>
              <w:bottom w:w="50" w:type="dxa"/>
              <w:right w:w="90" w:type="dxa"/>
            </w:tcMar>
            <w:vAlign w:val="center"/>
          </w:tcPr>
          <w:p w14:paraId="501FCF6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Cataract</w:t>
            </w:r>
          </w:p>
        </w:tc>
        <w:tc>
          <w:tcPr>
            <w:tcW w:w="1957" w:type="pct"/>
            <w:tcBorders>
              <w:top w:val="nil"/>
              <w:left w:val="nil"/>
              <w:bottom w:val="nil"/>
              <w:right w:val="nil"/>
            </w:tcBorders>
            <w:noWrap w:val="0"/>
            <w:tcMar>
              <w:top w:w="50" w:type="dxa"/>
              <w:left w:w="90" w:type="dxa"/>
              <w:bottom w:w="50" w:type="dxa"/>
              <w:right w:w="90" w:type="dxa"/>
            </w:tcMar>
            <w:vAlign w:val="center"/>
          </w:tcPr>
          <w:p w14:paraId="10E5853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Tertiary Grade-B general / secondary specialist eye</w:t>
            </w:r>
          </w:p>
        </w:tc>
        <w:tc>
          <w:tcPr>
            <w:tcW w:w="360" w:type="pct"/>
            <w:tcBorders>
              <w:top w:val="nil"/>
              <w:left w:val="nil"/>
              <w:bottom w:val="nil"/>
              <w:right w:val="nil"/>
            </w:tcBorders>
            <w:noWrap w:val="0"/>
            <w:tcMar>
              <w:top w:w="50" w:type="dxa"/>
              <w:left w:w="90" w:type="dxa"/>
              <w:bottom w:w="50" w:type="dxa"/>
              <w:right w:w="90" w:type="dxa"/>
            </w:tcMar>
            <w:vAlign w:val="center"/>
          </w:tcPr>
          <w:p w14:paraId="0E8CF071">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Central</w:t>
            </w:r>
          </w:p>
        </w:tc>
        <w:tc>
          <w:tcPr>
            <w:tcW w:w="235" w:type="pct"/>
            <w:tcBorders>
              <w:top w:val="nil"/>
              <w:left w:val="nil"/>
              <w:bottom w:val="nil"/>
              <w:right w:val="nil"/>
            </w:tcBorders>
            <w:noWrap w:val="0"/>
            <w:tcMar>
              <w:top w:w="50" w:type="dxa"/>
              <w:left w:w="90" w:type="dxa"/>
              <w:bottom w:w="50" w:type="dxa"/>
              <w:right w:w="90" w:type="dxa"/>
            </w:tcMar>
            <w:vAlign w:val="center"/>
          </w:tcPr>
          <w:p w14:paraId="48A3A5A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3</w:t>
            </w:r>
          </w:p>
        </w:tc>
        <w:tc>
          <w:tcPr>
            <w:tcW w:w="787" w:type="pct"/>
            <w:tcBorders>
              <w:top w:val="nil"/>
              <w:left w:val="nil"/>
              <w:bottom w:val="nil"/>
              <w:right w:val="nil"/>
            </w:tcBorders>
            <w:noWrap w:val="0"/>
            <w:tcMar>
              <w:top w:w="50" w:type="dxa"/>
              <w:left w:w="90" w:type="dxa"/>
              <w:bottom w:w="50" w:type="dxa"/>
              <w:right w:w="90" w:type="dxa"/>
            </w:tcMar>
            <w:vAlign w:val="center"/>
          </w:tcPr>
          <w:p w14:paraId="3DFBE0A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Personal only</w:t>
            </w:r>
          </w:p>
        </w:tc>
      </w:tr>
      <w:tr w14:paraId="7AE08BE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shd w:val="clear" w:color="auto" w:fill="EEF2F6"/>
            <w:noWrap w:val="0"/>
            <w:tcMar>
              <w:top w:w="50" w:type="dxa"/>
              <w:left w:w="90" w:type="dxa"/>
              <w:bottom w:w="50" w:type="dxa"/>
              <w:right w:w="90" w:type="dxa"/>
            </w:tcMar>
            <w:vAlign w:val="center"/>
          </w:tcPr>
          <w:p w14:paraId="2C094CC2">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N04</w:t>
            </w:r>
          </w:p>
        </w:tc>
        <w:tc>
          <w:tcPr>
            <w:tcW w:w="303" w:type="pct"/>
            <w:tcBorders>
              <w:top w:val="nil"/>
              <w:left w:val="nil"/>
              <w:bottom w:val="nil"/>
              <w:right w:val="nil"/>
            </w:tcBorders>
            <w:shd w:val="clear" w:color="auto" w:fill="EEF2F6"/>
            <w:noWrap w:val="0"/>
            <w:tcMar>
              <w:top w:w="50" w:type="dxa"/>
              <w:left w:w="90" w:type="dxa"/>
              <w:bottom w:w="50" w:type="dxa"/>
              <w:right w:w="90" w:type="dxa"/>
            </w:tcMar>
            <w:vAlign w:val="center"/>
          </w:tcPr>
          <w:p w14:paraId="188D62A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40-44</w:t>
            </w:r>
          </w:p>
        </w:tc>
        <w:tc>
          <w:tcPr>
            <w:tcW w:w="1104" w:type="pct"/>
            <w:tcBorders>
              <w:top w:val="nil"/>
              <w:left w:val="nil"/>
              <w:bottom w:val="nil"/>
              <w:right w:val="nil"/>
            </w:tcBorders>
            <w:shd w:val="clear" w:color="auto" w:fill="EEF2F6"/>
            <w:noWrap w:val="0"/>
            <w:tcMar>
              <w:top w:w="50" w:type="dxa"/>
              <w:left w:w="90" w:type="dxa"/>
              <w:bottom w:w="50" w:type="dxa"/>
              <w:right w:w="90" w:type="dxa"/>
            </w:tcMar>
            <w:vAlign w:val="center"/>
          </w:tcPr>
          <w:p w14:paraId="5EB45F2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Glaucoma</w:t>
            </w:r>
          </w:p>
        </w:tc>
        <w:tc>
          <w:tcPr>
            <w:tcW w:w="1957" w:type="pct"/>
            <w:tcBorders>
              <w:top w:val="nil"/>
              <w:left w:val="nil"/>
              <w:bottom w:val="nil"/>
              <w:right w:val="nil"/>
            </w:tcBorders>
            <w:shd w:val="clear" w:color="auto" w:fill="EEF2F6"/>
            <w:noWrap w:val="0"/>
            <w:tcMar>
              <w:top w:w="50" w:type="dxa"/>
              <w:left w:w="90" w:type="dxa"/>
              <w:bottom w:w="50" w:type="dxa"/>
              <w:right w:w="90" w:type="dxa"/>
            </w:tcMar>
            <w:vAlign w:val="center"/>
          </w:tcPr>
          <w:p w14:paraId="4F79EF4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Independent ophthalmology, tertiary Grade-A general</w:t>
            </w:r>
          </w:p>
        </w:tc>
        <w:tc>
          <w:tcPr>
            <w:tcW w:w="360" w:type="pct"/>
            <w:tcBorders>
              <w:top w:val="nil"/>
              <w:left w:val="nil"/>
              <w:bottom w:val="nil"/>
              <w:right w:val="nil"/>
            </w:tcBorders>
            <w:shd w:val="clear" w:color="auto" w:fill="EEF2F6"/>
            <w:noWrap w:val="0"/>
            <w:tcMar>
              <w:top w:w="50" w:type="dxa"/>
              <w:left w:w="90" w:type="dxa"/>
              <w:bottom w:w="50" w:type="dxa"/>
              <w:right w:w="90" w:type="dxa"/>
            </w:tcMar>
            <w:vAlign w:val="center"/>
          </w:tcPr>
          <w:p w14:paraId="52B0C79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East</w:t>
            </w:r>
          </w:p>
        </w:tc>
        <w:tc>
          <w:tcPr>
            <w:tcW w:w="235" w:type="pct"/>
            <w:tcBorders>
              <w:top w:val="nil"/>
              <w:left w:val="nil"/>
              <w:bottom w:val="nil"/>
              <w:right w:val="nil"/>
            </w:tcBorders>
            <w:shd w:val="clear" w:color="auto" w:fill="EEF2F6"/>
            <w:noWrap w:val="0"/>
            <w:tcMar>
              <w:top w:w="50" w:type="dxa"/>
              <w:left w:w="90" w:type="dxa"/>
              <w:bottom w:w="50" w:type="dxa"/>
              <w:right w:w="90" w:type="dxa"/>
            </w:tcMar>
            <w:vAlign w:val="center"/>
          </w:tcPr>
          <w:p w14:paraId="18D2B73A">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19</w:t>
            </w:r>
          </w:p>
        </w:tc>
        <w:tc>
          <w:tcPr>
            <w:tcW w:w="787" w:type="pct"/>
            <w:tcBorders>
              <w:top w:val="nil"/>
              <w:left w:val="nil"/>
              <w:bottom w:val="nil"/>
              <w:right w:val="nil"/>
            </w:tcBorders>
            <w:shd w:val="clear" w:color="auto" w:fill="EEF2F6"/>
            <w:noWrap w:val="0"/>
            <w:tcMar>
              <w:top w:w="50" w:type="dxa"/>
              <w:left w:w="90" w:type="dxa"/>
              <w:bottom w:w="50" w:type="dxa"/>
              <w:right w:w="90" w:type="dxa"/>
            </w:tcMar>
            <w:vAlign w:val="center"/>
          </w:tcPr>
          <w:p w14:paraId="06BD339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None</w:t>
            </w:r>
          </w:p>
        </w:tc>
      </w:tr>
      <w:tr w14:paraId="196EAD9B">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noWrap w:val="0"/>
            <w:tcMar>
              <w:top w:w="50" w:type="dxa"/>
              <w:left w:w="90" w:type="dxa"/>
              <w:bottom w:w="50" w:type="dxa"/>
              <w:right w:w="90" w:type="dxa"/>
            </w:tcMar>
            <w:vAlign w:val="center"/>
          </w:tcPr>
          <w:p w14:paraId="173903D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N05</w:t>
            </w:r>
          </w:p>
        </w:tc>
        <w:tc>
          <w:tcPr>
            <w:tcW w:w="303" w:type="pct"/>
            <w:tcBorders>
              <w:top w:val="nil"/>
              <w:left w:val="nil"/>
              <w:bottom w:val="nil"/>
              <w:right w:val="nil"/>
            </w:tcBorders>
            <w:noWrap w:val="0"/>
            <w:tcMar>
              <w:top w:w="50" w:type="dxa"/>
              <w:left w:w="90" w:type="dxa"/>
              <w:bottom w:w="50" w:type="dxa"/>
              <w:right w:w="90" w:type="dxa"/>
            </w:tcMar>
            <w:vAlign w:val="center"/>
          </w:tcPr>
          <w:p w14:paraId="313E25B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30-34</w:t>
            </w:r>
          </w:p>
        </w:tc>
        <w:tc>
          <w:tcPr>
            <w:tcW w:w="1104" w:type="pct"/>
            <w:tcBorders>
              <w:top w:val="nil"/>
              <w:left w:val="nil"/>
              <w:bottom w:val="nil"/>
              <w:right w:val="nil"/>
            </w:tcBorders>
            <w:noWrap w:val="0"/>
            <w:tcMar>
              <w:top w:w="50" w:type="dxa"/>
              <w:left w:w="90" w:type="dxa"/>
              <w:bottom w:w="50" w:type="dxa"/>
              <w:right w:w="90" w:type="dxa"/>
            </w:tcMar>
            <w:vAlign w:val="center"/>
          </w:tcPr>
          <w:p w14:paraId="050C8DE7">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Optometry</w:t>
            </w:r>
          </w:p>
        </w:tc>
        <w:tc>
          <w:tcPr>
            <w:tcW w:w="1957" w:type="pct"/>
            <w:tcBorders>
              <w:top w:val="nil"/>
              <w:left w:val="nil"/>
              <w:bottom w:val="nil"/>
              <w:right w:val="nil"/>
            </w:tcBorders>
            <w:noWrap w:val="0"/>
            <w:tcMar>
              <w:top w:w="50" w:type="dxa"/>
              <w:left w:w="90" w:type="dxa"/>
              <w:bottom w:w="50" w:type="dxa"/>
              <w:right w:w="90" w:type="dxa"/>
            </w:tcMar>
            <w:vAlign w:val="center"/>
          </w:tcPr>
          <w:p w14:paraId="1370FBA2">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Tertiary specialist eye hospital</w:t>
            </w:r>
          </w:p>
        </w:tc>
        <w:tc>
          <w:tcPr>
            <w:tcW w:w="360" w:type="pct"/>
            <w:tcBorders>
              <w:top w:val="nil"/>
              <w:left w:val="nil"/>
              <w:bottom w:val="nil"/>
              <w:right w:val="nil"/>
            </w:tcBorders>
            <w:noWrap w:val="0"/>
            <w:tcMar>
              <w:top w:w="50" w:type="dxa"/>
              <w:left w:w="90" w:type="dxa"/>
              <w:bottom w:w="50" w:type="dxa"/>
              <w:right w:w="90" w:type="dxa"/>
            </w:tcMar>
            <w:vAlign w:val="center"/>
          </w:tcPr>
          <w:p w14:paraId="1066D482">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Central</w:t>
            </w:r>
          </w:p>
        </w:tc>
        <w:tc>
          <w:tcPr>
            <w:tcW w:w="235" w:type="pct"/>
            <w:tcBorders>
              <w:top w:val="nil"/>
              <w:left w:val="nil"/>
              <w:bottom w:val="nil"/>
              <w:right w:val="nil"/>
            </w:tcBorders>
            <w:noWrap w:val="0"/>
            <w:tcMar>
              <w:top w:w="50" w:type="dxa"/>
              <w:left w:w="90" w:type="dxa"/>
              <w:bottom w:w="50" w:type="dxa"/>
              <w:right w:w="90" w:type="dxa"/>
            </w:tcMar>
            <w:vAlign w:val="center"/>
          </w:tcPr>
          <w:p w14:paraId="6CD64676">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8</w:t>
            </w:r>
          </w:p>
        </w:tc>
        <w:tc>
          <w:tcPr>
            <w:tcW w:w="787" w:type="pct"/>
            <w:tcBorders>
              <w:top w:val="nil"/>
              <w:left w:val="nil"/>
              <w:bottom w:val="nil"/>
              <w:right w:val="nil"/>
            </w:tcBorders>
            <w:noWrap w:val="0"/>
            <w:tcMar>
              <w:top w:w="50" w:type="dxa"/>
              <w:left w:w="90" w:type="dxa"/>
              <w:bottom w:w="50" w:type="dxa"/>
              <w:right w:w="90" w:type="dxa"/>
            </w:tcMar>
            <w:vAlign w:val="center"/>
          </w:tcPr>
          <w:p w14:paraId="375E26B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Limited exploration</w:t>
            </w:r>
          </w:p>
        </w:tc>
      </w:tr>
      <w:tr w14:paraId="1106F28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shd w:val="clear" w:color="auto" w:fill="EEF2F6"/>
            <w:noWrap w:val="0"/>
            <w:tcMar>
              <w:top w:w="50" w:type="dxa"/>
              <w:left w:w="90" w:type="dxa"/>
              <w:bottom w:w="50" w:type="dxa"/>
              <w:right w:w="90" w:type="dxa"/>
            </w:tcMar>
            <w:vAlign w:val="center"/>
          </w:tcPr>
          <w:p w14:paraId="72BC131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N06</w:t>
            </w:r>
          </w:p>
        </w:tc>
        <w:tc>
          <w:tcPr>
            <w:tcW w:w="303" w:type="pct"/>
            <w:tcBorders>
              <w:top w:val="nil"/>
              <w:left w:val="nil"/>
              <w:bottom w:val="nil"/>
              <w:right w:val="nil"/>
            </w:tcBorders>
            <w:shd w:val="clear" w:color="auto" w:fill="EEF2F6"/>
            <w:noWrap w:val="0"/>
            <w:tcMar>
              <w:top w:w="50" w:type="dxa"/>
              <w:left w:w="90" w:type="dxa"/>
              <w:bottom w:w="50" w:type="dxa"/>
              <w:right w:w="90" w:type="dxa"/>
            </w:tcMar>
            <w:vAlign w:val="center"/>
          </w:tcPr>
          <w:p w14:paraId="38ACFA77">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25-29</w:t>
            </w:r>
          </w:p>
        </w:tc>
        <w:tc>
          <w:tcPr>
            <w:tcW w:w="1104" w:type="pct"/>
            <w:tcBorders>
              <w:top w:val="nil"/>
              <w:left w:val="nil"/>
              <w:bottom w:val="nil"/>
              <w:right w:val="nil"/>
            </w:tcBorders>
            <w:shd w:val="clear" w:color="auto" w:fill="EEF2F6"/>
            <w:noWrap w:val="0"/>
            <w:tcMar>
              <w:top w:w="50" w:type="dxa"/>
              <w:left w:w="90" w:type="dxa"/>
              <w:bottom w:w="50" w:type="dxa"/>
              <w:right w:w="90" w:type="dxa"/>
            </w:tcMar>
            <w:vAlign w:val="center"/>
          </w:tcPr>
          <w:p w14:paraId="3DCF209C">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Ophthalmic outpatient</w:t>
            </w:r>
          </w:p>
        </w:tc>
        <w:tc>
          <w:tcPr>
            <w:tcW w:w="1957" w:type="pct"/>
            <w:tcBorders>
              <w:top w:val="nil"/>
              <w:left w:val="nil"/>
              <w:bottom w:val="nil"/>
              <w:right w:val="nil"/>
            </w:tcBorders>
            <w:shd w:val="clear" w:color="auto" w:fill="EEF2F6"/>
            <w:noWrap w:val="0"/>
            <w:tcMar>
              <w:top w:w="50" w:type="dxa"/>
              <w:left w:w="90" w:type="dxa"/>
              <w:bottom w:w="50" w:type="dxa"/>
              <w:right w:w="90" w:type="dxa"/>
            </w:tcMar>
            <w:vAlign w:val="center"/>
          </w:tcPr>
          <w:p w14:paraId="56A7308C">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Tertiary Grade-B general / secondary specialist eye</w:t>
            </w:r>
          </w:p>
        </w:tc>
        <w:tc>
          <w:tcPr>
            <w:tcW w:w="360" w:type="pct"/>
            <w:tcBorders>
              <w:top w:val="nil"/>
              <w:left w:val="nil"/>
              <w:bottom w:val="nil"/>
              <w:right w:val="nil"/>
            </w:tcBorders>
            <w:shd w:val="clear" w:color="auto" w:fill="EEF2F6"/>
            <w:noWrap w:val="0"/>
            <w:tcMar>
              <w:top w:w="50" w:type="dxa"/>
              <w:left w:w="90" w:type="dxa"/>
              <w:bottom w:w="50" w:type="dxa"/>
              <w:right w:w="90" w:type="dxa"/>
            </w:tcMar>
            <w:vAlign w:val="center"/>
          </w:tcPr>
          <w:p w14:paraId="674D7A07">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West</w:t>
            </w:r>
          </w:p>
        </w:tc>
        <w:tc>
          <w:tcPr>
            <w:tcW w:w="235" w:type="pct"/>
            <w:tcBorders>
              <w:top w:val="nil"/>
              <w:left w:val="nil"/>
              <w:bottom w:val="nil"/>
              <w:right w:val="nil"/>
            </w:tcBorders>
            <w:shd w:val="clear" w:color="auto" w:fill="EEF2F6"/>
            <w:noWrap w:val="0"/>
            <w:tcMar>
              <w:top w:w="50" w:type="dxa"/>
              <w:left w:w="90" w:type="dxa"/>
              <w:bottom w:w="50" w:type="dxa"/>
              <w:right w:w="90" w:type="dxa"/>
            </w:tcMar>
            <w:vAlign w:val="center"/>
          </w:tcPr>
          <w:p w14:paraId="56D29BFA">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6</w:t>
            </w:r>
          </w:p>
        </w:tc>
        <w:tc>
          <w:tcPr>
            <w:tcW w:w="787" w:type="pct"/>
            <w:tcBorders>
              <w:top w:val="nil"/>
              <w:left w:val="nil"/>
              <w:bottom w:val="nil"/>
              <w:right w:val="nil"/>
            </w:tcBorders>
            <w:shd w:val="clear" w:color="auto" w:fill="EEF2F6"/>
            <w:noWrap w:val="0"/>
            <w:tcMar>
              <w:top w:w="50" w:type="dxa"/>
              <w:left w:w="90" w:type="dxa"/>
              <w:bottom w:w="50" w:type="dxa"/>
              <w:right w:w="90" w:type="dxa"/>
            </w:tcMar>
            <w:vAlign w:val="center"/>
          </w:tcPr>
          <w:p w14:paraId="3E18696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Personal only</w:t>
            </w:r>
          </w:p>
        </w:tc>
      </w:tr>
      <w:tr w14:paraId="2884328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noWrap w:val="0"/>
            <w:tcMar>
              <w:top w:w="50" w:type="dxa"/>
              <w:left w:w="90" w:type="dxa"/>
              <w:bottom w:w="50" w:type="dxa"/>
              <w:right w:w="90" w:type="dxa"/>
            </w:tcMar>
            <w:vAlign w:val="center"/>
          </w:tcPr>
          <w:p w14:paraId="22BB5DB1">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N07</w:t>
            </w:r>
          </w:p>
        </w:tc>
        <w:tc>
          <w:tcPr>
            <w:tcW w:w="303" w:type="pct"/>
            <w:tcBorders>
              <w:top w:val="nil"/>
              <w:left w:val="nil"/>
              <w:bottom w:val="nil"/>
              <w:right w:val="nil"/>
            </w:tcBorders>
            <w:noWrap w:val="0"/>
            <w:tcMar>
              <w:top w:w="50" w:type="dxa"/>
              <w:left w:w="90" w:type="dxa"/>
              <w:bottom w:w="50" w:type="dxa"/>
              <w:right w:w="90" w:type="dxa"/>
            </w:tcMar>
            <w:vAlign w:val="center"/>
          </w:tcPr>
          <w:p w14:paraId="58B975F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35-39</w:t>
            </w:r>
          </w:p>
        </w:tc>
        <w:tc>
          <w:tcPr>
            <w:tcW w:w="1104" w:type="pct"/>
            <w:tcBorders>
              <w:top w:val="nil"/>
              <w:left w:val="nil"/>
              <w:bottom w:val="nil"/>
              <w:right w:val="nil"/>
            </w:tcBorders>
            <w:noWrap w:val="0"/>
            <w:tcMar>
              <w:top w:w="50" w:type="dxa"/>
              <w:left w:w="90" w:type="dxa"/>
              <w:bottom w:w="50" w:type="dxa"/>
              <w:right w:w="90" w:type="dxa"/>
            </w:tcMar>
            <w:vAlign w:val="center"/>
          </w:tcPr>
          <w:p w14:paraId="0B4BB39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Retina</w:t>
            </w:r>
          </w:p>
        </w:tc>
        <w:tc>
          <w:tcPr>
            <w:tcW w:w="1957" w:type="pct"/>
            <w:tcBorders>
              <w:top w:val="nil"/>
              <w:left w:val="nil"/>
              <w:bottom w:val="nil"/>
              <w:right w:val="nil"/>
            </w:tcBorders>
            <w:noWrap w:val="0"/>
            <w:tcMar>
              <w:top w:w="50" w:type="dxa"/>
              <w:left w:w="90" w:type="dxa"/>
              <w:bottom w:w="50" w:type="dxa"/>
              <w:right w:w="90" w:type="dxa"/>
            </w:tcMar>
            <w:vAlign w:val="center"/>
          </w:tcPr>
          <w:p w14:paraId="32265C13">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Independent ophthalmology, tertiary Grade-A general</w:t>
            </w:r>
          </w:p>
        </w:tc>
        <w:tc>
          <w:tcPr>
            <w:tcW w:w="360" w:type="pct"/>
            <w:tcBorders>
              <w:top w:val="nil"/>
              <w:left w:val="nil"/>
              <w:bottom w:val="nil"/>
              <w:right w:val="nil"/>
            </w:tcBorders>
            <w:noWrap w:val="0"/>
            <w:tcMar>
              <w:top w:w="50" w:type="dxa"/>
              <w:left w:w="90" w:type="dxa"/>
              <w:bottom w:w="50" w:type="dxa"/>
              <w:right w:w="90" w:type="dxa"/>
            </w:tcMar>
            <w:vAlign w:val="center"/>
          </w:tcPr>
          <w:p w14:paraId="217137D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East</w:t>
            </w:r>
          </w:p>
        </w:tc>
        <w:tc>
          <w:tcPr>
            <w:tcW w:w="235" w:type="pct"/>
            <w:tcBorders>
              <w:top w:val="nil"/>
              <w:left w:val="nil"/>
              <w:bottom w:val="nil"/>
              <w:right w:val="nil"/>
            </w:tcBorders>
            <w:noWrap w:val="0"/>
            <w:tcMar>
              <w:top w:w="50" w:type="dxa"/>
              <w:left w:w="90" w:type="dxa"/>
              <w:bottom w:w="50" w:type="dxa"/>
              <w:right w:w="90" w:type="dxa"/>
            </w:tcMar>
            <w:vAlign w:val="center"/>
          </w:tcPr>
          <w:p w14:paraId="1EBE98AC">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15</w:t>
            </w:r>
          </w:p>
        </w:tc>
        <w:tc>
          <w:tcPr>
            <w:tcW w:w="787" w:type="pct"/>
            <w:tcBorders>
              <w:top w:val="nil"/>
              <w:left w:val="nil"/>
              <w:bottom w:val="nil"/>
              <w:right w:val="nil"/>
            </w:tcBorders>
            <w:noWrap w:val="0"/>
            <w:tcMar>
              <w:top w:w="50" w:type="dxa"/>
              <w:left w:w="90" w:type="dxa"/>
              <w:bottom w:w="50" w:type="dxa"/>
              <w:right w:w="90" w:type="dxa"/>
            </w:tcMar>
            <w:vAlign w:val="center"/>
          </w:tcPr>
          <w:p w14:paraId="7D8CE40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Routine ancillary</w:t>
            </w:r>
          </w:p>
        </w:tc>
      </w:tr>
      <w:tr w14:paraId="5FA3536F">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shd w:val="clear" w:color="auto" w:fill="EEF2F6"/>
            <w:noWrap w:val="0"/>
            <w:tcMar>
              <w:top w:w="50" w:type="dxa"/>
              <w:left w:w="90" w:type="dxa"/>
              <w:bottom w:w="50" w:type="dxa"/>
              <w:right w:w="90" w:type="dxa"/>
            </w:tcMar>
            <w:vAlign w:val="center"/>
          </w:tcPr>
          <w:p w14:paraId="21A9AC41">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N08</w:t>
            </w:r>
          </w:p>
        </w:tc>
        <w:tc>
          <w:tcPr>
            <w:tcW w:w="303" w:type="pct"/>
            <w:tcBorders>
              <w:top w:val="nil"/>
              <w:left w:val="nil"/>
              <w:bottom w:val="nil"/>
              <w:right w:val="nil"/>
            </w:tcBorders>
            <w:shd w:val="clear" w:color="auto" w:fill="EEF2F6"/>
            <w:noWrap w:val="0"/>
            <w:tcMar>
              <w:top w:w="50" w:type="dxa"/>
              <w:left w:w="90" w:type="dxa"/>
              <w:bottom w:w="50" w:type="dxa"/>
              <w:right w:w="90" w:type="dxa"/>
            </w:tcMar>
            <w:vAlign w:val="center"/>
          </w:tcPr>
          <w:p w14:paraId="20B9963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25-29</w:t>
            </w:r>
          </w:p>
        </w:tc>
        <w:tc>
          <w:tcPr>
            <w:tcW w:w="1104" w:type="pct"/>
            <w:tcBorders>
              <w:top w:val="nil"/>
              <w:left w:val="nil"/>
              <w:bottom w:val="nil"/>
              <w:right w:val="nil"/>
            </w:tcBorders>
            <w:shd w:val="clear" w:color="auto" w:fill="EEF2F6"/>
            <w:noWrap w:val="0"/>
            <w:tcMar>
              <w:top w:w="50" w:type="dxa"/>
              <w:left w:w="90" w:type="dxa"/>
              <w:bottom w:w="50" w:type="dxa"/>
              <w:right w:w="90" w:type="dxa"/>
            </w:tcMar>
            <w:vAlign w:val="center"/>
          </w:tcPr>
          <w:p w14:paraId="2CAF36D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Primary eye health/screening</w:t>
            </w:r>
          </w:p>
        </w:tc>
        <w:tc>
          <w:tcPr>
            <w:tcW w:w="1957" w:type="pct"/>
            <w:tcBorders>
              <w:top w:val="nil"/>
              <w:left w:val="nil"/>
              <w:bottom w:val="nil"/>
              <w:right w:val="nil"/>
            </w:tcBorders>
            <w:shd w:val="clear" w:color="auto" w:fill="EEF2F6"/>
            <w:noWrap w:val="0"/>
            <w:tcMar>
              <w:top w:w="50" w:type="dxa"/>
              <w:left w:w="90" w:type="dxa"/>
              <w:bottom w:w="50" w:type="dxa"/>
              <w:right w:w="90" w:type="dxa"/>
            </w:tcMar>
            <w:vAlign w:val="center"/>
          </w:tcPr>
          <w:p w14:paraId="1A677D4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Secondary general hospital, combined department</w:t>
            </w:r>
          </w:p>
        </w:tc>
        <w:tc>
          <w:tcPr>
            <w:tcW w:w="360" w:type="pct"/>
            <w:tcBorders>
              <w:top w:val="nil"/>
              <w:left w:val="nil"/>
              <w:bottom w:val="nil"/>
              <w:right w:val="nil"/>
            </w:tcBorders>
            <w:shd w:val="clear" w:color="auto" w:fill="EEF2F6"/>
            <w:noWrap w:val="0"/>
            <w:tcMar>
              <w:top w:w="50" w:type="dxa"/>
              <w:left w:w="90" w:type="dxa"/>
              <w:bottom w:w="50" w:type="dxa"/>
              <w:right w:w="90" w:type="dxa"/>
            </w:tcMar>
            <w:vAlign w:val="center"/>
          </w:tcPr>
          <w:p w14:paraId="354C9BE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Central</w:t>
            </w:r>
          </w:p>
        </w:tc>
        <w:tc>
          <w:tcPr>
            <w:tcW w:w="235" w:type="pct"/>
            <w:tcBorders>
              <w:top w:val="nil"/>
              <w:left w:val="nil"/>
              <w:bottom w:val="nil"/>
              <w:right w:val="nil"/>
            </w:tcBorders>
            <w:shd w:val="clear" w:color="auto" w:fill="EEF2F6"/>
            <w:noWrap w:val="0"/>
            <w:tcMar>
              <w:top w:w="50" w:type="dxa"/>
              <w:left w:w="90" w:type="dxa"/>
              <w:bottom w:w="50" w:type="dxa"/>
              <w:right w:w="90" w:type="dxa"/>
            </w:tcMar>
            <w:vAlign w:val="center"/>
          </w:tcPr>
          <w:p w14:paraId="1294FB1C">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2</w:t>
            </w:r>
          </w:p>
        </w:tc>
        <w:tc>
          <w:tcPr>
            <w:tcW w:w="787" w:type="pct"/>
            <w:tcBorders>
              <w:top w:val="nil"/>
              <w:left w:val="nil"/>
              <w:bottom w:val="nil"/>
              <w:right w:val="nil"/>
            </w:tcBorders>
            <w:shd w:val="clear" w:color="auto" w:fill="EEF2F6"/>
            <w:noWrap w:val="0"/>
            <w:tcMar>
              <w:top w:w="50" w:type="dxa"/>
              <w:left w:w="90" w:type="dxa"/>
              <w:bottom w:w="50" w:type="dxa"/>
              <w:right w:w="90" w:type="dxa"/>
            </w:tcMar>
            <w:vAlign w:val="center"/>
          </w:tcPr>
          <w:p w14:paraId="683BA04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None</w:t>
            </w:r>
          </w:p>
        </w:tc>
      </w:tr>
      <w:tr w14:paraId="6F4AE32C">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noWrap w:val="0"/>
            <w:tcMar>
              <w:top w:w="50" w:type="dxa"/>
              <w:left w:w="90" w:type="dxa"/>
              <w:bottom w:w="50" w:type="dxa"/>
              <w:right w:w="90" w:type="dxa"/>
            </w:tcMar>
            <w:vAlign w:val="center"/>
          </w:tcPr>
          <w:p w14:paraId="177FDD6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N09</w:t>
            </w:r>
          </w:p>
        </w:tc>
        <w:tc>
          <w:tcPr>
            <w:tcW w:w="303" w:type="pct"/>
            <w:tcBorders>
              <w:top w:val="nil"/>
              <w:left w:val="nil"/>
              <w:bottom w:val="nil"/>
              <w:right w:val="nil"/>
            </w:tcBorders>
            <w:noWrap w:val="0"/>
            <w:tcMar>
              <w:top w:w="50" w:type="dxa"/>
              <w:left w:w="90" w:type="dxa"/>
              <w:bottom w:w="50" w:type="dxa"/>
              <w:right w:w="90" w:type="dxa"/>
            </w:tcMar>
            <w:vAlign w:val="center"/>
          </w:tcPr>
          <w:p w14:paraId="54E15AEE">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30-34</w:t>
            </w:r>
          </w:p>
        </w:tc>
        <w:tc>
          <w:tcPr>
            <w:tcW w:w="1104" w:type="pct"/>
            <w:tcBorders>
              <w:top w:val="nil"/>
              <w:left w:val="nil"/>
              <w:bottom w:val="nil"/>
              <w:right w:val="nil"/>
            </w:tcBorders>
            <w:noWrap w:val="0"/>
            <w:tcMar>
              <w:top w:w="50" w:type="dxa"/>
              <w:left w:w="90" w:type="dxa"/>
              <w:bottom w:w="50" w:type="dxa"/>
              <w:right w:w="90" w:type="dxa"/>
            </w:tcMar>
            <w:vAlign w:val="center"/>
          </w:tcPr>
          <w:p w14:paraId="2BC0B18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Day ward</w:t>
            </w:r>
          </w:p>
        </w:tc>
        <w:tc>
          <w:tcPr>
            <w:tcW w:w="1957" w:type="pct"/>
            <w:tcBorders>
              <w:top w:val="nil"/>
              <w:left w:val="nil"/>
              <w:bottom w:val="nil"/>
              <w:right w:val="nil"/>
            </w:tcBorders>
            <w:noWrap w:val="0"/>
            <w:tcMar>
              <w:top w:w="50" w:type="dxa"/>
              <w:left w:w="90" w:type="dxa"/>
              <w:bottom w:w="50" w:type="dxa"/>
              <w:right w:w="90" w:type="dxa"/>
            </w:tcMar>
            <w:vAlign w:val="center"/>
          </w:tcPr>
          <w:p w14:paraId="7DCD1223">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Tertiary specialist eye hospital</w:t>
            </w:r>
          </w:p>
        </w:tc>
        <w:tc>
          <w:tcPr>
            <w:tcW w:w="360" w:type="pct"/>
            <w:tcBorders>
              <w:top w:val="nil"/>
              <w:left w:val="nil"/>
              <w:bottom w:val="nil"/>
              <w:right w:val="nil"/>
            </w:tcBorders>
            <w:noWrap w:val="0"/>
            <w:tcMar>
              <w:top w:w="50" w:type="dxa"/>
              <w:left w:w="90" w:type="dxa"/>
              <w:bottom w:w="50" w:type="dxa"/>
              <w:right w:w="90" w:type="dxa"/>
            </w:tcMar>
            <w:vAlign w:val="center"/>
          </w:tcPr>
          <w:p w14:paraId="1DC11376">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Central</w:t>
            </w:r>
          </w:p>
        </w:tc>
        <w:tc>
          <w:tcPr>
            <w:tcW w:w="235" w:type="pct"/>
            <w:tcBorders>
              <w:top w:val="nil"/>
              <w:left w:val="nil"/>
              <w:bottom w:val="nil"/>
              <w:right w:val="nil"/>
            </w:tcBorders>
            <w:noWrap w:val="0"/>
            <w:tcMar>
              <w:top w:w="50" w:type="dxa"/>
              <w:left w:w="90" w:type="dxa"/>
              <w:bottom w:w="50" w:type="dxa"/>
              <w:right w:w="90" w:type="dxa"/>
            </w:tcMar>
            <w:vAlign w:val="center"/>
          </w:tcPr>
          <w:p w14:paraId="3F7EC62E">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10</w:t>
            </w:r>
          </w:p>
        </w:tc>
        <w:tc>
          <w:tcPr>
            <w:tcW w:w="787" w:type="pct"/>
            <w:tcBorders>
              <w:top w:val="nil"/>
              <w:left w:val="nil"/>
              <w:bottom w:val="nil"/>
              <w:right w:val="nil"/>
            </w:tcBorders>
            <w:noWrap w:val="0"/>
            <w:tcMar>
              <w:top w:w="50" w:type="dxa"/>
              <w:left w:w="90" w:type="dxa"/>
              <w:bottom w:w="50" w:type="dxa"/>
              <w:right w:w="90" w:type="dxa"/>
            </w:tcMar>
            <w:vAlign w:val="center"/>
          </w:tcPr>
          <w:p w14:paraId="6009373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Limited exploration</w:t>
            </w:r>
          </w:p>
        </w:tc>
      </w:tr>
      <w:tr w14:paraId="148CA62A">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shd w:val="clear" w:color="auto" w:fill="EEF2F6"/>
            <w:noWrap w:val="0"/>
            <w:tcMar>
              <w:top w:w="50" w:type="dxa"/>
              <w:left w:w="90" w:type="dxa"/>
              <w:bottom w:w="50" w:type="dxa"/>
              <w:right w:w="90" w:type="dxa"/>
            </w:tcMar>
            <w:vAlign w:val="center"/>
          </w:tcPr>
          <w:p w14:paraId="6D40DED6">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N10</w:t>
            </w:r>
          </w:p>
        </w:tc>
        <w:tc>
          <w:tcPr>
            <w:tcW w:w="303" w:type="pct"/>
            <w:tcBorders>
              <w:top w:val="nil"/>
              <w:left w:val="nil"/>
              <w:bottom w:val="nil"/>
              <w:right w:val="nil"/>
            </w:tcBorders>
            <w:shd w:val="clear" w:color="auto" w:fill="EEF2F6"/>
            <w:noWrap w:val="0"/>
            <w:tcMar>
              <w:top w:w="50" w:type="dxa"/>
              <w:left w:w="90" w:type="dxa"/>
              <w:bottom w:w="50" w:type="dxa"/>
              <w:right w:w="90" w:type="dxa"/>
            </w:tcMar>
            <w:vAlign w:val="center"/>
          </w:tcPr>
          <w:p w14:paraId="6A66B24C">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45-49</w:t>
            </w:r>
          </w:p>
        </w:tc>
        <w:tc>
          <w:tcPr>
            <w:tcW w:w="1104" w:type="pct"/>
            <w:tcBorders>
              <w:top w:val="nil"/>
              <w:left w:val="nil"/>
              <w:bottom w:val="nil"/>
              <w:right w:val="nil"/>
            </w:tcBorders>
            <w:shd w:val="clear" w:color="auto" w:fill="EEF2F6"/>
            <w:noWrap w:val="0"/>
            <w:tcMar>
              <w:top w:w="50" w:type="dxa"/>
              <w:left w:w="90" w:type="dxa"/>
              <w:bottom w:w="50" w:type="dxa"/>
              <w:right w:w="90" w:type="dxa"/>
            </w:tcMar>
            <w:vAlign w:val="center"/>
          </w:tcPr>
          <w:p w14:paraId="526E5714">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Cataract</w:t>
            </w:r>
          </w:p>
        </w:tc>
        <w:tc>
          <w:tcPr>
            <w:tcW w:w="1957" w:type="pct"/>
            <w:tcBorders>
              <w:top w:val="nil"/>
              <w:left w:val="nil"/>
              <w:bottom w:val="nil"/>
              <w:right w:val="nil"/>
            </w:tcBorders>
            <w:shd w:val="clear" w:color="auto" w:fill="EEF2F6"/>
            <w:noWrap w:val="0"/>
            <w:tcMar>
              <w:top w:w="50" w:type="dxa"/>
              <w:left w:w="90" w:type="dxa"/>
              <w:bottom w:w="50" w:type="dxa"/>
              <w:right w:w="90" w:type="dxa"/>
            </w:tcMar>
            <w:vAlign w:val="center"/>
          </w:tcPr>
          <w:p w14:paraId="6AAF22E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Tertiary Grade-B general / secondary specialist eye</w:t>
            </w:r>
          </w:p>
        </w:tc>
        <w:tc>
          <w:tcPr>
            <w:tcW w:w="360" w:type="pct"/>
            <w:tcBorders>
              <w:top w:val="nil"/>
              <w:left w:val="nil"/>
              <w:bottom w:val="nil"/>
              <w:right w:val="nil"/>
            </w:tcBorders>
            <w:shd w:val="clear" w:color="auto" w:fill="EEF2F6"/>
            <w:noWrap w:val="0"/>
            <w:tcMar>
              <w:top w:w="50" w:type="dxa"/>
              <w:left w:w="90" w:type="dxa"/>
              <w:bottom w:w="50" w:type="dxa"/>
              <w:right w:w="90" w:type="dxa"/>
            </w:tcMar>
            <w:vAlign w:val="center"/>
          </w:tcPr>
          <w:p w14:paraId="26D1D17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West</w:t>
            </w:r>
          </w:p>
        </w:tc>
        <w:tc>
          <w:tcPr>
            <w:tcW w:w="235" w:type="pct"/>
            <w:tcBorders>
              <w:top w:val="nil"/>
              <w:left w:val="nil"/>
              <w:bottom w:val="nil"/>
              <w:right w:val="nil"/>
            </w:tcBorders>
            <w:shd w:val="clear" w:color="auto" w:fill="EEF2F6"/>
            <w:noWrap w:val="0"/>
            <w:tcMar>
              <w:top w:w="50" w:type="dxa"/>
              <w:left w:w="90" w:type="dxa"/>
              <w:bottom w:w="50" w:type="dxa"/>
              <w:right w:w="90" w:type="dxa"/>
            </w:tcMar>
            <w:vAlign w:val="center"/>
          </w:tcPr>
          <w:p w14:paraId="1A3C355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22</w:t>
            </w:r>
          </w:p>
        </w:tc>
        <w:tc>
          <w:tcPr>
            <w:tcW w:w="787" w:type="pct"/>
            <w:tcBorders>
              <w:top w:val="nil"/>
              <w:left w:val="nil"/>
              <w:bottom w:val="nil"/>
              <w:right w:val="nil"/>
            </w:tcBorders>
            <w:shd w:val="clear" w:color="auto" w:fill="EEF2F6"/>
            <w:noWrap w:val="0"/>
            <w:tcMar>
              <w:top w:w="50" w:type="dxa"/>
              <w:left w:w="90" w:type="dxa"/>
              <w:bottom w:w="50" w:type="dxa"/>
              <w:right w:w="90" w:type="dxa"/>
            </w:tcMar>
            <w:vAlign w:val="center"/>
          </w:tcPr>
          <w:p w14:paraId="47B9E1C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None</w:t>
            </w:r>
          </w:p>
        </w:tc>
      </w:tr>
      <w:tr w14:paraId="2341B1BD">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noWrap w:val="0"/>
            <w:tcMar>
              <w:top w:w="50" w:type="dxa"/>
              <w:left w:w="90" w:type="dxa"/>
              <w:bottom w:w="50" w:type="dxa"/>
              <w:right w:w="90" w:type="dxa"/>
            </w:tcMar>
            <w:vAlign w:val="center"/>
          </w:tcPr>
          <w:p w14:paraId="06497863">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N11</w:t>
            </w:r>
          </w:p>
        </w:tc>
        <w:tc>
          <w:tcPr>
            <w:tcW w:w="303" w:type="pct"/>
            <w:tcBorders>
              <w:top w:val="nil"/>
              <w:left w:val="nil"/>
              <w:bottom w:val="nil"/>
              <w:right w:val="nil"/>
            </w:tcBorders>
            <w:noWrap w:val="0"/>
            <w:tcMar>
              <w:top w:w="50" w:type="dxa"/>
              <w:left w:w="90" w:type="dxa"/>
              <w:bottom w:w="50" w:type="dxa"/>
              <w:right w:w="90" w:type="dxa"/>
            </w:tcMar>
            <w:vAlign w:val="center"/>
          </w:tcPr>
          <w:p w14:paraId="444BD23E">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25-29</w:t>
            </w:r>
          </w:p>
        </w:tc>
        <w:tc>
          <w:tcPr>
            <w:tcW w:w="1104" w:type="pct"/>
            <w:tcBorders>
              <w:top w:val="nil"/>
              <w:left w:val="nil"/>
              <w:bottom w:val="nil"/>
              <w:right w:val="nil"/>
            </w:tcBorders>
            <w:noWrap w:val="0"/>
            <w:tcMar>
              <w:top w:w="50" w:type="dxa"/>
              <w:left w:w="90" w:type="dxa"/>
              <w:bottom w:w="50" w:type="dxa"/>
              <w:right w:w="90" w:type="dxa"/>
            </w:tcMar>
            <w:vAlign w:val="center"/>
          </w:tcPr>
          <w:p w14:paraId="2F2F870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Ocular surface/cornea</w:t>
            </w:r>
          </w:p>
        </w:tc>
        <w:tc>
          <w:tcPr>
            <w:tcW w:w="1957" w:type="pct"/>
            <w:tcBorders>
              <w:top w:val="nil"/>
              <w:left w:val="nil"/>
              <w:bottom w:val="nil"/>
              <w:right w:val="nil"/>
            </w:tcBorders>
            <w:noWrap w:val="0"/>
            <w:tcMar>
              <w:top w:w="50" w:type="dxa"/>
              <w:left w:w="90" w:type="dxa"/>
              <w:bottom w:w="50" w:type="dxa"/>
              <w:right w:w="90" w:type="dxa"/>
            </w:tcMar>
            <w:vAlign w:val="center"/>
          </w:tcPr>
          <w:p w14:paraId="00AC29A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Tertiary specialist eye hospital</w:t>
            </w:r>
          </w:p>
        </w:tc>
        <w:tc>
          <w:tcPr>
            <w:tcW w:w="360" w:type="pct"/>
            <w:tcBorders>
              <w:top w:val="nil"/>
              <w:left w:val="nil"/>
              <w:bottom w:val="nil"/>
              <w:right w:val="nil"/>
            </w:tcBorders>
            <w:noWrap w:val="0"/>
            <w:tcMar>
              <w:top w:w="50" w:type="dxa"/>
              <w:left w:w="90" w:type="dxa"/>
              <w:bottom w:w="50" w:type="dxa"/>
              <w:right w:w="90" w:type="dxa"/>
            </w:tcMar>
            <w:vAlign w:val="center"/>
          </w:tcPr>
          <w:p w14:paraId="11C906D7">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East</w:t>
            </w:r>
          </w:p>
        </w:tc>
        <w:tc>
          <w:tcPr>
            <w:tcW w:w="235" w:type="pct"/>
            <w:tcBorders>
              <w:top w:val="nil"/>
              <w:left w:val="nil"/>
              <w:bottom w:val="nil"/>
              <w:right w:val="nil"/>
            </w:tcBorders>
            <w:noWrap w:val="0"/>
            <w:tcMar>
              <w:top w:w="50" w:type="dxa"/>
              <w:left w:w="90" w:type="dxa"/>
              <w:bottom w:w="50" w:type="dxa"/>
              <w:right w:w="90" w:type="dxa"/>
            </w:tcMar>
            <w:vAlign w:val="center"/>
          </w:tcPr>
          <w:p w14:paraId="104212E4">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4</w:t>
            </w:r>
          </w:p>
        </w:tc>
        <w:tc>
          <w:tcPr>
            <w:tcW w:w="787" w:type="pct"/>
            <w:tcBorders>
              <w:top w:val="nil"/>
              <w:left w:val="nil"/>
              <w:bottom w:val="nil"/>
              <w:right w:val="nil"/>
            </w:tcBorders>
            <w:noWrap w:val="0"/>
            <w:tcMar>
              <w:top w:w="50" w:type="dxa"/>
              <w:left w:w="90" w:type="dxa"/>
              <w:bottom w:w="50" w:type="dxa"/>
              <w:right w:w="90" w:type="dxa"/>
            </w:tcMar>
            <w:vAlign w:val="center"/>
          </w:tcPr>
          <w:p w14:paraId="1B43DD81">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Personal only</w:t>
            </w:r>
          </w:p>
        </w:tc>
      </w:tr>
      <w:tr w14:paraId="44916FA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shd w:val="clear" w:color="auto" w:fill="EEF2F6"/>
            <w:noWrap w:val="0"/>
            <w:tcMar>
              <w:top w:w="50" w:type="dxa"/>
              <w:left w:w="90" w:type="dxa"/>
              <w:bottom w:w="50" w:type="dxa"/>
              <w:right w:w="90" w:type="dxa"/>
            </w:tcMar>
            <w:vAlign w:val="center"/>
          </w:tcPr>
          <w:p w14:paraId="584113CA">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N12</w:t>
            </w:r>
          </w:p>
        </w:tc>
        <w:tc>
          <w:tcPr>
            <w:tcW w:w="303" w:type="pct"/>
            <w:tcBorders>
              <w:top w:val="nil"/>
              <w:left w:val="nil"/>
              <w:bottom w:val="nil"/>
              <w:right w:val="nil"/>
            </w:tcBorders>
            <w:shd w:val="clear" w:color="auto" w:fill="EEF2F6"/>
            <w:noWrap w:val="0"/>
            <w:tcMar>
              <w:top w:w="50" w:type="dxa"/>
              <w:left w:w="90" w:type="dxa"/>
              <w:bottom w:w="50" w:type="dxa"/>
              <w:right w:w="90" w:type="dxa"/>
            </w:tcMar>
            <w:vAlign w:val="center"/>
          </w:tcPr>
          <w:p w14:paraId="4AA7AAA1">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35-39</w:t>
            </w:r>
          </w:p>
        </w:tc>
        <w:tc>
          <w:tcPr>
            <w:tcW w:w="1104" w:type="pct"/>
            <w:tcBorders>
              <w:top w:val="nil"/>
              <w:left w:val="nil"/>
              <w:bottom w:val="nil"/>
              <w:right w:val="nil"/>
            </w:tcBorders>
            <w:shd w:val="clear" w:color="auto" w:fill="EEF2F6"/>
            <w:noWrap w:val="0"/>
            <w:tcMar>
              <w:top w:w="50" w:type="dxa"/>
              <w:left w:w="90" w:type="dxa"/>
              <w:bottom w:w="50" w:type="dxa"/>
              <w:right w:w="90" w:type="dxa"/>
            </w:tcMar>
            <w:vAlign w:val="center"/>
          </w:tcPr>
          <w:p w14:paraId="25CB5DB3">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Optometry</w:t>
            </w:r>
          </w:p>
        </w:tc>
        <w:tc>
          <w:tcPr>
            <w:tcW w:w="1957" w:type="pct"/>
            <w:tcBorders>
              <w:top w:val="nil"/>
              <w:left w:val="nil"/>
              <w:bottom w:val="nil"/>
              <w:right w:val="nil"/>
            </w:tcBorders>
            <w:shd w:val="clear" w:color="auto" w:fill="EEF2F6"/>
            <w:noWrap w:val="0"/>
            <w:tcMar>
              <w:top w:w="50" w:type="dxa"/>
              <w:left w:w="90" w:type="dxa"/>
              <w:bottom w:w="50" w:type="dxa"/>
              <w:right w:w="90" w:type="dxa"/>
            </w:tcMar>
            <w:vAlign w:val="center"/>
          </w:tcPr>
          <w:p w14:paraId="3ADA5B1C">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Tertiary Grade-B general / secondary specialist eye</w:t>
            </w:r>
          </w:p>
        </w:tc>
        <w:tc>
          <w:tcPr>
            <w:tcW w:w="360" w:type="pct"/>
            <w:tcBorders>
              <w:top w:val="nil"/>
              <w:left w:val="nil"/>
              <w:bottom w:val="nil"/>
              <w:right w:val="nil"/>
            </w:tcBorders>
            <w:shd w:val="clear" w:color="auto" w:fill="EEF2F6"/>
            <w:noWrap w:val="0"/>
            <w:tcMar>
              <w:top w:w="50" w:type="dxa"/>
              <w:left w:w="90" w:type="dxa"/>
              <w:bottom w:w="50" w:type="dxa"/>
              <w:right w:w="90" w:type="dxa"/>
            </w:tcMar>
            <w:vAlign w:val="center"/>
          </w:tcPr>
          <w:p w14:paraId="4230BEB3">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Central</w:t>
            </w:r>
          </w:p>
        </w:tc>
        <w:tc>
          <w:tcPr>
            <w:tcW w:w="235" w:type="pct"/>
            <w:tcBorders>
              <w:top w:val="nil"/>
              <w:left w:val="nil"/>
              <w:bottom w:val="nil"/>
              <w:right w:val="nil"/>
            </w:tcBorders>
            <w:shd w:val="clear" w:color="auto" w:fill="EEF2F6"/>
            <w:noWrap w:val="0"/>
            <w:tcMar>
              <w:top w:w="50" w:type="dxa"/>
              <w:left w:w="90" w:type="dxa"/>
              <w:bottom w:w="50" w:type="dxa"/>
              <w:right w:w="90" w:type="dxa"/>
            </w:tcMar>
            <w:vAlign w:val="center"/>
          </w:tcPr>
          <w:p w14:paraId="1DCE6F76">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13</w:t>
            </w:r>
          </w:p>
        </w:tc>
        <w:tc>
          <w:tcPr>
            <w:tcW w:w="787" w:type="pct"/>
            <w:tcBorders>
              <w:top w:val="nil"/>
              <w:left w:val="nil"/>
              <w:bottom w:val="nil"/>
              <w:right w:val="nil"/>
            </w:tcBorders>
            <w:shd w:val="clear" w:color="auto" w:fill="EEF2F6"/>
            <w:noWrap w:val="0"/>
            <w:tcMar>
              <w:top w:w="50" w:type="dxa"/>
              <w:left w:w="90" w:type="dxa"/>
              <w:bottom w:w="50" w:type="dxa"/>
              <w:right w:w="90" w:type="dxa"/>
            </w:tcMar>
            <w:vAlign w:val="center"/>
          </w:tcPr>
          <w:p w14:paraId="5097C366">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Limited exploration</w:t>
            </w:r>
          </w:p>
        </w:tc>
      </w:tr>
      <w:tr w14:paraId="37C835A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noWrap w:val="0"/>
            <w:tcMar>
              <w:top w:w="50" w:type="dxa"/>
              <w:left w:w="90" w:type="dxa"/>
              <w:bottom w:w="50" w:type="dxa"/>
              <w:right w:w="90" w:type="dxa"/>
            </w:tcMar>
            <w:vAlign w:val="center"/>
          </w:tcPr>
          <w:p w14:paraId="6A1778E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N13</w:t>
            </w:r>
          </w:p>
        </w:tc>
        <w:tc>
          <w:tcPr>
            <w:tcW w:w="303" w:type="pct"/>
            <w:tcBorders>
              <w:top w:val="nil"/>
              <w:left w:val="nil"/>
              <w:bottom w:val="nil"/>
              <w:right w:val="nil"/>
            </w:tcBorders>
            <w:noWrap w:val="0"/>
            <w:tcMar>
              <w:top w:w="50" w:type="dxa"/>
              <w:left w:w="90" w:type="dxa"/>
              <w:bottom w:w="50" w:type="dxa"/>
              <w:right w:w="90" w:type="dxa"/>
            </w:tcMar>
            <w:vAlign w:val="center"/>
          </w:tcPr>
          <w:p w14:paraId="259F186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30-34</w:t>
            </w:r>
          </w:p>
        </w:tc>
        <w:tc>
          <w:tcPr>
            <w:tcW w:w="1104" w:type="pct"/>
            <w:tcBorders>
              <w:top w:val="nil"/>
              <w:left w:val="nil"/>
              <w:bottom w:val="nil"/>
              <w:right w:val="nil"/>
            </w:tcBorders>
            <w:noWrap w:val="0"/>
            <w:tcMar>
              <w:top w:w="50" w:type="dxa"/>
              <w:left w:w="90" w:type="dxa"/>
              <w:bottom w:w="50" w:type="dxa"/>
              <w:right w:w="90" w:type="dxa"/>
            </w:tcMar>
            <w:vAlign w:val="center"/>
          </w:tcPr>
          <w:p w14:paraId="1BA1EA4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Emergency</w:t>
            </w:r>
          </w:p>
        </w:tc>
        <w:tc>
          <w:tcPr>
            <w:tcW w:w="1957" w:type="pct"/>
            <w:tcBorders>
              <w:top w:val="nil"/>
              <w:left w:val="nil"/>
              <w:bottom w:val="nil"/>
              <w:right w:val="nil"/>
            </w:tcBorders>
            <w:noWrap w:val="0"/>
            <w:tcMar>
              <w:top w:w="50" w:type="dxa"/>
              <w:left w:w="90" w:type="dxa"/>
              <w:bottom w:w="50" w:type="dxa"/>
              <w:right w:w="90" w:type="dxa"/>
            </w:tcMar>
            <w:vAlign w:val="center"/>
          </w:tcPr>
          <w:p w14:paraId="3691BAC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Independent ophthalmology, tertiary Grade-A general</w:t>
            </w:r>
          </w:p>
        </w:tc>
        <w:tc>
          <w:tcPr>
            <w:tcW w:w="360" w:type="pct"/>
            <w:tcBorders>
              <w:top w:val="nil"/>
              <w:left w:val="nil"/>
              <w:bottom w:val="nil"/>
              <w:right w:val="nil"/>
            </w:tcBorders>
            <w:noWrap w:val="0"/>
            <w:tcMar>
              <w:top w:w="50" w:type="dxa"/>
              <w:left w:w="90" w:type="dxa"/>
              <w:bottom w:w="50" w:type="dxa"/>
              <w:right w:w="90" w:type="dxa"/>
            </w:tcMar>
            <w:vAlign w:val="center"/>
          </w:tcPr>
          <w:p w14:paraId="5CEAE3C6">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East</w:t>
            </w:r>
          </w:p>
        </w:tc>
        <w:tc>
          <w:tcPr>
            <w:tcW w:w="235" w:type="pct"/>
            <w:tcBorders>
              <w:top w:val="nil"/>
              <w:left w:val="nil"/>
              <w:bottom w:val="nil"/>
              <w:right w:val="nil"/>
            </w:tcBorders>
            <w:noWrap w:val="0"/>
            <w:tcMar>
              <w:top w:w="50" w:type="dxa"/>
              <w:left w:w="90" w:type="dxa"/>
              <w:bottom w:w="50" w:type="dxa"/>
              <w:right w:w="90" w:type="dxa"/>
            </w:tcMar>
            <w:vAlign w:val="center"/>
          </w:tcPr>
          <w:p w14:paraId="2F4B5DAC">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7</w:t>
            </w:r>
          </w:p>
        </w:tc>
        <w:tc>
          <w:tcPr>
            <w:tcW w:w="787" w:type="pct"/>
            <w:tcBorders>
              <w:top w:val="nil"/>
              <w:left w:val="nil"/>
              <w:bottom w:val="nil"/>
              <w:right w:val="nil"/>
            </w:tcBorders>
            <w:noWrap w:val="0"/>
            <w:tcMar>
              <w:top w:w="50" w:type="dxa"/>
              <w:left w:w="90" w:type="dxa"/>
              <w:bottom w:w="50" w:type="dxa"/>
              <w:right w:w="90" w:type="dxa"/>
            </w:tcMar>
            <w:vAlign w:val="center"/>
          </w:tcPr>
          <w:p w14:paraId="21BED67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Routine ancillary</w:t>
            </w:r>
          </w:p>
        </w:tc>
      </w:tr>
      <w:tr w14:paraId="1B6838D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shd w:val="clear" w:color="auto" w:fill="EEF2F6"/>
            <w:noWrap w:val="0"/>
            <w:tcMar>
              <w:top w:w="50" w:type="dxa"/>
              <w:left w:w="90" w:type="dxa"/>
              <w:bottom w:w="50" w:type="dxa"/>
              <w:right w:w="90" w:type="dxa"/>
            </w:tcMar>
            <w:vAlign w:val="center"/>
          </w:tcPr>
          <w:p w14:paraId="4C704AF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N14</w:t>
            </w:r>
          </w:p>
        </w:tc>
        <w:tc>
          <w:tcPr>
            <w:tcW w:w="303" w:type="pct"/>
            <w:tcBorders>
              <w:top w:val="nil"/>
              <w:left w:val="nil"/>
              <w:bottom w:val="nil"/>
              <w:right w:val="nil"/>
            </w:tcBorders>
            <w:shd w:val="clear" w:color="auto" w:fill="EEF2F6"/>
            <w:noWrap w:val="0"/>
            <w:tcMar>
              <w:top w:w="50" w:type="dxa"/>
              <w:left w:w="90" w:type="dxa"/>
              <w:bottom w:w="50" w:type="dxa"/>
              <w:right w:w="90" w:type="dxa"/>
            </w:tcMar>
            <w:vAlign w:val="center"/>
          </w:tcPr>
          <w:p w14:paraId="51FE45BE">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40-44</w:t>
            </w:r>
          </w:p>
        </w:tc>
        <w:tc>
          <w:tcPr>
            <w:tcW w:w="1104" w:type="pct"/>
            <w:tcBorders>
              <w:top w:val="nil"/>
              <w:left w:val="nil"/>
              <w:bottom w:val="nil"/>
              <w:right w:val="nil"/>
            </w:tcBorders>
            <w:shd w:val="clear" w:color="auto" w:fill="EEF2F6"/>
            <w:noWrap w:val="0"/>
            <w:tcMar>
              <w:top w:w="50" w:type="dxa"/>
              <w:left w:w="90" w:type="dxa"/>
              <w:bottom w:w="50" w:type="dxa"/>
              <w:right w:w="90" w:type="dxa"/>
            </w:tcMar>
            <w:vAlign w:val="center"/>
          </w:tcPr>
          <w:p w14:paraId="1FA57E84">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Retina</w:t>
            </w:r>
          </w:p>
        </w:tc>
        <w:tc>
          <w:tcPr>
            <w:tcW w:w="1957" w:type="pct"/>
            <w:tcBorders>
              <w:top w:val="nil"/>
              <w:left w:val="nil"/>
              <w:bottom w:val="nil"/>
              <w:right w:val="nil"/>
            </w:tcBorders>
            <w:shd w:val="clear" w:color="auto" w:fill="EEF2F6"/>
            <w:noWrap w:val="0"/>
            <w:tcMar>
              <w:top w:w="50" w:type="dxa"/>
              <w:left w:w="90" w:type="dxa"/>
              <w:bottom w:w="50" w:type="dxa"/>
              <w:right w:w="90" w:type="dxa"/>
            </w:tcMar>
            <w:vAlign w:val="center"/>
          </w:tcPr>
          <w:p w14:paraId="3852484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Independent ophthalmology, tertiary Grade-A general</w:t>
            </w:r>
          </w:p>
        </w:tc>
        <w:tc>
          <w:tcPr>
            <w:tcW w:w="360" w:type="pct"/>
            <w:tcBorders>
              <w:top w:val="nil"/>
              <w:left w:val="nil"/>
              <w:bottom w:val="nil"/>
              <w:right w:val="nil"/>
            </w:tcBorders>
            <w:shd w:val="clear" w:color="auto" w:fill="EEF2F6"/>
            <w:noWrap w:val="0"/>
            <w:tcMar>
              <w:top w:w="50" w:type="dxa"/>
              <w:left w:w="90" w:type="dxa"/>
              <w:bottom w:w="50" w:type="dxa"/>
              <w:right w:w="90" w:type="dxa"/>
            </w:tcMar>
            <w:vAlign w:val="center"/>
          </w:tcPr>
          <w:p w14:paraId="1DE5EAB7">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West</w:t>
            </w:r>
          </w:p>
        </w:tc>
        <w:tc>
          <w:tcPr>
            <w:tcW w:w="235" w:type="pct"/>
            <w:tcBorders>
              <w:top w:val="nil"/>
              <w:left w:val="nil"/>
              <w:bottom w:val="nil"/>
              <w:right w:val="nil"/>
            </w:tcBorders>
            <w:shd w:val="clear" w:color="auto" w:fill="EEF2F6"/>
            <w:noWrap w:val="0"/>
            <w:tcMar>
              <w:top w:w="50" w:type="dxa"/>
              <w:left w:w="90" w:type="dxa"/>
              <w:bottom w:w="50" w:type="dxa"/>
              <w:right w:w="90" w:type="dxa"/>
            </w:tcMar>
            <w:vAlign w:val="center"/>
          </w:tcPr>
          <w:p w14:paraId="7977A47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18</w:t>
            </w:r>
          </w:p>
        </w:tc>
        <w:tc>
          <w:tcPr>
            <w:tcW w:w="787" w:type="pct"/>
            <w:tcBorders>
              <w:top w:val="nil"/>
              <w:left w:val="nil"/>
              <w:bottom w:val="nil"/>
              <w:right w:val="nil"/>
            </w:tcBorders>
            <w:shd w:val="clear" w:color="auto" w:fill="EEF2F6"/>
            <w:noWrap w:val="0"/>
            <w:tcMar>
              <w:top w:w="50" w:type="dxa"/>
              <w:left w:w="90" w:type="dxa"/>
              <w:bottom w:w="50" w:type="dxa"/>
              <w:right w:w="90" w:type="dxa"/>
            </w:tcMar>
            <w:vAlign w:val="center"/>
          </w:tcPr>
          <w:p w14:paraId="6DB156E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Personal only</w:t>
            </w:r>
          </w:p>
        </w:tc>
      </w:tr>
      <w:tr w14:paraId="71B4BF9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noWrap w:val="0"/>
            <w:tcMar>
              <w:top w:w="50" w:type="dxa"/>
              <w:left w:w="90" w:type="dxa"/>
              <w:bottom w:w="50" w:type="dxa"/>
              <w:right w:w="90" w:type="dxa"/>
            </w:tcMar>
            <w:vAlign w:val="center"/>
          </w:tcPr>
          <w:p w14:paraId="6EFF059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N15</w:t>
            </w:r>
          </w:p>
        </w:tc>
        <w:tc>
          <w:tcPr>
            <w:tcW w:w="303" w:type="pct"/>
            <w:tcBorders>
              <w:top w:val="nil"/>
              <w:left w:val="nil"/>
              <w:bottom w:val="nil"/>
              <w:right w:val="nil"/>
            </w:tcBorders>
            <w:noWrap w:val="0"/>
            <w:tcMar>
              <w:top w:w="50" w:type="dxa"/>
              <w:left w:w="90" w:type="dxa"/>
              <w:bottom w:w="50" w:type="dxa"/>
              <w:right w:w="90" w:type="dxa"/>
            </w:tcMar>
            <w:vAlign w:val="center"/>
          </w:tcPr>
          <w:p w14:paraId="7BE69D8E">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25-29</w:t>
            </w:r>
          </w:p>
        </w:tc>
        <w:tc>
          <w:tcPr>
            <w:tcW w:w="1104" w:type="pct"/>
            <w:tcBorders>
              <w:top w:val="nil"/>
              <w:left w:val="nil"/>
              <w:bottom w:val="nil"/>
              <w:right w:val="nil"/>
            </w:tcBorders>
            <w:noWrap w:val="0"/>
            <w:tcMar>
              <w:top w:w="50" w:type="dxa"/>
              <w:left w:w="90" w:type="dxa"/>
              <w:bottom w:w="50" w:type="dxa"/>
              <w:right w:w="90" w:type="dxa"/>
            </w:tcMar>
            <w:vAlign w:val="center"/>
          </w:tcPr>
          <w:p w14:paraId="2D67349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Glaucoma</w:t>
            </w:r>
          </w:p>
        </w:tc>
        <w:tc>
          <w:tcPr>
            <w:tcW w:w="1957" w:type="pct"/>
            <w:tcBorders>
              <w:top w:val="nil"/>
              <w:left w:val="nil"/>
              <w:bottom w:val="nil"/>
              <w:right w:val="nil"/>
            </w:tcBorders>
            <w:noWrap w:val="0"/>
            <w:tcMar>
              <w:top w:w="50" w:type="dxa"/>
              <w:left w:w="90" w:type="dxa"/>
              <w:bottom w:w="50" w:type="dxa"/>
              <w:right w:w="90" w:type="dxa"/>
            </w:tcMar>
            <w:vAlign w:val="center"/>
          </w:tcPr>
          <w:p w14:paraId="5C2FBF91">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Secondary general hospital, combined department</w:t>
            </w:r>
          </w:p>
        </w:tc>
        <w:tc>
          <w:tcPr>
            <w:tcW w:w="360" w:type="pct"/>
            <w:tcBorders>
              <w:top w:val="nil"/>
              <w:left w:val="nil"/>
              <w:bottom w:val="nil"/>
              <w:right w:val="nil"/>
            </w:tcBorders>
            <w:noWrap w:val="0"/>
            <w:tcMar>
              <w:top w:w="50" w:type="dxa"/>
              <w:left w:w="90" w:type="dxa"/>
              <w:bottom w:w="50" w:type="dxa"/>
              <w:right w:w="90" w:type="dxa"/>
            </w:tcMar>
            <w:vAlign w:val="center"/>
          </w:tcPr>
          <w:p w14:paraId="11F886B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West</w:t>
            </w:r>
          </w:p>
        </w:tc>
        <w:tc>
          <w:tcPr>
            <w:tcW w:w="235" w:type="pct"/>
            <w:tcBorders>
              <w:top w:val="nil"/>
              <w:left w:val="nil"/>
              <w:bottom w:val="nil"/>
              <w:right w:val="nil"/>
            </w:tcBorders>
            <w:noWrap w:val="0"/>
            <w:tcMar>
              <w:top w:w="50" w:type="dxa"/>
              <w:left w:w="90" w:type="dxa"/>
              <w:bottom w:w="50" w:type="dxa"/>
              <w:right w:w="90" w:type="dxa"/>
            </w:tcMar>
            <w:vAlign w:val="center"/>
          </w:tcPr>
          <w:p w14:paraId="69762E41">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4</w:t>
            </w:r>
          </w:p>
        </w:tc>
        <w:tc>
          <w:tcPr>
            <w:tcW w:w="787" w:type="pct"/>
            <w:tcBorders>
              <w:top w:val="nil"/>
              <w:left w:val="nil"/>
              <w:bottom w:val="nil"/>
              <w:right w:val="nil"/>
            </w:tcBorders>
            <w:noWrap w:val="0"/>
            <w:tcMar>
              <w:top w:w="50" w:type="dxa"/>
              <w:left w:w="90" w:type="dxa"/>
              <w:bottom w:w="50" w:type="dxa"/>
              <w:right w:w="90" w:type="dxa"/>
            </w:tcMar>
            <w:vAlign w:val="center"/>
          </w:tcPr>
          <w:p w14:paraId="77EBBAA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None</w:t>
            </w:r>
          </w:p>
        </w:tc>
      </w:tr>
      <w:tr w14:paraId="36B94672">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shd w:val="clear" w:color="auto" w:fill="EEF2F6"/>
            <w:noWrap w:val="0"/>
            <w:tcMar>
              <w:top w:w="50" w:type="dxa"/>
              <w:left w:w="90" w:type="dxa"/>
              <w:bottom w:w="50" w:type="dxa"/>
              <w:right w:w="90" w:type="dxa"/>
            </w:tcMar>
            <w:vAlign w:val="center"/>
          </w:tcPr>
          <w:p w14:paraId="6A63B9FC">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N16</w:t>
            </w:r>
          </w:p>
        </w:tc>
        <w:tc>
          <w:tcPr>
            <w:tcW w:w="303" w:type="pct"/>
            <w:tcBorders>
              <w:top w:val="nil"/>
              <w:left w:val="nil"/>
              <w:bottom w:val="nil"/>
              <w:right w:val="nil"/>
            </w:tcBorders>
            <w:shd w:val="clear" w:color="auto" w:fill="EEF2F6"/>
            <w:noWrap w:val="0"/>
            <w:tcMar>
              <w:top w:w="50" w:type="dxa"/>
              <w:left w:w="90" w:type="dxa"/>
              <w:bottom w:w="50" w:type="dxa"/>
              <w:right w:w="90" w:type="dxa"/>
            </w:tcMar>
            <w:vAlign w:val="center"/>
          </w:tcPr>
          <w:p w14:paraId="49540C4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35-39</w:t>
            </w:r>
          </w:p>
        </w:tc>
        <w:tc>
          <w:tcPr>
            <w:tcW w:w="1104" w:type="pct"/>
            <w:tcBorders>
              <w:top w:val="nil"/>
              <w:left w:val="nil"/>
              <w:bottom w:val="nil"/>
              <w:right w:val="nil"/>
            </w:tcBorders>
            <w:shd w:val="clear" w:color="auto" w:fill="EEF2F6"/>
            <w:noWrap w:val="0"/>
            <w:tcMar>
              <w:top w:w="50" w:type="dxa"/>
              <w:left w:w="90" w:type="dxa"/>
              <w:bottom w:w="50" w:type="dxa"/>
              <w:right w:w="90" w:type="dxa"/>
            </w:tcMar>
            <w:vAlign w:val="center"/>
          </w:tcPr>
          <w:p w14:paraId="6338039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Primary eye health/screening</w:t>
            </w:r>
          </w:p>
        </w:tc>
        <w:tc>
          <w:tcPr>
            <w:tcW w:w="1957" w:type="pct"/>
            <w:tcBorders>
              <w:top w:val="nil"/>
              <w:left w:val="nil"/>
              <w:bottom w:val="nil"/>
              <w:right w:val="nil"/>
            </w:tcBorders>
            <w:shd w:val="clear" w:color="auto" w:fill="EEF2F6"/>
            <w:noWrap w:val="0"/>
            <w:tcMar>
              <w:top w:w="50" w:type="dxa"/>
              <w:left w:w="90" w:type="dxa"/>
              <w:bottom w:w="50" w:type="dxa"/>
              <w:right w:w="90" w:type="dxa"/>
            </w:tcMar>
            <w:vAlign w:val="center"/>
          </w:tcPr>
          <w:p w14:paraId="087DE04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Primary eye health/screening</w:t>
            </w:r>
          </w:p>
        </w:tc>
        <w:tc>
          <w:tcPr>
            <w:tcW w:w="360" w:type="pct"/>
            <w:tcBorders>
              <w:top w:val="nil"/>
              <w:left w:val="nil"/>
              <w:bottom w:val="nil"/>
              <w:right w:val="nil"/>
            </w:tcBorders>
            <w:shd w:val="clear" w:color="auto" w:fill="EEF2F6"/>
            <w:noWrap w:val="0"/>
            <w:tcMar>
              <w:top w:w="50" w:type="dxa"/>
              <w:left w:w="90" w:type="dxa"/>
              <w:bottom w:w="50" w:type="dxa"/>
              <w:right w:w="90" w:type="dxa"/>
            </w:tcMar>
            <w:vAlign w:val="center"/>
          </w:tcPr>
          <w:p w14:paraId="2F98A15A">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East</w:t>
            </w:r>
          </w:p>
        </w:tc>
        <w:tc>
          <w:tcPr>
            <w:tcW w:w="235" w:type="pct"/>
            <w:tcBorders>
              <w:top w:val="nil"/>
              <w:left w:val="nil"/>
              <w:bottom w:val="nil"/>
              <w:right w:val="nil"/>
            </w:tcBorders>
            <w:shd w:val="clear" w:color="auto" w:fill="EEF2F6"/>
            <w:noWrap w:val="0"/>
            <w:tcMar>
              <w:top w:w="50" w:type="dxa"/>
              <w:left w:w="90" w:type="dxa"/>
              <w:bottom w:w="50" w:type="dxa"/>
              <w:right w:w="90" w:type="dxa"/>
            </w:tcMar>
            <w:vAlign w:val="center"/>
          </w:tcPr>
          <w:p w14:paraId="014618EA">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12</w:t>
            </w:r>
          </w:p>
        </w:tc>
        <w:tc>
          <w:tcPr>
            <w:tcW w:w="787" w:type="pct"/>
            <w:tcBorders>
              <w:top w:val="nil"/>
              <w:left w:val="nil"/>
              <w:bottom w:val="nil"/>
              <w:right w:val="nil"/>
            </w:tcBorders>
            <w:shd w:val="clear" w:color="auto" w:fill="EEF2F6"/>
            <w:noWrap w:val="0"/>
            <w:tcMar>
              <w:top w:w="50" w:type="dxa"/>
              <w:left w:w="90" w:type="dxa"/>
              <w:bottom w:w="50" w:type="dxa"/>
              <w:right w:w="90" w:type="dxa"/>
            </w:tcMar>
            <w:vAlign w:val="center"/>
          </w:tcPr>
          <w:p w14:paraId="6D5EA34B">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Limited exploration</w:t>
            </w:r>
          </w:p>
        </w:tc>
      </w:tr>
      <w:tr w14:paraId="559D932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noWrap w:val="0"/>
            <w:tcMar>
              <w:top w:w="50" w:type="dxa"/>
              <w:left w:w="90" w:type="dxa"/>
              <w:bottom w:w="50" w:type="dxa"/>
              <w:right w:w="90" w:type="dxa"/>
            </w:tcMar>
            <w:vAlign w:val="center"/>
          </w:tcPr>
          <w:p w14:paraId="43B623F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N17</w:t>
            </w:r>
          </w:p>
        </w:tc>
        <w:tc>
          <w:tcPr>
            <w:tcW w:w="303" w:type="pct"/>
            <w:tcBorders>
              <w:top w:val="nil"/>
              <w:left w:val="nil"/>
              <w:bottom w:val="nil"/>
              <w:right w:val="nil"/>
            </w:tcBorders>
            <w:noWrap w:val="0"/>
            <w:tcMar>
              <w:top w:w="50" w:type="dxa"/>
              <w:left w:w="90" w:type="dxa"/>
              <w:bottom w:w="50" w:type="dxa"/>
              <w:right w:w="90" w:type="dxa"/>
            </w:tcMar>
            <w:vAlign w:val="center"/>
          </w:tcPr>
          <w:p w14:paraId="41BA3EC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45-49</w:t>
            </w:r>
          </w:p>
        </w:tc>
        <w:tc>
          <w:tcPr>
            <w:tcW w:w="1104" w:type="pct"/>
            <w:tcBorders>
              <w:top w:val="nil"/>
              <w:left w:val="nil"/>
              <w:bottom w:val="nil"/>
              <w:right w:val="nil"/>
            </w:tcBorders>
            <w:noWrap w:val="0"/>
            <w:tcMar>
              <w:top w:w="50" w:type="dxa"/>
              <w:left w:w="90" w:type="dxa"/>
              <w:bottom w:w="50" w:type="dxa"/>
              <w:right w:w="90" w:type="dxa"/>
            </w:tcMar>
            <w:vAlign w:val="center"/>
          </w:tcPr>
          <w:p w14:paraId="113EFA0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Cataract</w:t>
            </w:r>
          </w:p>
        </w:tc>
        <w:tc>
          <w:tcPr>
            <w:tcW w:w="1957" w:type="pct"/>
            <w:tcBorders>
              <w:top w:val="nil"/>
              <w:left w:val="nil"/>
              <w:bottom w:val="nil"/>
              <w:right w:val="nil"/>
            </w:tcBorders>
            <w:noWrap w:val="0"/>
            <w:tcMar>
              <w:top w:w="50" w:type="dxa"/>
              <w:left w:w="90" w:type="dxa"/>
              <w:bottom w:w="50" w:type="dxa"/>
              <w:right w:w="90" w:type="dxa"/>
            </w:tcMar>
            <w:vAlign w:val="center"/>
          </w:tcPr>
          <w:p w14:paraId="60339FF7">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Independent ophthalmology, tertiary Grade-A general</w:t>
            </w:r>
          </w:p>
        </w:tc>
        <w:tc>
          <w:tcPr>
            <w:tcW w:w="360" w:type="pct"/>
            <w:tcBorders>
              <w:top w:val="nil"/>
              <w:left w:val="nil"/>
              <w:bottom w:val="nil"/>
              <w:right w:val="nil"/>
            </w:tcBorders>
            <w:noWrap w:val="0"/>
            <w:tcMar>
              <w:top w:w="50" w:type="dxa"/>
              <w:left w:w="90" w:type="dxa"/>
              <w:bottom w:w="50" w:type="dxa"/>
              <w:right w:w="90" w:type="dxa"/>
            </w:tcMar>
            <w:vAlign w:val="center"/>
          </w:tcPr>
          <w:p w14:paraId="3E720F6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Central</w:t>
            </w:r>
          </w:p>
        </w:tc>
        <w:tc>
          <w:tcPr>
            <w:tcW w:w="235" w:type="pct"/>
            <w:tcBorders>
              <w:top w:val="nil"/>
              <w:left w:val="nil"/>
              <w:bottom w:val="nil"/>
              <w:right w:val="nil"/>
            </w:tcBorders>
            <w:noWrap w:val="0"/>
            <w:tcMar>
              <w:top w:w="50" w:type="dxa"/>
              <w:left w:w="90" w:type="dxa"/>
              <w:bottom w:w="50" w:type="dxa"/>
              <w:right w:w="90" w:type="dxa"/>
            </w:tcMar>
            <w:vAlign w:val="center"/>
          </w:tcPr>
          <w:p w14:paraId="5881365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25</w:t>
            </w:r>
          </w:p>
        </w:tc>
        <w:tc>
          <w:tcPr>
            <w:tcW w:w="787" w:type="pct"/>
            <w:tcBorders>
              <w:top w:val="nil"/>
              <w:left w:val="nil"/>
              <w:bottom w:val="nil"/>
              <w:right w:val="nil"/>
            </w:tcBorders>
            <w:noWrap w:val="0"/>
            <w:tcMar>
              <w:top w:w="50" w:type="dxa"/>
              <w:left w:w="90" w:type="dxa"/>
              <w:bottom w:w="50" w:type="dxa"/>
              <w:right w:w="90" w:type="dxa"/>
            </w:tcMar>
            <w:vAlign w:val="center"/>
          </w:tcPr>
          <w:p w14:paraId="3FF5BBF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None</w:t>
            </w:r>
          </w:p>
        </w:tc>
      </w:tr>
      <w:tr w14:paraId="17795BA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shd w:val="clear" w:color="auto" w:fill="EEF2F6"/>
            <w:noWrap w:val="0"/>
            <w:tcMar>
              <w:top w:w="50" w:type="dxa"/>
              <w:left w:w="90" w:type="dxa"/>
              <w:bottom w:w="50" w:type="dxa"/>
              <w:right w:w="90" w:type="dxa"/>
            </w:tcMar>
            <w:vAlign w:val="center"/>
          </w:tcPr>
          <w:p w14:paraId="391C30F7">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N18</w:t>
            </w:r>
          </w:p>
        </w:tc>
        <w:tc>
          <w:tcPr>
            <w:tcW w:w="303" w:type="pct"/>
            <w:tcBorders>
              <w:top w:val="nil"/>
              <w:left w:val="nil"/>
              <w:bottom w:val="nil"/>
              <w:right w:val="nil"/>
            </w:tcBorders>
            <w:shd w:val="clear" w:color="auto" w:fill="EEF2F6"/>
            <w:noWrap w:val="0"/>
            <w:tcMar>
              <w:top w:w="50" w:type="dxa"/>
              <w:left w:w="90" w:type="dxa"/>
              <w:bottom w:w="50" w:type="dxa"/>
              <w:right w:w="90" w:type="dxa"/>
            </w:tcMar>
            <w:vAlign w:val="center"/>
          </w:tcPr>
          <w:p w14:paraId="4588F4F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25-29</w:t>
            </w:r>
          </w:p>
        </w:tc>
        <w:tc>
          <w:tcPr>
            <w:tcW w:w="1104" w:type="pct"/>
            <w:tcBorders>
              <w:top w:val="nil"/>
              <w:left w:val="nil"/>
              <w:bottom w:val="nil"/>
              <w:right w:val="nil"/>
            </w:tcBorders>
            <w:shd w:val="clear" w:color="auto" w:fill="EEF2F6"/>
            <w:noWrap w:val="0"/>
            <w:tcMar>
              <w:top w:w="50" w:type="dxa"/>
              <w:left w:w="90" w:type="dxa"/>
              <w:bottom w:w="50" w:type="dxa"/>
              <w:right w:w="90" w:type="dxa"/>
            </w:tcMar>
            <w:vAlign w:val="center"/>
          </w:tcPr>
          <w:p w14:paraId="5F0E4251">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Paediatric ophthalmology</w:t>
            </w:r>
          </w:p>
        </w:tc>
        <w:tc>
          <w:tcPr>
            <w:tcW w:w="1957" w:type="pct"/>
            <w:tcBorders>
              <w:top w:val="nil"/>
              <w:left w:val="nil"/>
              <w:bottom w:val="nil"/>
              <w:right w:val="nil"/>
            </w:tcBorders>
            <w:shd w:val="clear" w:color="auto" w:fill="EEF2F6"/>
            <w:noWrap w:val="0"/>
            <w:tcMar>
              <w:top w:w="50" w:type="dxa"/>
              <w:left w:w="90" w:type="dxa"/>
              <w:bottom w:w="50" w:type="dxa"/>
              <w:right w:w="90" w:type="dxa"/>
            </w:tcMar>
            <w:vAlign w:val="center"/>
          </w:tcPr>
          <w:p w14:paraId="193A8E0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Independent ophthalmology, tertiary Grade-A general</w:t>
            </w:r>
          </w:p>
        </w:tc>
        <w:tc>
          <w:tcPr>
            <w:tcW w:w="360" w:type="pct"/>
            <w:tcBorders>
              <w:top w:val="nil"/>
              <w:left w:val="nil"/>
              <w:bottom w:val="nil"/>
              <w:right w:val="nil"/>
            </w:tcBorders>
            <w:shd w:val="clear" w:color="auto" w:fill="EEF2F6"/>
            <w:noWrap w:val="0"/>
            <w:tcMar>
              <w:top w:w="50" w:type="dxa"/>
              <w:left w:w="90" w:type="dxa"/>
              <w:bottom w:w="50" w:type="dxa"/>
              <w:right w:w="90" w:type="dxa"/>
            </w:tcMar>
            <w:vAlign w:val="center"/>
          </w:tcPr>
          <w:p w14:paraId="10D661D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East</w:t>
            </w:r>
          </w:p>
        </w:tc>
        <w:tc>
          <w:tcPr>
            <w:tcW w:w="235" w:type="pct"/>
            <w:tcBorders>
              <w:top w:val="nil"/>
              <w:left w:val="nil"/>
              <w:bottom w:val="nil"/>
              <w:right w:val="nil"/>
            </w:tcBorders>
            <w:shd w:val="clear" w:color="auto" w:fill="EEF2F6"/>
            <w:noWrap w:val="0"/>
            <w:tcMar>
              <w:top w:w="50" w:type="dxa"/>
              <w:left w:w="90" w:type="dxa"/>
              <w:bottom w:w="50" w:type="dxa"/>
              <w:right w:w="90" w:type="dxa"/>
            </w:tcMar>
            <w:vAlign w:val="center"/>
          </w:tcPr>
          <w:p w14:paraId="251CE924">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6</w:t>
            </w:r>
          </w:p>
        </w:tc>
        <w:tc>
          <w:tcPr>
            <w:tcW w:w="787" w:type="pct"/>
            <w:tcBorders>
              <w:top w:val="nil"/>
              <w:left w:val="nil"/>
              <w:bottom w:val="nil"/>
              <w:right w:val="nil"/>
            </w:tcBorders>
            <w:shd w:val="clear" w:color="auto" w:fill="EEF2F6"/>
            <w:noWrap w:val="0"/>
            <w:tcMar>
              <w:top w:w="50" w:type="dxa"/>
              <w:left w:w="90" w:type="dxa"/>
              <w:bottom w:w="50" w:type="dxa"/>
              <w:right w:w="90" w:type="dxa"/>
            </w:tcMar>
            <w:vAlign w:val="center"/>
          </w:tcPr>
          <w:p w14:paraId="7F882FD7">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Routine ancillary</w:t>
            </w:r>
          </w:p>
        </w:tc>
      </w:tr>
      <w:tr w14:paraId="1E6146E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noWrap w:val="0"/>
            <w:tcMar>
              <w:top w:w="50" w:type="dxa"/>
              <w:left w:w="90" w:type="dxa"/>
              <w:bottom w:w="50" w:type="dxa"/>
              <w:right w:w="90" w:type="dxa"/>
            </w:tcMar>
            <w:vAlign w:val="center"/>
          </w:tcPr>
          <w:p w14:paraId="0A8CF74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N19</w:t>
            </w:r>
          </w:p>
        </w:tc>
        <w:tc>
          <w:tcPr>
            <w:tcW w:w="303" w:type="pct"/>
            <w:tcBorders>
              <w:top w:val="nil"/>
              <w:left w:val="nil"/>
              <w:bottom w:val="nil"/>
              <w:right w:val="nil"/>
            </w:tcBorders>
            <w:noWrap w:val="0"/>
            <w:tcMar>
              <w:top w:w="50" w:type="dxa"/>
              <w:left w:w="90" w:type="dxa"/>
              <w:bottom w:w="50" w:type="dxa"/>
              <w:right w:w="90" w:type="dxa"/>
            </w:tcMar>
            <w:vAlign w:val="center"/>
          </w:tcPr>
          <w:p w14:paraId="68AE60C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30-34</w:t>
            </w:r>
          </w:p>
        </w:tc>
        <w:tc>
          <w:tcPr>
            <w:tcW w:w="1104" w:type="pct"/>
            <w:tcBorders>
              <w:top w:val="nil"/>
              <w:left w:val="nil"/>
              <w:bottom w:val="nil"/>
              <w:right w:val="nil"/>
            </w:tcBorders>
            <w:noWrap w:val="0"/>
            <w:tcMar>
              <w:top w:w="50" w:type="dxa"/>
              <w:left w:w="90" w:type="dxa"/>
              <w:bottom w:w="50" w:type="dxa"/>
              <w:right w:w="90" w:type="dxa"/>
            </w:tcMar>
            <w:vAlign w:val="center"/>
          </w:tcPr>
          <w:p w14:paraId="672BD0C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Ophthalmic outpatient</w:t>
            </w:r>
          </w:p>
        </w:tc>
        <w:tc>
          <w:tcPr>
            <w:tcW w:w="1957" w:type="pct"/>
            <w:tcBorders>
              <w:top w:val="nil"/>
              <w:left w:val="nil"/>
              <w:bottom w:val="nil"/>
              <w:right w:val="nil"/>
            </w:tcBorders>
            <w:noWrap w:val="0"/>
            <w:tcMar>
              <w:top w:w="50" w:type="dxa"/>
              <w:left w:w="90" w:type="dxa"/>
              <w:bottom w:w="50" w:type="dxa"/>
              <w:right w:w="90" w:type="dxa"/>
            </w:tcMar>
            <w:vAlign w:val="center"/>
          </w:tcPr>
          <w:p w14:paraId="1C49E78E">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Tertiary Grade-B general / secondary specialist eye</w:t>
            </w:r>
          </w:p>
        </w:tc>
        <w:tc>
          <w:tcPr>
            <w:tcW w:w="360" w:type="pct"/>
            <w:tcBorders>
              <w:top w:val="nil"/>
              <w:left w:val="nil"/>
              <w:bottom w:val="nil"/>
              <w:right w:val="nil"/>
            </w:tcBorders>
            <w:noWrap w:val="0"/>
            <w:tcMar>
              <w:top w:w="50" w:type="dxa"/>
              <w:left w:w="90" w:type="dxa"/>
              <w:bottom w:w="50" w:type="dxa"/>
              <w:right w:w="90" w:type="dxa"/>
            </w:tcMar>
            <w:vAlign w:val="center"/>
          </w:tcPr>
          <w:p w14:paraId="714C646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West</w:t>
            </w:r>
          </w:p>
        </w:tc>
        <w:tc>
          <w:tcPr>
            <w:tcW w:w="235" w:type="pct"/>
            <w:tcBorders>
              <w:top w:val="nil"/>
              <w:left w:val="nil"/>
              <w:bottom w:val="nil"/>
              <w:right w:val="nil"/>
            </w:tcBorders>
            <w:noWrap w:val="0"/>
            <w:tcMar>
              <w:top w:w="50" w:type="dxa"/>
              <w:left w:w="90" w:type="dxa"/>
              <w:bottom w:w="50" w:type="dxa"/>
              <w:right w:w="90" w:type="dxa"/>
            </w:tcMar>
            <w:vAlign w:val="center"/>
          </w:tcPr>
          <w:p w14:paraId="69F11F86">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9</w:t>
            </w:r>
          </w:p>
        </w:tc>
        <w:tc>
          <w:tcPr>
            <w:tcW w:w="787" w:type="pct"/>
            <w:tcBorders>
              <w:top w:val="nil"/>
              <w:left w:val="nil"/>
              <w:bottom w:val="nil"/>
              <w:right w:val="nil"/>
            </w:tcBorders>
            <w:noWrap w:val="0"/>
            <w:tcMar>
              <w:top w:w="50" w:type="dxa"/>
              <w:left w:w="90" w:type="dxa"/>
              <w:bottom w:w="50" w:type="dxa"/>
              <w:right w:w="90" w:type="dxa"/>
            </w:tcMar>
            <w:vAlign w:val="center"/>
          </w:tcPr>
          <w:p w14:paraId="47DB217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Personal only</w:t>
            </w:r>
          </w:p>
        </w:tc>
      </w:tr>
      <w:tr w14:paraId="45BF36E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shd w:val="clear" w:color="auto" w:fill="EEF2F6"/>
            <w:noWrap w:val="0"/>
            <w:tcMar>
              <w:top w:w="50" w:type="dxa"/>
              <w:left w:w="90" w:type="dxa"/>
              <w:bottom w:w="50" w:type="dxa"/>
              <w:right w:w="90" w:type="dxa"/>
            </w:tcMar>
            <w:vAlign w:val="center"/>
          </w:tcPr>
          <w:p w14:paraId="07E9C58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N20</w:t>
            </w:r>
          </w:p>
        </w:tc>
        <w:tc>
          <w:tcPr>
            <w:tcW w:w="303" w:type="pct"/>
            <w:tcBorders>
              <w:top w:val="nil"/>
              <w:left w:val="nil"/>
              <w:bottom w:val="nil"/>
              <w:right w:val="nil"/>
            </w:tcBorders>
            <w:shd w:val="clear" w:color="auto" w:fill="EEF2F6"/>
            <w:noWrap w:val="0"/>
            <w:tcMar>
              <w:top w:w="50" w:type="dxa"/>
              <w:left w:w="90" w:type="dxa"/>
              <w:bottom w:w="50" w:type="dxa"/>
              <w:right w:w="90" w:type="dxa"/>
            </w:tcMar>
            <w:vAlign w:val="center"/>
          </w:tcPr>
          <w:p w14:paraId="2D6CD27A">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35-39</w:t>
            </w:r>
          </w:p>
        </w:tc>
        <w:tc>
          <w:tcPr>
            <w:tcW w:w="1104" w:type="pct"/>
            <w:tcBorders>
              <w:top w:val="nil"/>
              <w:left w:val="nil"/>
              <w:bottom w:val="nil"/>
              <w:right w:val="nil"/>
            </w:tcBorders>
            <w:shd w:val="clear" w:color="auto" w:fill="EEF2F6"/>
            <w:noWrap w:val="0"/>
            <w:tcMar>
              <w:top w:w="50" w:type="dxa"/>
              <w:left w:w="90" w:type="dxa"/>
              <w:bottom w:w="50" w:type="dxa"/>
              <w:right w:w="90" w:type="dxa"/>
            </w:tcMar>
            <w:vAlign w:val="center"/>
          </w:tcPr>
          <w:p w14:paraId="777CCE77">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Ocular trauma</w:t>
            </w:r>
          </w:p>
        </w:tc>
        <w:tc>
          <w:tcPr>
            <w:tcW w:w="1957" w:type="pct"/>
            <w:tcBorders>
              <w:top w:val="nil"/>
              <w:left w:val="nil"/>
              <w:bottom w:val="nil"/>
              <w:right w:val="nil"/>
            </w:tcBorders>
            <w:shd w:val="clear" w:color="auto" w:fill="EEF2F6"/>
            <w:noWrap w:val="0"/>
            <w:tcMar>
              <w:top w:w="50" w:type="dxa"/>
              <w:left w:w="90" w:type="dxa"/>
              <w:bottom w:w="50" w:type="dxa"/>
              <w:right w:w="90" w:type="dxa"/>
            </w:tcMar>
            <w:vAlign w:val="center"/>
          </w:tcPr>
          <w:p w14:paraId="0AF7B1C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Secondary general hospital, combined department</w:t>
            </w:r>
          </w:p>
        </w:tc>
        <w:tc>
          <w:tcPr>
            <w:tcW w:w="360" w:type="pct"/>
            <w:tcBorders>
              <w:top w:val="nil"/>
              <w:left w:val="nil"/>
              <w:bottom w:val="nil"/>
              <w:right w:val="nil"/>
            </w:tcBorders>
            <w:shd w:val="clear" w:color="auto" w:fill="EEF2F6"/>
            <w:noWrap w:val="0"/>
            <w:tcMar>
              <w:top w:w="50" w:type="dxa"/>
              <w:left w:w="90" w:type="dxa"/>
              <w:bottom w:w="50" w:type="dxa"/>
              <w:right w:w="90" w:type="dxa"/>
            </w:tcMar>
            <w:vAlign w:val="center"/>
          </w:tcPr>
          <w:p w14:paraId="19EB3A8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Central</w:t>
            </w:r>
          </w:p>
        </w:tc>
        <w:tc>
          <w:tcPr>
            <w:tcW w:w="235" w:type="pct"/>
            <w:tcBorders>
              <w:top w:val="nil"/>
              <w:left w:val="nil"/>
              <w:bottom w:val="nil"/>
              <w:right w:val="nil"/>
            </w:tcBorders>
            <w:shd w:val="clear" w:color="auto" w:fill="EEF2F6"/>
            <w:noWrap w:val="0"/>
            <w:tcMar>
              <w:top w:w="50" w:type="dxa"/>
              <w:left w:w="90" w:type="dxa"/>
              <w:bottom w:w="50" w:type="dxa"/>
              <w:right w:w="90" w:type="dxa"/>
            </w:tcMar>
            <w:vAlign w:val="center"/>
          </w:tcPr>
          <w:p w14:paraId="38CEB50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16</w:t>
            </w:r>
          </w:p>
        </w:tc>
        <w:tc>
          <w:tcPr>
            <w:tcW w:w="787" w:type="pct"/>
            <w:tcBorders>
              <w:top w:val="nil"/>
              <w:left w:val="nil"/>
              <w:bottom w:val="nil"/>
              <w:right w:val="nil"/>
            </w:tcBorders>
            <w:shd w:val="clear" w:color="auto" w:fill="EEF2F6"/>
            <w:noWrap w:val="0"/>
            <w:tcMar>
              <w:top w:w="50" w:type="dxa"/>
              <w:left w:w="90" w:type="dxa"/>
              <w:bottom w:w="50" w:type="dxa"/>
              <w:right w:w="90" w:type="dxa"/>
            </w:tcMar>
            <w:vAlign w:val="center"/>
          </w:tcPr>
          <w:p w14:paraId="7FD552C4">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Limited exploration</w:t>
            </w:r>
          </w:p>
        </w:tc>
      </w:tr>
      <w:tr w14:paraId="2765AB4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noWrap w:val="0"/>
            <w:tcMar>
              <w:top w:w="50" w:type="dxa"/>
              <w:left w:w="90" w:type="dxa"/>
              <w:bottom w:w="50" w:type="dxa"/>
              <w:right w:w="90" w:type="dxa"/>
            </w:tcMar>
            <w:vAlign w:val="center"/>
          </w:tcPr>
          <w:p w14:paraId="6E15A21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N21</w:t>
            </w:r>
          </w:p>
        </w:tc>
        <w:tc>
          <w:tcPr>
            <w:tcW w:w="303" w:type="pct"/>
            <w:tcBorders>
              <w:top w:val="nil"/>
              <w:left w:val="nil"/>
              <w:bottom w:val="nil"/>
              <w:right w:val="nil"/>
            </w:tcBorders>
            <w:noWrap w:val="0"/>
            <w:tcMar>
              <w:top w:w="50" w:type="dxa"/>
              <w:left w:w="90" w:type="dxa"/>
              <w:bottom w:w="50" w:type="dxa"/>
              <w:right w:w="90" w:type="dxa"/>
            </w:tcMar>
            <w:vAlign w:val="center"/>
          </w:tcPr>
          <w:p w14:paraId="6F8EFAC6">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25-29</w:t>
            </w:r>
          </w:p>
        </w:tc>
        <w:tc>
          <w:tcPr>
            <w:tcW w:w="1104" w:type="pct"/>
            <w:tcBorders>
              <w:top w:val="nil"/>
              <w:left w:val="nil"/>
              <w:bottom w:val="nil"/>
              <w:right w:val="nil"/>
            </w:tcBorders>
            <w:noWrap w:val="0"/>
            <w:tcMar>
              <w:top w:w="50" w:type="dxa"/>
              <w:left w:w="90" w:type="dxa"/>
              <w:bottom w:w="50" w:type="dxa"/>
              <w:right w:w="90" w:type="dxa"/>
            </w:tcMar>
            <w:vAlign w:val="center"/>
          </w:tcPr>
          <w:p w14:paraId="74309CF3">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Retina</w:t>
            </w:r>
          </w:p>
        </w:tc>
        <w:tc>
          <w:tcPr>
            <w:tcW w:w="1957" w:type="pct"/>
            <w:tcBorders>
              <w:top w:val="nil"/>
              <w:left w:val="nil"/>
              <w:bottom w:val="nil"/>
              <w:right w:val="nil"/>
            </w:tcBorders>
            <w:noWrap w:val="0"/>
            <w:tcMar>
              <w:top w:w="50" w:type="dxa"/>
              <w:left w:w="90" w:type="dxa"/>
              <w:bottom w:w="50" w:type="dxa"/>
              <w:right w:w="90" w:type="dxa"/>
            </w:tcMar>
            <w:vAlign w:val="center"/>
          </w:tcPr>
          <w:p w14:paraId="6244075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Independent ophthalmology, tertiary Grade-A general</w:t>
            </w:r>
          </w:p>
        </w:tc>
        <w:tc>
          <w:tcPr>
            <w:tcW w:w="360" w:type="pct"/>
            <w:tcBorders>
              <w:top w:val="nil"/>
              <w:left w:val="nil"/>
              <w:bottom w:val="nil"/>
              <w:right w:val="nil"/>
            </w:tcBorders>
            <w:noWrap w:val="0"/>
            <w:tcMar>
              <w:top w:w="50" w:type="dxa"/>
              <w:left w:w="90" w:type="dxa"/>
              <w:bottom w:w="50" w:type="dxa"/>
              <w:right w:w="90" w:type="dxa"/>
            </w:tcMar>
            <w:vAlign w:val="center"/>
          </w:tcPr>
          <w:p w14:paraId="4F88F5FA">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East</w:t>
            </w:r>
          </w:p>
        </w:tc>
        <w:tc>
          <w:tcPr>
            <w:tcW w:w="235" w:type="pct"/>
            <w:tcBorders>
              <w:top w:val="nil"/>
              <w:left w:val="nil"/>
              <w:bottom w:val="nil"/>
              <w:right w:val="nil"/>
            </w:tcBorders>
            <w:noWrap w:val="0"/>
            <w:tcMar>
              <w:top w:w="50" w:type="dxa"/>
              <w:left w:w="90" w:type="dxa"/>
              <w:bottom w:w="50" w:type="dxa"/>
              <w:right w:w="90" w:type="dxa"/>
            </w:tcMar>
            <w:vAlign w:val="center"/>
          </w:tcPr>
          <w:p w14:paraId="0C737EB7">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4</w:t>
            </w:r>
          </w:p>
        </w:tc>
        <w:tc>
          <w:tcPr>
            <w:tcW w:w="787" w:type="pct"/>
            <w:tcBorders>
              <w:top w:val="nil"/>
              <w:left w:val="nil"/>
              <w:bottom w:val="nil"/>
              <w:right w:val="nil"/>
            </w:tcBorders>
            <w:noWrap w:val="0"/>
            <w:tcMar>
              <w:top w:w="50" w:type="dxa"/>
              <w:left w:w="90" w:type="dxa"/>
              <w:bottom w:w="50" w:type="dxa"/>
              <w:right w:w="90" w:type="dxa"/>
            </w:tcMar>
            <w:vAlign w:val="center"/>
          </w:tcPr>
          <w:p w14:paraId="2BE87FB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Routine ancillary</w:t>
            </w:r>
          </w:p>
        </w:tc>
      </w:tr>
      <w:tr w14:paraId="4576B56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shd w:val="clear" w:color="auto" w:fill="EEF2F6"/>
            <w:noWrap w:val="0"/>
            <w:tcMar>
              <w:top w:w="50" w:type="dxa"/>
              <w:left w:w="90" w:type="dxa"/>
              <w:bottom w:w="50" w:type="dxa"/>
              <w:right w:w="90" w:type="dxa"/>
            </w:tcMar>
            <w:vAlign w:val="center"/>
          </w:tcPr>
          <w:p w14:paraId="4A2E79E4">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N22</w:t>
            </w:r>
          </w:p>
        </w:tc>
        <w:tc>
          <w:tcPr>
            <w:tcW w:w="303" w:type="pct"/>
            <w:tcBorders>
              <w:top w:val="nil"/>
              <w:left w:val="nil"/>
              <w:bottom w:val="nil"/>
              <w:right w:val="nil"/>
            </w:tcBorders>
            <w:shd w:val="clear" w:color="auto" w:fill="EEF2F6"/>
            <w:noWrap w:val="0"/>
            <w:tcMar>
              <w:top w:w="50" w:type="dxa"/>
              <w:left w:w="90" w:type="dxa"/>
              <w:bottom w:w="50" w:type="dxa"/>
              <w:right w:w="90" w:type="dxa"/>
            </w:tcMar>
            <w:vAlign w:val="center"/>
          </w:tcPr>
          <w:p w14:paraId="360EAF06">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40-44</w:t>
            </w:r>
          </w:p>
        </w:tc>
        <w:tc>
          <w:tcPr>
            <w:tcW w:w="1104" w:type="pct"/>
            <w:tcBorders>
              <w:top w:val="nil"/>
              <w:left w:val="nil"/>
              <w:bottom w:val="nil"/>
              <w:right w:val="nil"/>
            </w:tcBorders>
            <w:shd w:val="clear" w:color="auto" w:fill="EEF2F6"/>
            <w:noWrap w:val="0"/>
            <w:tcMar>
              <w:top w:w="50" w:type="dxa"/>
              <w:left w:w="90" w:type="dxa"/>
              <w:bottom w:w="50" w:type="dxa"/>
              <w:right w:w="90" w:type="dxa"/>
            </w:tcMar>
            <w:vAlign w:val="center"/>
          </w:tcPr>
          <w:p w14:paraId="2DF48BCA">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Glaucoma</w:t>
            </w:r>
          </w:p>
        </w:tc>
        <w:tc>
          <w:tcPr>
            <w:tcW w:w="1957" w:type="pct"/>
            <w:tcBorders>
              <w:top w:val="nil"/>
              <w:left w:val="nil"/>
              <w:bottom w:val="nil"/>
              <w:right w:val="nil"/>
            </w:tcBorders>
            <w:shd w:val="clear" w:color="auto" w:fill="EEF2F6"/>
            <w:noWrap w:val="0"/>
            <w:tcMar>
              <w:top w:w="50" w:type="dxa"/>
              <w:left w:w="90" w:type="dxa"/>
              <w:bottom w:w="50" w:type="dxa"/>
              <w:right w:w="90" w:type="dxa"/>
            </w:tcMar>
            <w:vAlign w:val="center"/>
          </w:tcPr>
          <w:p w14:paraId="09684AD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Secondary general hospital, combined department</w:t>
            </w:r>
          </w:p>
        </w:tc>
        <w:tc>
          <w:tcPr>
            <w:tcW w:w="360" w:type="pct"/>
            <w:tcBorders>
              <w:top w:val="nil"/>
              <w:left w:val="nil"/>
              <w:bottom w:val="nil"/>
              <w:right w:val="nil"/>
            </w:tcBorders>
            <w:shd w:val="clear" w:color="auto" w:fill="EEF2F6"/>
            <w:noWrap w:val="0"/>
            <w:tcMar>
              <w:top w:w="50" w:type="dxa"/>
              <w:left w:w="90" w:type="dxa"/>
              <w:bottom w:w="50" w:type="dxa"/>
              <w:right w:w="90" w:type="dxa"/>
            </w:tcMar>
            <w:vAlign w:val="center"/>
          </w:tcPr>
          <w:p w14:paraId="0A324724">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West</w:t>
            </w:r>
          </w:p>
        </w:tc>
        <w:tc>
          <w:tcPr>
            <w:tcW w:w="235" w:type="pct"/>
            <w:tcBorders>
              <w:top w:val="nil"/>
              <w:left w:val="nil"/>
              <w:bottom w:val="nil"/>
              <w:right w:val="nil"/>
            </w:tcBorders>
            <w:shd w:val="clear" w:color="auto" w:fill="EEF2F6"/>
            <w:noWrap w:val="0"/>
            <w:tcMar>
              <w:top w:w="50" w:type="dxa"/>
              <w:left w:w="90" w:type="dxa"/>
              <w:bottom w:w="50" w:type="dxa"/>
              <w:right w:w="90" w:type="dxa"/>
            </w:tcMar>
            <w:vAlign w:val="center"/>
          </w:tcPr>
          <w:p w14:paraId="4DA35A2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21</w:t>
            </w:r>
          </w:p>
        </w:tc>
        <w:tc>
          <w:tcPr>
            <w:tcW w:w="787" w:type="pct"/>
            <w:tcBorders>
              <w:top w:val="nil"/>
              <w:left w:val="nil"/>
              <w:bottom w:val="nil"/>
              <w:right w:val="nil"/>
            </w:tcBorders>
            <w:shd w:val="clear" w:color="auto" w:fill="EEF2F6"/>
            <w:noWrap w:val="0"/>
            <w:tcMar>
              <w:top w:w="50" w:type="dxa"/>
              <w:left w:w="90" w:type="dxa"/>
              <w:bottom w:w="50" w:type="dxa"/>
              <w:right w:w="90" w:type="dxa"/>
            </w:tcMar>
            <w:vAlign w:val="center"/>
          </w:tcPr>
          <w:p w14:paraId="1543756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None</w:t>
            </w:r>
          </w:p>
        </w:tc>
      </w:tr>
      <w:tr w14:paraId="229BDC76">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noWrap w:val="0"/>
            <w:tcMar>
              <w:top w:w="50" w:type="dxa"/>
              <w:left w:w="90" w:type="dxa"/>
              <w:bottom w:w="50" w:type="dxa"/>
              <w:right w:w="90" w:type="dxa"/>
            </w:tcMar>
            <w:vAlign w:val="center"/>
          </w:tcPr>
          <w:p w14:paraId="270B401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N23</w:t>
            </w:r>
          </w:p>
        </w:tc>
        <w:tc>
          <w:tcPr>
            <w:tcW w:w="303" w:type="pct"/>
            <w:tcBorders>
              <w:top w:val="nil"/>
              <w:left w:val="nil"/>
              <w:bottom w:val="nil"/>
              <w:right w:val="nil"/>
            </w:tcBorders>
            <w:noWrap w:val="0"/>
            <w:tcMar>
              <w:top w:w="50" w:type="dxa"/>
              <w:left w:w="90" w:type="dxa"/>
              <w:bottom w:w="50" w:type="dxa"/>
              <w:right w:w="90" w:type="dxa"/>
            </w:tcMar>
            <w:vAlign w:val="center"/>
          </w:tcPr>
          <w:p w14:paraId="3CEF2DA2">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30-34</w:t>
            </w:r>
          </w:p>
        </w:tc>
        <w:tc>
          <w:tcPr>
            <w:tcW w:w="1104" w:type="pct"/>
            <w:tcBorders>
              <w:top w:val="nil"/>
              <w:left w:val="nil"/>
              <w:bottom w:val="nil"/>
              <w:right w:val="nil"/>
            </w:tcBorders>
            <w:noWrap w:val="0"/>
            <w:tcMar>
              <w:top w:w="50" w:type="dxa"/>
              <w:left w:w="90" w:type="dxa"/>
              <w:bottom w:w="50" w:type="dxa"/>
              <w:right w:w="90" w:type="dxa"/>
            </w:tcMar>
            <w:vAlign w:val="center"/>
          </w:tcPr>
          <w:p w14:paraId="12F4C865">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Primary eye health/screening</w:t>
            </w:r>
          </w:p>
        </w:tc>
        <w:tc>
          <w:tcPr>
            <w:tcW w:w="1957" w:type="pct"/>
            <w:tcBorders>
              <w:top w:val="nil"/>
              <w:left w:val="nil"/>
              <w:bottom w:val="nil"/>
              <w:right w:val="nil"/>
            </w:tcBorders>
            <w:noWrap w:val="0"/>
            <w:tcMar>
              <w:top w:w="50" w:type="dxa"/>
              <w:left w:w="90" w:type="dxa"/>
              <w:bottom w:w="50" w:type="dxa"/>
              <w:right w:w="90" w:type="dxa"/>
            </w:tcMar>
            <w:vAlign w:val="center"/>
          </w:tcPr>
          <w:p w14:paraId="554CEC57">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Primary eye health/screening</w:t>
            </w:r>
          </w:p>
        </w:tc>
        <w:tc>
          <w:tcPr>
            <w:tcW w:w="360" w:type="pct"/>
            <w:tcBorders>
              <w:top w:val="nil"/>
              <w:left w:val="nil"/>
              <w:bottom w:val="nil"/>
              <w:right w:val="nil"/>
            </w:tcBorders>
            <w:noWrap w:val="0"/>
            <w:tcMar>
              <w:top w:w="50" w:type="dxa"/>
              <w:left w:w="90" w:type="dxa"/>
              <w:bottom w:w="50" w:type="dxa"/>
              <w:right w:w="90" w:type="dxa"/>
            </w:tcMar>
            <w:vAlign w:val="center"/>
          </w:tcPr>
          <w:p w14:paraId="3B9CC6F4">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Central</w:t>
            </w:r>
          </w:p>
        </w:tc>
        <w:tc>
          <w:tcPr>
            <w:tcW w:w="235" w:type="pct"/>
            <w:tcBorders>
              <w:top w:val="nil"/>
              <w:left w:val="nil"/>
              <w:bottom w:val="nil"/>
              <w:right w:val="nil"/>
            </w:tcBorders>
            <w:noWrap w:val="0"/>
            <w:tcMar>
              <w:top w:w="50" w:type="dxa"/>
              <w:left w:w="90" w:type="dxa"/>
              <w:bottom w:w="50" w:type="dxa"/>
              <w:right w:w="90" w:type="dxa"/>
            </w:tcMar>
            <w:vAlign w:val="center"/>
          </w:tcPr>
          <w:p w14:paraId="029CD2E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7</w:t>
            </w:r>
          </w:p>
        </w:tc>
        <w:tc>
          <w:tcPr>
            <w:tcW w:w="787" w:type="pct"/>
            <w:tcBorders>
              <w:top w:val="nil"/>
              <w:left w:val="nil"/>
              <w:bottom w:val="nil"/>
              <w:right w:val="nil"/>
            </w:tcBorders>
            <w:noWrap w:val="0"/>
            <w:tcMar>
              <w:top w:w="50" w:type="dxa"/>
              <w:left w:w="90" w:type="dxa"/>
              <w:bottom w:w="50" w:type="dxa"/>
              <w:right w:w="90" w:type="dxa"/>
            </w:tcMar>
            <w:vAlign w:val="center"/>
          </w:tcPr>
          <w:p w14:paraId="66D2E92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Personal only</w:t>
            </w:r>
          </w:p>
        </w:tc>
      </w:tr>
      <w:tr w14:paraId="247B2107">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shd w:val="clear" w:color="auto" w:fill="EEF2F6"/>
            <w:noWrap w:val="0"/>
            <w:tcMar>
              <w:top w:w="50" w:type="dxa"/>
              <w:left w:w="90" w:type="dxa"/>
              <w:bottom w:w="50" w:type="dxa"/>
              <w:right w:w="90" w:type="dxa"/>
            </w:tcMar>
            <w:vAlign w:val="center"/>
          </w:tcPr>
          <w:p w14:paraId="18C8A13C">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N24</w:t>
            </w:r>
          </w:p>
        </w:tc>
        <w:tc>
          <w:tcPr>
            <w:tcW w:w="303" w:type="pct"/>
            <w:tcBorders>
              <w:top w:val="nil"/>
              <w:left w:val="nil"/>
              <w:bottom w:val="nil"/>
              <w:right w:val="nil"/>
            </w:tcBorders>
            <w:shd w:val="clear" w:color="auto" w:fill="EEF2F6"/>
            <w:noWrap w:val="0"/>
            <w:tcMar>
              <w:top w:w="50" w:type="dxa"/>
              <w:left w:w="90" w:type="dxa"/>
              <w:bottom w:w="50" w:type="dxa"/>
              <w:right w:w="90" w:type="dxa"/>
            </w:tcMar>
            <w:vAlign w:val="center"/>
          </w:tcPr>
          <w:p w14:paraId="2662A1A2">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35-39</w:t>
            </w:r>
          </w:p>
        </w:tc>
        <w:tc>
          <w:tcPr>
            <w:tcW w:w="1104" w:type="pct"/>
            <w:tcBorders>
              <w:top w:val="nil"/>
              <w:left w:val="nil"/>
              <w:bottom w:val="nil"/>
              <w:right w:val="nil"/>
            </w:tcBorders>
            <w:shd w:val="clear" w:color="auto" w:fill="EEF2F6"/>
            <w:noWrap w:val="0"/>
            <w:tcMar>
              <w:top w:w="50" w:type="dxa"/>
              <w:left w:w="90" w:type="dxa"/>
              <w:bottom w:w="50" w:type="dxa"/>
              <w:right w:w="90" w:type="dxa"/>
            </w:tcMar>
            <w:vAlign w:val="center"/>
          </w:tcPr>
          <w:p w14:paraId="46D3228A">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Emergency</w:t>
            </w:r>
          </w:p>
        </w:tc>
        <w:tc>
          <w:tcPr>
            <w:tcW w:w="1957" w:type="pct"/>
            <w:tcBorders>
              <w:top w:val="nil"/>
              <w:left w:val="nil"/>
              <w:bottom w:val="nil"/>
              <w:right w:val="nil"/>
            </w:tcBorders>
            <w:shd w:val="clear" w:color="auto" w:fill="EEF2F6"/>
            <w:noWrap w:val="0"/>
            <w:tcMar>
              <w:top w:w="50" w:type="dxa"/>
              <w:left w:w="90" w:type="dxa"/>
              <w:bottom w:w="50" w:type="dxa"/>
              <w:right w:w="90" w:type="dxa"/>
            </w:tcMar>
            <w:vAlign w:val="center"/>
          </w:tcPr>
          <w:p w14:paraId="49316B9E">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Independent ophthalmology, tertiary Grade-A general</w:t>
            </w:r>
          </w:p>
        </w:tc>
        <w:tc>
          <w:tcPr>
            <w:tcW w:w="360" w:type="pct"/>
            <w:tcBorders>
              <w:top w:val="nil"/>
              <w:left w:val="nil"/>
              <w:bottom w:val="nil"/>
              <w:right w:val="nil"/>
            </w:tcBorders>
            <w:shd w:val="clear" w:color="auto" w:fill="EEF2F6"/>
            <w:noWrap w:val="0"/>
            <w:tcMar>
              <w:top w:w="50" w:type="dxa"/>
              <w:left w:w="90" w:type="dxa"/>
              <w:bottom w:w="50" w:type="dxa"/>
              <w:right w:w="90" w:type="dxa"/>
            </w:tcMar>
            <w:vAlign w:val="center"/>
          </w:tcPr>
          <w:p w14:paraId="2E744011">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Central</w:t>
            </w:r>
          </w:p>
        </w:tc>
        <w:tc>
          <w:tcPr>
            <w:tcW w:w="235" w:type="pct"/>
            <w:tcBorders>
              <w:top w:val="nil"/>
              <w:left w:val="nil"/>
              <w:bottom w:val="nil"/>
              <w:right w:val="nil"/>
            </w:tcBorders>
            <w:shd w:val="clear" w:color="auto" w:fill="EEF2F6"/>
            <w:noWrap w:val="0"/>
            <w:tcMar>
              <w:top w:w="50" w:type="dxa"/>
              <w:left w:w="90" w:type="dxa"/>
              <w:bottom w:w="50" w:type="dxa"/>
              <w:right w:w="90" w:type="dxa"/>
            </w:tcMar>
            <w:vAlign w:val="center"/>
          </w:tcPr>
          <w:p w14:paraId="036C7130">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14</w:t>
            </w:r>
          </w:p>
        </w:tc>
        <w:tc>
          <w:tcPr>
            <w:tcW w:w="787" w:type="pct"/>
            <w:tcBorders>
              <w:top w:val="nil"/>
              <w:left w:val="nil"/>
              <w:bottom w:val="nil"/>
              <w:right w:val="nil"/>
            </w:tcBorders>
            <w:shd w:val="clear" w:color="auto" w:fill="EEF2F6"/>
            <w:noWrap w:val="0"/>
            <w:tcMar>
              <w:top w:w="50" w:type="dxa"/>
              <w:left w:w="90" w:type="dxa"/>
              <w:bottom w:w="50" w:type="dxa"/>
              <w:right w:w="90" w:type="dxa"/>
            </w:tcMar>
            <w:vAlign w:val="center"/>
          </w:tcPr>
          <w:p w14:paraId="19FD699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Limited exploration</w:t>
            </w:r>
          </w:p>
        </w:tc>
      </w:tr>
      <w:tr w14:paraId="76031830">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nil"/>
              <w:right w:val="nil"/>
            </w:tcBorders>
            <w:noWrap w:val="0"/>
            <w:tcMar>
              <w:top w:w="50" w:type="dxa"/>
              <w:left w:w="90" w:type="dxa"/>
              <w:bottom w:w="50" w:type="dxa"/>
              <w:right w:w="90" w:type="dxa"/>
            </w:tcMar>
            <w:vAlign w:val="center"/>
          </w:tcPr>
          <w:p w14:paraId="1932E81C">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N25</w:t>
            </w:r>
          </w:p>
        </w:tc>
        <w:tc>
          <w:tcPr>
            <w:tcW w:w="303" w:type="pct"/>
            <w:tcBorders>
              <w:top w:val="nil"/>
              <w:left w:val="nil"/>
              <w:bottom w:val="nil"/>
              <w:right w:val="nil"/>
            </w:tcBorders>
            <w:noWrap w:val="0"/>
            <w:tcMar>
              <w:top w:w="50" w:type="dxa"/>
              <w:left w:w="90" w:type="dxa"/>
              <w:bottom w:w="50" w:type="dxa"/>
              <w:right w:w="90" w:type="dxa"/>
            </w:tcMar>
            <w:vAlign w:val="center"/>
          </w:tcPr>
          <w:p w14:paraId="63DC72D9">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25-29</w:t>
            </w:r>
          </w:p>
        </w:tc>
        <w:tc>
          <w:tcPr>
            <w:tcW w:w="1104" w:type="pct"/>
            <w:tcBorders>
              <w:top w:val="nil"/>
              <w:left w:val="nil"/>
              <w:bottom w:val="nil"/>
              <w:right w:val="nil"/>
            </w:tcBorders>
            <w:noWrap w:val="0"/>
            <w:tcMar>
              <w:top w:w="50" w:type="dxa"/>
              <w:left w:w="90" w:type="dxa"/>
              <w:bottom w:w="50" w:type="dxa"/>
              <w:right w:w="90" w:type="dxa"/>
            </w:tcMar>
            <w:vAlign w:val="center"/>
          </w:tcPr>
          <w:p w14:paraId="3E3C3512">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Optometry</w:t>
            </w:r>
          </w:p>
        </w:tc>
        <w:tc>
          <w:tcPr>
            <w:tcW w:w="1957" w:type="pct"/>
            <w:tcBorders>
              <w:top w:val="nil"/>
              <w:left w:val="nil"/>
              <w:bottom w:val="nil"/>
              <w:right w:val="nil"/>
            </w:tcBorders>
            <w:noWrap w:val="0"/>
            <w:tcMar>
              <w:top w:w="50" w:type="dxa"/>
              <w:left w:w="90" w:type="dxa"/>
              <w:bottom w:w="50" w:type="dxa"/>
              <w:right w:w="90" w:type="dxa"/>
            </w:tcMar>
            <w:vAlign w:val="center"/>
          </w:tcPr>
          <w:p w14:paraId="2D75A86D">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Secondary general hospital, combined department</w:t>
            </w:r>
          </w:p>
        </w:tc>
        <w:tc>
          <w:tcPr>
            <w:tcW w:w="360" w:type="pct"/>
            <w:tcBorders>
              <w:top w:val="nil"/>
              <w:left w:val="nil"/>
              <w:bottom w:val="nil"/>
              <w:right w:val="nil"/>
            </w:tcBorders>
            <w:noWrap w:val="0"/>
            <w:tcMar>
              <w:top w:w="50" w:type="dxa"/>
              <w:left w:w="90" w:type="dxa"/>
              <w:bottom w:w="50" w:type="dxa"/>
              <w:right w:w="90" w:type="dxa"/>
            </w:tcMar>
            <w:vAlign w:val="center"/>
          </w:tcPr>
          <w:p w14:paraId="2CCD4A62">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West</w:t>
            </w:r>
          </w:p>
        </w:tc>
        <w:tc>
          <w:tcPr>
            <w:tcW w:w="235" w:type="pct"/>
            <w:tcBorders>
              <w:top w:val="nil"/>
              <w:left w:val="nil"/>
              <w:bottom w:val="nil"/>
              <w:right w:val="nil"/>
            </w:tcBorders>
            <w:noWrap w:val="0"/>
            <w:tcMar>
              <w:top w:w="50" w:type="dxa"/>
              <w:left w:w="90" w:type="dxa"/>
              <w:bottom w:w="50" w:type="dxa"/>
              <w:right w:w="90" w:type="dxa"/>
            </w:tcMar>
            <w:vAlign w:val="center"/>
          </w:tcPr>
          <w:p w14:paraId="1639816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3</w:t>
            </w:r>
          </w:p>
        </w:tc>
        <w:tc>
          <w:tcPr>
            <w:tcW w:w="787" w:type="pct"/>
            <w:tcBorders>
              <w:top w:val="nil"/>
              <w:left w:val="nil"/>
              <w:bottom w:val="nil"/>
              <w:right w:val="nil"/>
            </w:tcBorders>
            <w:noWrap w:val="0"/>
            <w:tcMar>
              <w:top w:w="50" w:type="dxa"/>
              <w:left w:w="90" w:type="dxa"/>
              <w:bottom w:w="50" w:type="dxa"/>
              <w:right w:w="90" w:type="dxa"/>
            </w:tcMar>
            <w:vAlign w:val="center"/>
          </w:tcPr>
          <w:p w14:paraId="73AD8828">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None</w:t>
            </w:r>
          </w:p>
        </w:tc>
      </w:tr>
      <w:tr w14:paraId="0C3D916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 w:type="dxa"/>
            <w:bottom w:w="0" w:type="dxa"/>
            <w:right w:w="10" w:type="dxa"/>
          </w:tblCellMar>
        </w:tblPrEx>
        <w:trPr>
          <w:trHeight w:val="0" w:hRule="atLeast"/>
          <w:jc w:val="center"/>
        </w:trPr>
        <w:tc>
          <w:tcPr>
            <w:tcW w:w="251" w:type="pct"/>
            <w:tcBorders>
              <w:top w:val="nil"/>
              <w:left w:val="nil"/>
              <w:bottom w:val="single" w:color="B8C2CC" w:sz="12" w:space="0"/>
              <w:right w:val="nil"/>
            </w:tcBorders>
            <w:shd w:val="clear" w:color="auto" w:fill="EEF2F6"/>
            <w:noWrap w:val="0"/>
            <w:tcMar>
              <w:top w:w="50" w:type="dxa"/>
              <w:left w:w="90" w:type="dxa"/>
              <w:bottom w:w="50" w:type="dxa"/>
              <w:right w:w="90" w:type="dxa"/>
            </w:tcMar>
            <w:vAlign w:val="center"/>
          </w:tcPr>
          <w:p w14:paraId="1BC57DB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N26</w:t>
            </w:r>
          </w:p>
        </w:tc>
        <w:tc>
          <w:tcPr>
            <w:tcW w:w="303" w:type="pct"/>
            <w:tcBorders>
              <w:top w:val="nil"/>
              <w:left w:val="nil"/>
              <w:bottom w:val="single" w:color="B8C2CC" w:sz="12" w:space="0"/>
              <w:right w:val="nil"/>
            </w:tcBorders>
            <w:shd w:val="clear" w:color="auto" w:fill="EEF2F6"/>
            <w:noWrap w:val="0"/>
            <w:tcMar>
              <w:top w:w="50" w:type="dxa"/>
              <w:left w:w="90" w:type="dxa"/>
              <w:bottom w:w="50" w:type="dxa"/>
              <w:right w:w="90" w:type="dxa"/>
            </w:tcMar>
            <w:vAlign w:val="center"/>
          </w:tcPr>
          <w:p w14:paraId="2917FB34">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hint="default" w:ascii="Times New Roman" w:hAnsi="Times New Roman" w:eastAsia="Times New Roman" w:cs="Times New Roman"/>
                <w:b w:val="0"/>
                <w:bCs w:val="0"/>
                <w:i w:val="0"/>
                <w:iCs w:val="0"/>
                <w:sz w:val="15"/>
                <w:szCs w:val="15"/>
                <w:lang w:val="en-US" w:eastAsia="zh-CN"/>
              </w:rPr>
              <w:t>30-34</w:t>
            </w:r>
          </w:p>
        </w:tc>
        <w:tc>
          <w:tcPr>
            <w:tcW w:w="1104" w:type="pct"/>
            <w:tcBorders>
              <w:top w:val="nil"/>
              <w:left w:val="nil"/>
              <w:bottom w:val="single" w:color="B8C2CC" w:sz="12" w:space="0"/>
              <w:right w:val="nil"/>
            </w:tcBorders>
            <w:shd w:val="clear" w:color="auto" w:fill="EEF2F6"/>
            <w:noWrap w:val="0"/>
            <w:tcMar>
              <w:top w:w="50" w:type="dxa"/>
              <w:left w:w="90" w:type="dxa"/>
              <w:bottom w:w="50" w:type="dxa"/>
              <w:right w:w="90" w:type="dxa"/>
            </w:tcMar>
            <w:vAlign w:val="center"/>
          </w:tcPr>
          <w:p w14:paraId="6B713D34">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Day ward</w:t>
            </w:r>
          </w:p>
        </w:tc>
        <w:tc>
          <w:tcPr>
            <w:tcW w:w="1957" w:type="pct"/>
            <w:tcBorders>
              <w:top w:val="nil"/>
              <w:left w:val="nil"/>
              <w:bottom w:val="single" w:color="B8C2CC" w:sz="12" w:space="0"/>
              <w:right w:val="nil"/>
            </w:tcBorders>
            <w:shd w:val="clear" w:color="auto" w:fill="EEF2F6"/>
            <w:noWrap w:val="0"/>
            <w:tcMar>
              <w:top w:w="50" w:type="dxa"/>
              <w:left w:w="90" w:type="dxa"/>
              <w:bottom w:w="50" w:type="dxa"/>
              <w:right w:w="90" w:type="dxa"/>
            </w:tcMar>
            <w:vAlign w:val="center"/>
          </w:tcPr>
          <w:p w14:paraId="0435AD7C">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Tertiary specialist eye hospital</w:t>
            </w:r>
          </w:p>
        </w:tc>
        <w:tc>
          <w:tcPr>
            <w:tcW w:w="360" w:type="pct"/>
            <w:tcBorders>
              <w:top w:val="nil"/>
              <w:left w:val="nil"/>
              <w:bottom w:val="single" w:color="B8C2CC" w:sz="12" w:space="0"/>
              <w:right w:val="nil"/>
            </w:tcBorders>
            <w:shd w:val="clear" w:color="auto" w:fill="EEF2F6"/>
            <w:noWrap w:val="0"/>
            <w:tcMar>
              <w:top w:w="50" w:type="dxa"/>
              <w:left w:w="90" w:type="dxa"/>
              <w:bottom w:w="50" w:type="dxa"/>
              <w:right w:w="90" w:type="dxa"/>
            </w:tcMar>
            <w:vAlign w:val="center"/>
          </w:tcPr>
          <w:p w14:paraId="21C48C7F">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East</w:t>
            </w:r>
          </w:p>
        </w:tc>
        <w:tc>
          <w:tcPr>
            <w:tcW w:w="235" w:type="pct"/>
            <w:tcBorders>
              <w:top w:val="nil"/>
              <w:left w:val="nil"/>
              <w:bottom w:val="single" w:color="B8C2CC" w:sz="12" w:space="0"/>
              <w:right w:val="nil"/>
            </w:tcBorders>
            <w:shd w:val="clear" w:color="auto" w:fill="EEF2F6"/>
            <w:noWrap w:val="0"/>
            <w:tcMar>
              <w:top w:w="50" w:type="dxa"/>
              <w:left w:w="90" w:type="dxa"/>
              <w:bottom w:w="50" w:type="dxa"/>
              <w:right w:w="90" w:type="dxa"/>
            </w:tcMar>
            <w:vAlign w:val="center"/>
          </w:tcPr>
          <w:p w14:paraId="316BBCAE">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10</w:t>
            </w:r>
          </w:p>
        </w:tc>
        <w:tc>
          <w:tcPr>
            <w:tcW w:w="787" w:type="pct"/>
            <w:tcBorders>
              <w:top w:val="nil"/>
              <w:left w:val="nil"/>
              <w:bottom w:val="single" w:color="B8C2CC" w:sz="12" w:space="0"/>
              <w:right w:val="nil"/>
            </w:tcBorders>
            <w:shd w:val="clear" w:color="auto" w:fill="EEF2F6"/>
            <w:noWrap w:val="0"/>
            <w:tcMar>
              <w:top w:w="50" w:type="dxa"/>
              <w:left w:w="90" w:type="dxa"/>
              <w:bottom w:w="50" w:type="dxa"/>
              <w:right w:w="90" w:type="dxa"/>
            </w:tcMar>
            <w:vAlign w:val="center"/>
          </w:tcPr>
          <w:p w14:paraId="28AC75C4">
            <w:pPr>
              <w:keepLines w:val="0"/>
              <w:pageBreakBefore w:val="0"/>
              <w:kinsoku/>
              <w:wordWrap/>
              <w:overflowPunct/>
              <w:topLinePunct w:val="0"/>
              <w:autoSpaceDE/>
              <w:autoSpaceDN/>
              <w:bidi w:val="0"/>
              <w:adjustRightInd/>
              <w:snapToGrid w:val="0"/>
              <w:spacing w:after="0" w:line="240" w:lineRule="auto"/>
              <w:ind w:left="0" w:leftChars="0" w:right="0" w:rightChars="0" w:firstLine="0" w:firstLineChars="0"/>
              <w:jc w:val="center"/>
              <w:textAlignment w:val="auto"/>
              <w:rPr>
                <w:rFonts w:ascii="Times New Roman" w:eastAsia="Times New Roman"/>
                <w:sz w:val="15"/>
              </w:rPr>
            </w:pPr>
            <w:r>
              <w:rPr>
                <w:rFonts w:ascii="Times New Roman" w:hAnsi="Times New Roman" w:eastAsia="Times New Roman" w:cs="Times New Roman"/>
                <w:b w:val="0"/>
                <w:bCs w:val="0"/>
                <w:i w:val="0"/>
                <w:iCs w:val="0"/>
                <w:sz w:val="15"/>
                <w:szCs w:val="15"/>
              </w:rPr>
              <w:t>Routine ancillary</w:t>
            </w:r>
          </w:p>
        </w:tc>
      </w:tr>
    </w:tbl>
    <w:p w14:paraId="706C2BB9">
      <w:pPr>
        <w:keepLines w:val="0"/>
        <w:pageBreakBefore w:val="0"/>
        <w:kinsoku/>
        <w:wordWrap/>
        <w:overflowPunct/>
        <w:topLinePunct w:val="0"/>
        <w:autoSpaceDE/>
        <w:autoSpaceDN/>
        <w:bidi w:val="0"/>
        <w:adjustRightInd/>
        <w:snapToGrid/>
        <w:spacing w:after="0" w:line="230" w:lineRule="auto"/>
        <w:ind w:firstLine="0" w:firstLineChars="0"/>
        <w:jc w:val="both"/>
        <w:textAlignment w:val="auto"/>
        <w:rPr>
          <w:rFonts w:ascii="Times New Roman" w:hAnsi="Times New Roman" w:eastAsia="Times New Roman" w:cs="Times New Roman"/>
          <w:b/>
          <w:bCs/>
          <w:color w:val="1F3A5F"/>
          <w:sz w:val="26"/>
          <w:szCs w:val="26"/>
        </w:rPr>
      </w:pPr>
      <w:r>
        <w:rPr>
          <w:rFonts w:ascii="Times New Roman" w:hAnsi="Times New Roman" w:eastAsia="Times New Roman" w:cs="Times New Roman"/>
          <w:b w:val="0"/>
          <w:bCs w:val="0"/>
          <w:i w:val="0"/>
          <w:iCs w:val="0"/>
          <w:sz w:val="15"/>
          <w:szCs w:val="15"/>
        </w:rPr>
        <w:br w:type="page"/>
      </w:r>
    </w:p>
    <w:p w14:paraId="0F558B96">
      <w:pPr>
        <w:pStyle w:val="3"/>
        <w:keepNext/>
        <w:keepLines w:val="0"/>
        <w:pageBreakBefore w:val="0"/>
        <w:kinsoku/>
        <w:wordWrap/>
        <w:overflowPunct/>
        <w:topLinePunct w:val="0"/>
        <w:autoSpaceDE/>
        <w:autoSpaceDN/>
        <w:bidi w:val="0"/>
        <w:adjustRightInd/>
        <w:snapToGrid/>
        <w:spacing w:before="240" w:after="120"/>
        <w:ind w:firstLine="0" w:firstLineChars="0"/>
        <w:jc w:val="both"/>
        <w:textAlignment w:val="auto"/>
      </w:pPr>
      <w:r>
        <w:rPr>
          <w:rFonts w:ascii="Times New Roman" w:hAnsi="Times New Roman" w:eastAsia="Times New Roman" w:cs="Times New Roman"/>
          <w:b/>
          <w:bCs/>
          <w:color w:val="1F3A5F"/>
          <w:sz w:val="26"/>
          <w:szCs w:val="26"/>
        </w:rPr>
        <w:t>Appendix S</w:t>
      </w:r>
      <w:r>
        <w:rPr>
          <w:rFonts w:hint="eastAsia" w:ascii="Times New Roman" w:hAnsi="Times New Roman" w:eastAsia="Times New Roman" w:cs="Times New Roman"/>
          <w:b/>
          <w:bCs/>
          <w:color w:val="1F3A5F"/>
          <w:sz w:val="26"/>
          <w:szCs w:val="26"/>
          <w:lang w:val="en-US" w:eastAsia="zh-CN"/>
        </w:rPr>
        <w:t>3</w:t>
      </w:r>
      <w:r>
        <w:rPr>
          <w:rFonts w:hint="eastAsia" w:eastAsia="Times New Roman" w:cs="Times New Roman"/>
          <w:b/>
          <w:bCs/>
          <w:color w:val="1F3A5F"/>
          <w:sz w:val="26"/>
          <w:szCs w:val="26"/>
          <w:lang w:val="en-US" w:eastAsia="zh-CN"/>
        </w:rPr>
        <w:t>.</w:t>
      </w:r>
      <w:r>
        <w:rPr>
          <w:rFonts w:hint="eastAsia" w:ascii="Times New Roman" w:hAnsi="Times New Roman" w:eastAsia="Times New Roman" w:cs="Times New Roman"/>
          <w:b/>
          <w:bCs/>
          <w:color w:val="1F3A5F"/>
          <w:sz w:val="26"/>
          <w:szCs w:val="26"/>
          <w:lang w:val="en-US" w:eastAsia="zh-CN"/>
        </w:rPr>
        <w:t xml:space="preserve"> </w:t>
      </w:r>
      <w:r>
        <w:rPr>
          <w:rFonts w:ascii="Times New Roman" w:hAnsi="Times New Roman" w:eastAsia="Times New Roman" w:cs="Times New Roman"/>
          <w:b/>
          <w:bCs/>
          <w:color w:val="1F3A5F"/>
          <w:sz w:val="26"/>
          <w:szCs w:val="26"/>
        </w:rPr>
        <w:t>Interview Guide on Trust Negotiation in Ophthalmic Nurses’ Interaction with Generative AI (GenAI)</w:t>
      </w:r>
    </w:p>
    <w:p w14:paraId="12BB6C79">
      <w:pPr>
        <w:pStyle w:val="5"/>
        <w:bidi w:val="0"/>
        <w:jc w:val="center"/>
      </w:pPr>
      <w:r>
        <w:t>Part I. Personal Information</w:t>
      </w:r>
    </w:p>
    <w:p w14:paraId="353BF0F9">
      <w:pPr>
        <w:spacing w:after="120"/>
        <w:jc w:val="both"/>
      </w:pPr>
      <w:r>
        <w:rPr>
          <w:i/>
          <w:iCs/>
        </w:rPr>
        <w:t>Note: This information is used solely for research analysis and will be kept strictly confidential.</w:t>
      </w:r>
    </w:p>
    <w:p w14:paraId="3B257DE7">
      <w:pPr>
        <w:pStyle w:val="30"/>
        <w:numPr>
          <w:ilvl w:val="0"/>
          <w:numId w:val="1"/>
        </w:numPr>
        <w:spacing w:after="60"/>
      </w:pPr>
      <w:r>
        <w:rPr>
          <w:b/>
          <w:bCs/>
        </w:rPr>
        <w:t xml:space="preserve">ID: </w:t>
      </w:r>
      <w:r>
        <w:t>________ (to be filled in by the researcher)</w:t>
      </w:r>
    </w:p>
    <w:p w14:paraId="41FF0999">
      <w:pPr>
        <w:pStyle w:val="30"/>
        <w:numPr>
          <w:ilvl w:val="0"/>
          <w:numId w:val="1"/>
        </w:numPr>
        <w:spacing w:after="60"/>
      </w:pPr>
      <w:r>
        <w:rPr>
          <w:b/>
          <w:bCs/>
        </w:rPr>
        <w:t xml:space="preserve">Pseudonym: </w:t>
      </w:r>
      <w:r>
        <w:t>________</w:t>
      </w:r>
    </w:p>
    <w:p w14:paraId="1D82A8DE">
      <w:pPr>
        <w:pStyle w:val="30"/>
        <w:numPr>
          <w:ilvl w:val="0"/>
          <w:numId w:val="1"/>
        </w:numPr>
        <w:spacing w:after="60"/>
      </w:pPr>
      <w:r>
        <w:rPr>
          <w:b/>
          <w:bCs/>
        </w:rPr>
        <w:t xml:space="preserve">Gender: </w:t>
      </w:r>
      <w:r>
        <w:t>□ Male □ Female</w:t>
      </w:r>
    </w:p>
    <w:p w14:paraId="33CD4369">
      <w:pPr>
        <w:pStyle w:val="30"/>
        <w:numPr>
          <w:ilvl w:val="0"/>
          <w:numId w:val="1"/>
        </w:numPr>
        <w:spacing w:after="60"/>
      </w:pPr>
      <w:r>
        <w:rPr>
          <w:b/>
          <w:bCs/>
        </w:rPr>
        <w:t xml:space="preserve">Age: </w:t>
      </w:r>
      <w:r>
        <w:t>________ years</w:t>
      </w:r>
    </w:p>
    <w:p w14:paraId="4F9B7E9A">
      <w:pPr>
        <w:pStyle w:val="30"/>
        <w:numPr>
          <w:ilvl w:val="0"/>
          <w:numId w:val="1"/>
        </w:numPr>
        <w:spacing w:after="60"/>
      </w:pPr>
      <w:r>
        <w:rPr>
          <w:b/>
          <w:bCs/>
        </w:rPr>
        <w:t xml:space="preserve">Professional title: </w:t>
      </w:r>
      <w:r>
        <w:t>□ Nurse □ Senior Nurse □ Nurse-in-Charge □ Associate Chief Nurse □ Chief Nurse</w:t>
      </w:r>
    </w:p>
    <w:p w14:paraId="00530CD2">
      <w:pPr>
        <w:pStyle w:val="30"/>
        <w:numPr>
          <w:ilvl w:val="0"/>
          <w:numId w:val="1"/>
        </w:numPr>
        <w:spacing w:after="60"/>
      </w:pPr>
      <w:r>
        <w:rPr>
          <w:b/>
          <w:bCs/>
        </w:rPr>
        <w:t xml:space="preserve">Highest level of education: </w:t>
      </w:r>
      <w:r>
        <w:t>□ Technical secondary school □ Junior college □ Bachelor’s degree □ Master’s degree or above</w:t>
      </w:r>
    </w:p>
    <w:p w14:paraId="20C4E53A">
      <w:pPr>
        <w:pStyle w:val="30"/>
        <w:numPr>
          <w:ilvl w:val="0"/>
          <w:numId w:val="1"/>
        </w:numPr>
        <w:spacing w:after="60"/>
      </w:pPr>
      <w:r>
        <w:rPr>
          <w:b/>
          <w:bCs/>
        </w:rPr>
        <w:t xml:space="preserve">Years of experience in ophthalmology: </w:t>
      </w:r>
      <w:r>
        <w:t>________ years</w:t>
      </w:r>
    </w:p>
    <w:p w14:paraId="27FEEAF5">
      <w:pPr>
        <w:pStyle w:val="30"/>
        <w:numPr>
          <w:ilvl w:val="0"/>
          <w:numId w:val="1"/>
        </w:numPr>
        <w:spacing w:after="60"/>
      </w:pPr>
      <w:r>
        <w:rPr>
          <w:b/>
          <w:bCs/>
        </w:rPr>
        <w:t>Current primary department / subspecialty (select all that apply):</w:t>
      </w:r>
    </w:p>
    <w:p w14:paraId="29FE6AC1">
      <w:pPr>
        <w:spacing w:after="30"/>
        <w:ind w:left="600"/>
      </w:pPr>
      <w:r>
        <w:t>□ Retina □ Cataract □ Glaucoma □ Ocular trauma / emergency □ Optometry</w:t>
      </w:r>
    </w:p>
    <w:p w14:paraId="05CB0532">
      <w:pPr>
        <w:spacing w:after="60"/>
        <w:ind w:left="600"/>
      </w:pPr>
      <w:r>
        <w:t>□ Pediatric ophthalmology □ Ocular surface / cornea □ Ophthalmology outpatient / day ward □ Primary eye care / screening □ Other: ________</w:t>
      </w:r>
    </w:p>
    <w:p w14:paraId="56A5417E">
      <w:pPr>
        <w:pStyle w:val="30"/>
        <w:numPr>
          <w:ilvl w:val="0"/>
          <w:numId w:val="1"/>
        </w:numPr>
        <w:spacing w:after="60"/>
      </w:pPr>
      <w:r>
        <w:rPr>
          <w:b/>
          <w:bCs/>
        </w:rPr>
        <w:t>Type of institution:</w:t>
      </w:r>
    </w:p>
    <w:p w14:paraId="14EDDF34">
      <w:pPr>
        <w:spacing w:after="30"/>
        <w:ind w:left="600"/>
      </w:pPr>
      <w:r>
        <w:t>□ Independent ophthalmology department in a tertiary Grade-A general hospital</w:t>
      </w:r>
    </w:p>
    <w:p w14:paraId="183BD370">
      <w:pPr>
        <w:spacing w:after="30"/>
        <w:ind w:left="600"/>
      </w:pPr>
      <w:r>
        <w:t>□ Tertiary specialized ophthalmology hospital</w:t>
      </w:r>
    </w:p>
    <w:p w14:paraId="617D5E23">
      <w:pPr>
        <w:spacing w:after="30"/>
        <w:ind w:left="600"/>
      </w:pPr>
      <w:r>
        <w:t>□ Ophthalmology department in a tertiary Grade-B general hospital / secondary specialized ophthalmology hospital</w:t>
      </w:r>
    </w:p>
    <w:p w14:paraId="650B31E3">
      <w:pPr>
        <w:spacing w:after="30"/>
        <w:ind w:left="600"/>
      </w:pPr>
      <w:r>
        <w:t>□ Ophthalmology department in a secondary general hospital / combined within an EENT (eye-ear-nose-throat) department</w:t>
      </w:r>
    </w:p>
    <w:p w14:paraId="6A5B548B">
      <w:pPr>
        <w:spacing w:after="60"/>
        <w:ind w:left="600"/>
      </w:pPr>
      <w:r>
        <w:t>□ Primary-level eye care / screening institution</w:t>
      </w:r>
    </w:p>
    <w:p w14:paraId="717C4BF8">
      <w:pPr>
        <w:pStyle w:val="30"/>
        <w:numPr>
          <w:ilvl w:val="0"/>
          <w:numId w:val="1"/>
        </w:numPr>
        <w:spacing w:after="60"/>
      </w:pPr>
      <w:r>
        <w:rPr>
          <w:b/>
          <w:bCs/>
        </w:rPr>
        <w:t xml:space="preserve">Region: </w:t>
      </w:r>
      <w:r>
        <w:t>□ Eastern □ Central □ Western</w:t>
      </w:r>
    </w:p>
    <w:p w14:paraId="77C75CFE">
      <w:pPr>
        <w:pStyle w:val="30"/>
        <w:numPr>
          <w:ilvl w:val="0"/>
          <w:numId w:val="1"/>
        </w:numPr>
        <w:spacing w:after="60"/>
      </w:pPr>
      <w:r>
        <w:rPr>
          <w:b/>
          <w:bCs/>
        </w:rPr>
        <w:t>Have you ever used generative AI tools (such as ChatGPT, DeepSeek, etc.)?</w:t>
      </w:r>
    </w:p>
    <w:p w14:paraId="60D93EAC">
      <w:pPr>
        <w:spacing w:after="30"/>
        <w:ind w:left="600"/>
      </w:pPr>
      <w:r>
        <w:t>□ Never used</w:t>
      </w:r>
    </w:p>
    <w:p w14:paraId="407DA0E5">
      <w:pPr>
        <w:spacing w:after="30"/>
        <w:ind w:left="600"/>
      </w:pPr>
      <w:r>
        <w:t>□ Personal use only (non-clinical)</w:t>
      </w:r>
    </w:p>
    <w:p w14:paraId="1E74E9E7">
      <w:pPr>
        <w:spacing w:after="30"/>
        <w:ind w:left="600"/>
      </w:pPr>
      <w:r>
        <w:t>□ Limited clinical exploration</w:t>
      </w:r>
    </w:p>
    <w:p w14:paraId="18C510F0">
      <w:pPr>
        <w:spacing w:after="120"/>
        <w:ind w:left="600"/>
      </w:pPr>
      <w:r>
        <w:t>□ Routine clinical assisted use</w:t>
      </w:r>
    </w:p>
    <w:p w14:paraId="548AA7D2">
      <w:pPr>
        <w:pStyle w:val="5"/>
        <w:bidi w:val="0"/>
        <w:jc w:val="center"/>
      </w:pPr>
      <w:r>
        <w:t>Part II. Interview Introduction</w:t>
      </w:r>
    </w:p>
    <w:p w14:paraId="3E6B07BA">
      <w:pPr>
        <w:spacing w:after="120"/>
        <w:jc w:val="both"/>
      </w:pPr>
      <w:r>
        <w:rPr>
          <w:i w:val="0"/>
          <w:iCs w:val="0"/>
        </w:rPr>
        <w:t>Thank you for taking part in this study. We are interested in the real-world experiences of ophthalmic nurses when they use generative AI tools (such as ChatGPT, DeepSeek, etc.) in their everyday work. Every specific event you share is valuable for helping us understand how these new tools can be used safely and effectively in clinical practice. The interview will last approximately 60–90 minutes, and we will focus mainly on asking you to recall one memorable experience of using AI. There are no right or wrong answers, so please describe it in as much detail as you can.</w:t>
      </w:r>
    </w:p>
    <w:p w14:paraId="290EA081">
      <w:pPr>
        <w:pStyle w:val="5"/>
        <w:bidi w:val="0"/>
      </w:pPr>
      <w:r>
        <w:t>Part III. Core Interview Questions (based on the CIT and TN-NAI frameworks)</w:t>
      </w:r>
    </w:p>
    <w:p w14:paraId="6F4A33A9">
      <w:pPr>
        <w:pStyle w:val="6"/>
        <w:bidi w:val="0"/>
        <w:rPr>
          <w:rFonts w:hint="default" w:ascii="Times New Roman" w:hAnsi="Times New Roman" w:cs="Times New Roman"/>
        </w:rPr>
      </w:pPr>
      <w:r>
        <w:rPr>
          <w:rFonts w:hint="default" w:ascii="Times New Roman" w:hAnsi="Times New Roman" w:cs="Times New Roman"/>
        </w:rPr>
        <w:t>Module 1: Critical Incident Elicitation (event-driven)</w:t>
      </w:r>
    </w:p>
    <w:p w14:paraId="41F3A585">
      <w:pPr>
        <w:pStyle w:val="30"/>
        <w:numPr>
          <w:ilvl w:val="0"/>
          <w:numId w:val="2"/>
        </w:numPr>
        <w:spacing w:before="120" w:after="40"/>
      </w:pPr>
      <w:r>
        <w:rPr>
          <w:b/>
          <w:bCs/>
        </w:rPr>
        <w:t>Please recall the most memorable experience you have had using a generative AI tool at work, whether the outcome was good or bad.</w:t>
      </w:r>
    </w:p>
    <w:p w14:paraId="4432AD4E">
      <w:pPr>
        <w:pStyle w:val="30"/>
        <w:numPr>
          <w:ilvl w:val="1"/>
          <w:numId w:val="2"/>
        </w:numPr>
        <w:spacing w:after="40"/>
      </w:pPr>
      <w:r>
        <w:t>In what situation were you using it at the time? (patient’s condition, type of task, time, place)</w:t>
      </w:r>
    </w:p>
    <w:p w14:paraId="1488FAD9">
      <w:pPr>
        <w:pStyle w:val="30"/>
        <w:numPr>
          <w:ilvl w:val="1"/>
          <w:numId w:val="2"/>
        </w:numPr>
        <w:spacing w:after="40"/>
      </w:pPr>
      <w:r>
        <w:t>What exactly did you ask, and what kind of answer or advice did the AI give?</w:t>
      </w:r>
    </w:p>
    <w:p w14:paraId="01EC16AC">
      <w:pPr>
        <w:pStyle w:val="30"/>
        <w:numPr>
          <w:ilvl w:val="1"/>
          <w:numId w:val="2"/>
        </w:numPr>
        <w:spacing w:after="40"/>
      </w:pPr>
      <w:r>
        <w:t>How did you feel about its response at the time — trust, doubt, surprise, or something else?</w:t>
      </w:r>
    </w:p>
    <w:p w14:paraId="7E130C6D">
      <w:pPr>
        <w:pStyle w:val="30"/>
        <w:numPr>
          <w:ilvl w:val="0"/>
          <w:numId w:val="2"/>
        </w:numPr>
        <w:spacing w:before="120" w:after="40"/>
      </w:pPr>
      <w:r>
        <w:rPr>
          <w:b/>
          <w:bCs/>
        </w:rPr>
        <w:t>After that event, did your level of trust in AI tools change?</w:t>
      </w:r>
    </w:p>
    <w:p w14:paraId="60A9266B">
      <w:pPr>
        <w:pStyle w:val="30"/>
        <w:numPr>
          <w:ilvl w:val="1"/>
          <w:numId w:val="2"/>
        </w:numPr>
        <w:spacing w:after="40"/>
      </w:pPr>
      <w:r>
        <w:t>If so, did it increase, decrease, or change in a more fundamental way?</w:t>
      </w:r>
    </w:p>
    <w:p w14:paraId="1FE89118">
      <w:pPr>
        <w:pStyle w:val="30"/>
        <w:numPr>
          <w:ilvl w:val="1"/>
          <w:numId w:val="2"/>
        </w:numPr>
        <w:spacing w:after="40"/>
      </w:pPr>
      <w:r>
        <w:t>Would you still use AI for similar tasks afterward?</w:t>
      </w:r>
    </w:p>
    <w:p w14:paraId="59EAA067">
      <w:pPr>
        <w:pStyle w:val="30"/>
        <w:numPr>
          <w:ilvl w:val="0"/>
          <w:numId w:val="2"/>
        </w:numPr>
        <w:spacing w:before="120" w:after="40"/>
      </w:pPr>
      <w:r>
        <w:rPr>
          <w:b/>
          <w:bCs/>
        </w:rPr>
        <w:t>Have you ever encountered information from the AI that was clearly wrong or unreasonable (i.e., a “hallucination”)?</w:t>
      </w:r>
    </w:p>
    <w:p w14:paraId="2067048A">
      <w:pPr>
        <w:pStyle w:val="30"/>
        <w:numPr>
          <w:ilvl w:val="1"/>
          <w:numId w:val="2"/>
        </w:numPr>
        <w:spacing w:after="40"/>
      </w:pPr>
      <w:r>
        <w:t>How did you discover the error at the time?</w:t>
      </w:r>
    </w:p>
    <w:p w14:paraId="7BEB0629">
      <w:pPr>
        <w:pStyle w:val="30"/>
        <w:numPr>
          <w:ilvl w:val="1"/>
          <w:numId w:val="2"/>
        </w:numPr>
        <w:spacing w:after="40"/>
      </w:pPr>
      <w:r>
        <w:t>What impact did this have on your later use of AI?</w:t>
      </w:r>
    </w:p>
    <w:p w14:paraId="50EDA3AD">
      <w:pPr>
        <w:pStyle w:val="6"/>
        <w:bidi w:val="0"/>
        <w:rPr>
          <w:rFonts w:hint="default" w:ascii="Times New Roman" w:hAnsi="Times New Roman" w:cs="Times New Roman"/>
        </w:rPr>
      </w:pPr>
      <w:r>
        <w:rPr>
          <w:rFonts w:hint="default" w:ascii="Times New Roman" w:hAnsi="Times New Roman" w:cs="Times New Roman"/>
        </w:rPr>
        <w:t>Module 2: Dynamic Negotiation of Trust (four dimensions)</w:t>
      </w:r>
    </w:p>
    <w:p w14:paraId="5913D9B4">
      <w:pPr>
        <w:pStyle w:val="30"/>
        <w:numPr>
          <w:ilvl w:val="0"/>
          <w:numId w:val="2"/>
        </w:numPr>
        <w:spacing w:before="120" w:after="40"/>
      </w:pPr>
      <w:r>
        <w:rPr>
          <w:b/>
          <w:bCs/>
        </w:rPr>
        <w:t>In your view, how does the AI perform in terms of “professional competence”?</w:t>
      </w:r>
    </w:p>
    <w:p w14:paraId="494EF238">
      <w:pPr>
        <w:pStyle w:val="30"/>
        <w:numPr>
          <w:ilvl w:val="1"/>
          <w:numId w:val="2"/>
        </w:numPr>
        <w:spacing w:after="40"/>
      </w:pPr>
      <w:r>
        <w:t>For which tasks do you find it reliable, and for which tasks is it unreliable?</w:t>
      </w:r>
    </w:p>
    <w:p w14:paraId="79F32435">
      <w:pPr>
        <w:pStyle w:val="30"/>
        <w:numPr>
          <w:ilvl w:val="1"/>
          <w:numId w:val="2"/>
        </w:numPr>
        <w:spacing w:after="40"/>
      </w:pPr>
      <w:r>
        <w:t>Have you developed your own set of “rules of use”? (e.g., which tasks to trust and which not to)</w:t>
      </w:r>
    </w:p>
    <w:p w14:paraId="2FF33A34">
      <w:pPr>
        <w:pStyle w:val="30"/>
        <w:numPr>
          <w:ilvl w:val="0"/>
          <w:numId w:val="2"/>
        </w:numPr>
        <w:spacing w:before="120" w:after="40"/>
      </w:pPr>
      <w:r>
        <w:rPr>
          <w:b/>
          <w:bCs/>
        </w:rPr>
        <w:t>Are you worried that using AI could cause harm to patients? Have you had any such concerns?</w:t>
      </w:r>
    </w:p>
    <w:p w14:paraId="2DE7A279">
      <w:pPr>
        <w:pStyle w:val="30"/>
        <w:numPr>
          <w:ilvl w:val="1"/>
          <w:numId w:val="2"/>
        </w:numPr>
        <w:spacing w:after="40"/>
      </w:pPr>
      <w:r>
        <w:t>Have you ever refused to adopt the AI’s advice out of concern about harming a patient?</w:t>
      </w:r>
    </w:p>
    <w:p w14:paraId="25942112">
      <w:pPr>
        <w:pStyle w:val="30"/>
        <w:numPr>
          <w:ilvl w:val="0"/>
          <w:numId w:val="2"/>
        </w:numPr>
        <w:spacing w:before="120" w:after="40"/>
      </w:pPr>
      <w:r>
        <w:rPr>
          <w:b/>
          <w:bCs/>
        </w:rPr>
        <w:t>When patients or family members are present, would you use AI in front of them? Why or why not?</w:t>
      </w:r>
    </w:p>
    <w:p w14:paraId="61C8F2AC">
      <w:pPr>
        <w:pStyle w:val="30"/>
        <w:numPr>
          <w:ilvl w:val="1"/>
          <w:numId w:val="2"/>
        </w:numPr>
        <w:spacing w:after="40"/>
      </w:pPr>
      <w:r>
        <w:t>Are you concerned that this might affect patients’ trust in you?</w:t>
      </w:r>
    </w:p>
    <w:p w14:paraId="11BD44D9">
      <w:pPr>
        <w:pStyle w:val="30"/>
        <w:numPr>
          <w:ilvl w:val="0"/>
          <w:numId w:val="2"/>
        </w:numPr>
        <w:spacing w:before="120" w:after="40"/>
      </w:pPr>
      <w:r>
        <w:rPr>
          <w:b/>
          <w:bCs/>
        </w:rPr>
        <w:t>Are you concerned that AI might replace or weaken your own professional judgment?</w:t>
      </w:r>
    </w:p>
    <w:p w14:paraId="11D6834A">
      <w:pPr>
        <w:pStyle w:val="30"/>
        <w:numPr>
          <w:ilvl w:val="1"/>
          <w:numId w:val="2"/>
        </w:numPr>
        <w:spacing w:after="40"/>
      </w:pPr>
      <w:r>
        <w:t>Have there been moments when you deliberately chose “not to use AI” in order to preserve your own decision-making authority?</w:t>
      </w:r>
    </w:p>
    <w:p w14:paraId="2F7A970C">
      <w:pPr>
        <w:pStyle w:val="6"/>
        <w:bidi w:val="0"/>
        <w:rPr>
          <w:rFonts w:hint="default" w:ascii="Times New Roman" w:hAnsi="Times New Roman" w:cs="Times New Roman"/>
        </w:rPr>
      </w:pPr>
      <w:r>
        <w:rPr>
          <w:rFonts w:hint="default" w:ascii="Times New Roman" w:hAnsi="Times New Roman" w:cs="Times New Roman"/>
        </w:rPr>
        <w:t>Module 3: Social and Organizational Context</w:t>
      </w:r>
    </w:p>
    <w:p w14:paraId="0B091A67">
      <w:pPr>
        <w:pStyle w:val="30"/>
        <w:numPr>
          <w:ilvl w:val="0"/>
          <w:numId w:val="2"/>
        </w:numPr>
        <w:spacing w:before="120" w:after="40"/>
      </w:pPr>
      <w:r>
        <w:rPr>
          <w:b/>
          <w:bCs/>
        </w:rPr>
        <w:t>In your department or hospital, are there any explicit rules or attitudes regarding nurses’ use of AI?</w:t>
      </w:r>
    </w:p>
    <w:p w14:paraId="71D993F6">
      <w:pPr>
        <w:pStyle w:val="30"/>
        <w:numPr>
          <w:ilvl w:val="1"/>
          <w:numId w:val="2"/>
        </w:numPr>
        <w:spacing w:after="40"/>
      </w:pPr>
      <w:r>
        <w:t>How do leaders (e.g., the head nurse or department director) view the use of AI?</w:t>
      </w:r>
    </w:p>
    <w:p w14:paraId="06D6573D">
      <w:pPr>
        <w:pStyle w:val="30"/>
        <w:numPr>
          <w:ilvl w:val="1"/>
          <w:numId w:val="2"/>
        </w:numPr>
        <w:spacing w:after="40"/>
      </w:pPr>
      <w:r>
        <w:t>Have you ever changed the way you use AI out of concern about how your superiors might view it?</w:t>
      </w:r>
    </w:p>
    <w:p w14:paraId="2C813A56">
      <w:pPr>
        <w:pStyle w:val="30"/>
        <w:numPr>
          <w:ilvl w:val="0"/>
          <w:numId w:val="2"/>
        </w:numPr>
        <w:spacing w:before="120" w:after="40"/>
      </w:pPr>
      <w:r>
        <w:rPr>
          <w:b/>
          <w:bCs/>
        </w:rPr>
        <w:t>Have you discussed your experiences of using AI with other nurses?</w:t>
      </w:r>
    </w:p>
    <w:p w14:paraId="4DD714BA">
      <w:pPr>
        <w:pStyle w:val="30"/>
        <w:numPr>
          <w:ilvl w:val="1"/>
          <w:numId w:val="2"/>
        </w:numPr>
        <w:spacing w:after="40"/>
      </w:pPr>
      <w:r>
        <w:t>Has something a colleague shared ever clearly changed your trust in AI or the way you use it?</w:t>
      </w:r>
    </w:p>
    <w:p w14:paraId="5CDED15B">
      <w:pPr>
        <w:pStyle w:val="6"/>
        <w:bidi w:val="0"/>
        <w:rPr>
          <w:rFonts w:hint="default" w:ascii="Times New Roman" w:hAnsi="Times New Roman" w:cs="Times New Roman"/>
        </w:rPr>
      </w:pPr>
      <w:r>
        <w:rPr>
          <w:rFonts w:hint="default" w:ascii="Times New Roman" w:hAnsi="Times New Roman" w:cs="Times New Roman"/>
        </w:rPr>
        <w:t>Module 4: Professional Identity and Future Development</w:t>
      </w:r>
    </w:p>
    <w:p w14:paraId="0C0330DA">
      <w:pPr>
        <w:pStyle w:val="30"/>
        <w:numPr>
          <w:ilvl w:val="0"/>
          <w:numId w:val="2"/>
        </w:numPr>
        <w:spacing w:before="120" w:after="40"/>
      </w:pPr>
      <w:r>
        <w:rPr>
          <w:b/>
          <w:bCs/>
        </w:rPr>
        <w:t>How do you see your own role in using AI?</w:t>
      </w:r>
    </w:p>
    <w:p w14:paraId="65F47F1B">
      <w:pPr>
        <w:pStyle w:val="30"/>
        <w:numPr>
          <w:ilvl w:val="1"/>
          <w:numId w:val="2"/>
        </w:numPr>
        <w:spacing w:after="40"/>
      </w:pPr>
      <w:r>
        <w:t>Do you tend to regard it as a “tool,” an “assistant,” or a “collaborator”?</w:t>
      </w:r>
    </w:p>
    <w:p w14:paraId="6C8227F3">
      <w:pPr>
        <w:pStyle w:val="30"/>
        <w:numPr>
          <w:ilvl w:val="1"/>
          <w:numId w:val="2"/>
        </w:numPr>
        <w:spacing w:after="40"/>
      </w:pPr>
      <w:r>
        <w:t>Do you feel that your professional identity is changing because of AI?</w:t>
      </w:r>
    </w:p>
    <w:p w14:paraId="72542E95">
      <w:pPr>
        <w:pStyle w:val="30"/>
        <w:numPr>
          <w:ilvl w:val="0"/>
          <w:numId w:val="2"/>
        </w:numPr>
        <w:spacing w:before="120" w:after="40"/>
      </w:pPr>
      <w:r>
        <w:rPr>
          <w:b/>
          <w:bCs/>
        </w:rPr>
        <w:t>If you could give one most important piece of advice to hospitals or AI developers, what would it be?</w:t>
      </w:r>
    </w:p>
    <w:p w14:paraId="572FD834">
      <w:pPr>
        <w:pStyle w:val="5"/>
        <w:bidi w:val="0"/>
      </w:pPr>
      <w:r>
        <w:t>Part IV. Closing Remarks</w:t>
      </w:r>
    </w:p>
    <w:p w14:paraId="2A8C9275">
      <w:pPr>
        <w:spacing w:after="0"/>
        <w:jc w:val="both"/>
      </w:pPr>
      <w:r>
        <w:rPr>
          <w:i w:val="0"/>
          <w:iCs w:val="0"/>
        </w:rPr>
        <w:t>Thank you for sharing so many valuable experienc</w:t>
      </w:r>
      <w:bookmarkStart w:id="0" w:name="_GoBack"/>
      <w:bookmarkEnd w:id="0"/>
      <w:r>
        <w:rPr>
          <w:i w:val="0"/>
          <w:iCs w:val="0"/>
        </w:rPr>
        <w:t>es. Finally, is there anything else you would like to add, or any other questions you would like our study to explore?</w:t>
      </w:r>
    </w:p>
    <w:p w14:paraId="79CCC1BC">
      <w:pPr>
        <w:keepLines w:val="0"/>
        <w:pageBreakBefore w:val="0"/>
        <w:kinsoku/>
        <w:wordWrap/>
        <w:overflowPunct/>
        <w:topLinePunct w:val="0"/>
        <w:autoSpaceDE/>
        <w:autoSpaceDN/>
        <w:bidi w:val="0"/>
        <w:adjustRightInd/>
        <w:snapToGrid/>
        <w:spacing w:before="60" w:after="140" w:line="230" w:lineRule="auto"/>
        <w:ind w:firstLine="0" w:firstLineChars="0"/>
        <w:jc w:val="both"/>
        <w:textAlignment w:val="auto"/>
        <w:rPr>
          <w:rFonts w:ascii="Times New Roman" w:hAnsi="Times New Roman" w:eastAsia="Times New Roman" w:cs="Times New Roman"/>
          <w:b w:val="0"/>
          <w:bCs w:val="0"/>
          <w:i/>
          <w:iCs/>
          <w:color w:val="555555"/>
          <w:sz w:val="17"/>
          <w:szCs w:val="17"/>
        </w:rPr>
      </w:pPr>
    </w:p>
    <w:p w14:paraId="4090C5BC"/>
    <w:p w14:paraId="4A6EF0FE">
      <w:r>
        <w:br w:type="page"/>
      </w:r>
    </w:p>
    <w:p w14:paraId="30451334">
      <w:pPr>
        <w:pStyle w:val="3"/>
        <w:rPr>
          <w:rFonts w:ascii="Times New Roman" w:hAnsi="Times New Roman" w:eastAsia="Times New Roman" w:cs="Times New Roman"/>
          <w:b/>
          <w:bCs/>
          <w:color w:val="1F3A5F"/>
          <w:sz w:val="26"/>
          <w:szCs w:val="26"/>
          <w:lang w:val="en-US" w:eastAsia="zh-CN" w:bidi="ar-SA"/>
        </w:rPr>
      </w:pPr>
      <w:r>
        <w:rPr>
          <w:rFonts w:ascii="Times New Roman" w:hAnsi="Times New Roman" w:eastAsia="Times New Roman" w:cs="Times New Roman"/>
          <w:b/>
          <w:bCs/>
          <w:color w:val="1F3A5F"/>
          <w:sz w:val="26"/>
          <w:szCs w:val="26"/>
        </w:rPr>
        <w:t xml:space="preserve">Appendix S4. </w:t>
      </w:r>
      <w:r>
        <w:rPr>
          <w:rFonts w:ascii="Times New Roman" w:hAnsi="Times New Roman" w:eastAsia="Times New Roman" w:cs="Times New Roman"/>
          <w:b/>
          <w:bCs/>
          <w:color w:val="1F3A5F"/>
          <w:sz w:val="26"/>
          <w:szCs w:val="26"/>
          <w:lang w:val="en-US" w:eastAsia="zh-CN" w:bidi="ar-SA"/>
        </w:rPr>
        <w:t>The Trust Negotiation Configuration Model (TNCM): configuration details</w:t>
      </w:r>
    </w:p>
    <w:p w14:paraId="73DE8DDD">
      <w:r>
        <w:t>The three themes showed systematic mutual moderation in the data. Theme 1 (competence appraisal) characterises nurses' judgement of the trustworthiness of AI output; when that judgement reveals a competence boundary (such as a hallucination), the tensions of Theme 2 (ethics–relationship–autonomy) are activated — nurses must decide under what conditions and in what manner to continue using AI while protecting the patient relationship and professional autonomy. Theme 3 (organisational ecology) further moderates how Themes 1 and 2 unfold: in the absence of institutional guidance, competence appraisal depends more on individual experience; hierarchical culture shapes the visibility of ethical expression; and peer networks become carriers of distributed trust calibration.</w:t>
      </w:r>
    </w:p>
    <w:p w14:paraId="3B075ADD">
      <w:r>
        <w:t>The TNCM depicts five configurations of trust negotiation observed in cross-sectional data (configurations, not temporal stages):</w:t>
      </w:r>
    </w:p>
    <w:p w14:paraId="6306C83D">
      <w:r>
        <w:t>1. Observational stance (curious-but-non-using): curious but not yet using.</w:t>
      </w:r>
    </w:p>
    <w:p w14:paraId="2E73457F">
      <w:r>
        <w:t>2. Exploratory use: initial awe coexisting with verification.</w:t>
      </w:r>
    </w:p>
    <w:p w14:paraId="4E90824D">
      <w:r>
        <w:t>3. Impact-and-repair: trust rebuilding after a hallucination incident.</w:t>
      </w:r>
    </w:p>
    <w:p w14:paraId="51BC86C1">
      <w:r>
        <w:t>4. Task-specific reliance: task-specific stratification and formation of a trust map.</w:t>
      </w:r>
    </w:p>
    <w:p w14:paraId="4B3065A6">
      <w:r>
        <w:t>5. Critical co-judgment: the identity position of 'co-judge'.</w:t>
      </w:r>
    </w:p>
    <w:p w14:paraId="47BF2397">
      <w:r>
        <w:t>Structural relationships exist among the configurations (in Figure 1, links between configurations denote position shifts reported in participants' retrospective narratives; the loop from impact-and-repair back to exploratory use reflects that hallucination incidents typically triggered a return to verification-based use rather than wholesale abandonment). These position shifts are based on cross-sectional retrospective narratives and do not constitute an empirical claim about longitudinal developmental trajectories. Four contextual moderators — individual factors, peer networks, organisational institutions and specialty risk — appeared across all configurations. One mechanism recurred across configurations with relatively consistent evidence: gradient calibration; a gradual, domain-specific repair of trust after hallucination incidents was also observed, with more limited evidence.</w:t>
      </w:r>
    </w:p>
    <w:p w14:paraId="7265EA64">
      <w:r>
        <w:br w:type="page"/>
      </w:r>
    </w:p>
    <w:p w14:paraId="190821E5">
      <w:pPr>
        <w:pStyle w:val="3"/>
        <w:rPr>
          <w:lang w:val="en-US" w:eastAsia="zh-CN"/>
        </w:rPr>
      </w:pPr>
      <w:r>
        <w:t>Appendix S5</w:t>
      </w:r>
      <w:r>
        <w:rPr>
          <w:rFonts w:hint="eastAsia"/>
          <w:lang w:val="en-US" w:eastAsia="zh-CN"/>
        </w:rPr>
        <w:t xml:space="preserve">. </w:t>
      </w:r>
      <w:r>
        <w:rPr>
          <w:lang w:val="en-US" w:eastAsia="zh-CN"/>
        </w:rPr>
        <w:t>Worked example: from initial codes to themes</w:t>
      </w:r>
    </w:p>
    <w:p w14:paraId="3F7E69A8">
      <w:r>
        <w:t>This table illustrates how initial open codes were clustered into candidate subthemes and final themes, using three worked examples. Initial coding was open and line-by-line; the TN-NAI propositions were consulted only after initial codes had been generated.</w:t>
      </w:r>
    </w:p>
    <w:tbl>
      <w:tblPr>
        <w:tblStyle w:val="10"/>
        <w:tblW w:w="5000" w:type="pct"/>
        <w:jc w:val="center"/>
        <w:tblLayout w:type="autofit"/>
        <w:tblCellMar>
          <w:top w:w="0" w:type="dxa"/>
          <w:left w:w="108" w:type="dxa"/>
          <w:bottom w:w="0" w:type="dxa"/>
          <w:right w:w="108" w:type="dxa"/>
        </w:tblCellMar>
      </w:tblPr>
      <w:tblGrid>
        <w:gridCol w:w="4004"/>
        <w:gridCol w:w="1211"/>
        <w:gridCol w:w="2201"/>
        <w:gridCol w:w="2160"/>
      </w:tblGrid>
      <w:tr w14:paraId="32183224">
        <w:tblPrEx>
          <w:tblCellMar>
            <w:top w:w="0" w:type="dxa"/>
            <w:left w:w="108" w:type="dxa"/>
            <w:bottom w:w="0" w:type="dxa"/>
            <w:right w:w="108" w:type="dxa"/>
          </w:tblCellMar>
        </w:tblPrEx>
        <w:trPr>
          <w:trHeight w:val="0" w:hRule="atLeast"/>
          <w:tblHeader/>
          <w:jc w:val="center"/>
        </w:trPr>
        <w:tc>
          <w:tcPr>
            <w:tcW w:w="2090" w:type="pct"/>
            <w:tcBorders>
              <w:top w:val="nil"/>
              <w:left w:val="nil"/>
              <w:bottom w:val="nil"/>
              <w:right w:val="nil"/>
            </w:tcBorders>
            <w:shd w:val="clear" w:color="auto" w:fill="4874CB" w:themeFill="accent1"/>
            <w:noWrap w:val="0"/>
            <w:tcMar>
              <w:top w:w="-1" w:type="dxa"/>
              <w:left w:w="-1" w:type="dxa"/>
              <w:bottom w:w="-1" w:type="dxa"/>
              <w:right w:w="-1" w:type="dxa"/>
            </w:tcMar>
            <w:vAlign w:val="center"/>
          </w:tcPr>
          <w:p w14:paraId="070534DA">
            <w:pPr>
              <w:snapToGrid w:val="0"/>
              <w:spacing w:line="240" w:lineRule="auto"/>
              <w:ind w:left="0" w:leftChars="0" w:right="0" w:rightChars="0" w:firstLine="0" w:firstLineChars="0"/>
              <w:jc w:val="center"/>
              <w:rPr>
                <w:b/>
                <w:i w:val="0"/>
                <w:color w:val="FFFFFF"/>
              </w:rPr>
            </w:pPr>
            <w:r>
              <w:rPr>
                <w:b/>
                <w:i w:val="0"/>
                <w:color w:val="FFFFFF"/>
              </w:rPr>
              <w:t>Initial codes (examples)</w:t>
            </w:r>
          </w:p>
        </w:tc>
        <w:tc>
          <w:tcPr>
            <w:tcW w:w="632" w:type="pct"/>
            <w:tcBorders>
              <w:top w:val="nil"/>
              <w:left w:val="nil"/>
              <w:bottom w:val="nil"/>
              <w:right w:val="nil"/>
            </w:tcBorders>
            <w:shd w:val="clear" w:color="auto" w:fill="4874CB" w:themeFill="accent1"/>
            <w:noWrap w:val="0"/>
            <w:tcMar>
              <w:top w:w="-1" w:type="dxa"/>
              <w:left w:w="-1" w:type="dxa"/>
              <w:bottom w:w="-1" w:type="dxa"/>
              <w:right w:w="-1" w:type="dxa"/>
            </w:tcMar>
            <w:vAlign w:val="center"/>
          </w:tcPr>
          <w:p w14:paraId="10225077">
            <w:pPr>
              <w:snapToGrid w:val="0"/>
              <w:spacing w:line="240" w:lineRule="auto"/>
              <w:ind w:left="0" w:leftChars="0" w:right="0" w:rightChars="0" w:firstLine="0" w:firstLineChars="0"/>
              <w:jc w:val="center"/>
              <w:rPr>
                <w:b/>
                <w:i w:val="0"/>
                <w:color w:val="FFFFFF"/>
              </w:rPr>
            </w:pPr>
            <w:r>
              <w:rPr>
                <w:b/>
                <w:i w:val="0"/>
                <w:color w:val="FFFFFF"/>
              </w:rPr>
              <w:t>Source incidents</w:t>
            </w:r>
          </w:p>
        </w:tc>
        <w:tc>
          <w:tcPr>
            <w:tcW w:w="1149" w:type="pct"/>
            <w:tcBorders>
              <w:top w:val="nil"/>
              <w:left w:val="nil"/>
              <w:bottom w:val="nil"/>
              <w:right w:val="nil"/>
            </w:tcBorders>
            <w:shd w:val="clear" w:color="auto" w:fill="4874CB" w:themeFill="accent1"/>
            <w:noWrap w:val="0"/>
            <w:tcMar>
              <w:top w:w="-1" w:type="dxa"/>
              <w:left w:w="-1" w:type="dxa"/>
              <w:bottom w:w="-1" w:type="dxa"/>
              <w:right w:w="-1" w:type="dxa"/>
            </w:tcMar>
            <w:vAlign w:val="center"/>
          </w:tcPr>
          <w:p w14:paraId="6551FE1E">
            <w:pPr>
              <w:snapToGrid w:val="0"/>
              <w:spacing w:line="240" w:lineRule="auto"/>
              <w:ind w:left="0" w:leftChars="0" w:right="0" w:rightChars="0" w:firstLine="0" w:firstLineChars="0"/>
              <w:jc w:val="center"/>
              <w:rPr>
                <w:b/>
                <w:i w:val="0"/>
                <w:color w:val="FFFFFF"/>
              </w:rPr>
            </w:pPr>
            <w:r>
              <w:rPr>
                <w:b/>
                <w:i w:val="0"/>
                <w:color w:val="FFFFFF"/>
              </w:rPr>
              <w:t>Candidate subtheme</w:t>
            </w:r>
          </w:p>
        </w:tc>
        <w:tc>
          <w:tcPr>
            <w:tcW w:w="1127" w:type="pct"/>
            <w:tcBorders>
              <w:top w:val="nil"/>
              <w:left w:val="nil"/>
              <w:bottom w:val="nil"/>
              <w:right w:val="nil"/>
            </w:tcBorders>
            <w:shd w:val="clear" w:color="auto" w:fill="4874CB" w:themeFill="accent1"/>
            <w:noWrap w:val="0"/>
            <w:tcMar>
              <w:top w:w="-1" w:type="dxa"/>
              <w:left w:w="-1" w:type="dxa"/>
              <w:bottom w:w="-1" w:type="dxa"/>
              <w:right w:w="-1" w:type="dxa"/>
            </w:tcMar>
            <w:vAlign w:val="center"/>
          </w:tcPr>
          <w:p w14:paraId="72425C4E">
            <w:pPr>
              <w:snapToGrid w:val="0"/>
              <w:spacing w:line="240" w:lineRule="auto"/>
              <w:ind w:left="0" w:leftChars="0" w:right="0" w:rightChars="0" w:firstLine="0" w:firstLineChars="0"/>
              <w:jc w:val="center"/>
              <w:rPr>
                <w:b/>
                <w:i w:val="0"/>
                <w:color w:val="FFFFFF"/>
              </w:rPr>
            </w:pPr>
            <w:r>
              <w:rPr>
                <w:b/>
                <w:i w:val="0"/>
                <w:color w:val="FFFFFF"/>
              </w:rPr>
              <w:t>Final theme</w:t>
            </w:r>
          </w:p>
        </w:tc>
      </w:tr>
      <w:tr w14:paraId="7475CC38">
        <w:tblPrEx>
          <w:tblCellMar>
            <w:top w:w="0" w:type="dxa"/>
            <w:left w:w="108" w:type="dxa"/>
            <w:bottom w:w="0" w:type="dxa"/>
            <w:right w:w="108" w:type="dxa"/>
          </w:tblCellMar>
        </w:tblPrEx>
        <w:trPr>
          <w:trHeight w:val="0" w:hRule="atLeast"/>
          <w:jc w:val="center"/>
        </w:trPr>
        <w:tc>
          <w:tcPr>
            <w:tcW w:w="2090" w:type="pct"/>
            <w:tcBorders>
              <w:top w:val="nil"/>
              <w:left w:val="nil"/>
              <w:bottom w:val="nil"/>
              <w:right w:val="nil"/>
            </w:tcBorders>
            <w:shd w:val="clear" w:color="auto" w:fill="FFFFFF"/>
            <w:noWrap w:val="0"/>
            <w:tcMar>
              <w:top w:w="-1" w:type="dxa"/>
              <w:left w:w="-1" w:type="dxa"/>
              <w:bottom w:w="-1" w:type="dxa"/>
              <w:right w:w="-1" w:type="dxa"/>
            </w:tcMar>
            <w:vAlign w:val="center"/>
          </w:tcPr>
          <w:p w14:paraId="00CA2C01">
            <w:pPr>
              <w:snapToGrid w:val="0"/>
              <w:spacing w:line="240" w:lineRule="auto"/>
              <w:ind w:left="0" w:leftChars="0" w:right="0" w:rightChars="0" w:firstLine="0" w:firstLineChars="0"/>
              <w:jc w:val="center"/>
              <w:rPr>
                <w:b w:val="0"/>
                <w:i w:val="0"/>
                <w:color w:val="000000"/>
              </w:rPr>
            </w:pPr>
            <w:r>
              <w:rPr>
                <w:b w:val="0"/>
                <w:i w:val="0"/>
                <w:color w:val="000000"/>
              </w:rPr>
              <w:t>'checking the AI-suggested atropine concentration against the package insert'; 'a fabricated ophthalmic reference with plausible format'; 'fundus-lesion description not matching the image'</w:t>
            </w:r>
          </w:p>
        </w:tc>
        <w:tc>
          <w:tcPr>
            <w:tcW w:w="632" w:type="pct"/>
            <w:tcBorders>
              <w:top w:val="nil"/>
              <w:left w:val="nil"/>
              <w:bottom w:val="nil"/>
              <w:right w:val="nil"/>
            </w:tcBorders>
            <w:shd w:val="clear" w:color="auto" w:fill="FFFFFF"/>
            <w:noWrap w:val="0"/>
            <w:tcMar>
              <w:top w:w="-1" w:type="dxa"/>
              <w:left w:w="-1" w:type="dxa"/>
              <w:bottom w:w="-1" w:type="dxa"/>
              <w:right w:w="-1" w:type="dxa"/>
            </w:tcMar>
            <w:vAlign w:val="center"/>
          </w:tcPr>
          <w:p w14:paraId="69BEC93C">
            <w:pPr>
              <w:snapToGrid w:val="0"/>
              <w:spacing w:line="240" w:lineRule="auto"/>
              <w:ind w:left="0" w:leftChars="0" w:right="0" w:rightChars="0" w:firstLine="0" w:firstLineChars="0"/>
              <w:jc w:val="center"/>
              <w:rPr>
                <w:b w:val="0"/>
                <w:i w:val="0"/>
                <w:color w:val="000000"/>
              </w:rPr>
            </w:pPr>
            <w:r>
              <w:rPr>
                <w:b w:val="0"/>
                <w:i w:val="0"/>
                <w:color w:val="000000"/>
              </w:rPr>
              <w:t>PE-02, HA-03, HA-01</w:t>
            </w:r>
          </w:p>
        </w:tc>
        <w:tc>
          <w:tcPr>
            <w:tcW w:w="1149" w:type="pct"/>
            <w:tcBorders>
              <w:top w:val="nil"/>
              <w:left w:val="nil"/>
              <w:bottom w:val="nil"/>
              <w:right w:val="nil"/>
            </w:tcBorders>
            <w:shd w:val="clear" w:color="auto" w:fill="FFFFFF"/>
            <w:noWrap w:val="0"/>
            <w:tcMar>
              <w:top w:w="-1" w:type="dxa"/>
              <w:left w:w="-1" w:type="dxa"/>
              <w:bottom w:w="-1" w:type="dxa"/>
              <w:right w:w="-1" w:type="dxa"/>
            </w:tcMar>
            <w:vAlign w:val="center"/>
          </w:tcPr>
          <w:p w14:paraId="425AEBC1">
            <w:pPr>
              <w:snapToGrid w:val="0"/>
              <w:spacing w:line="240" w:lineRule="auto"/>
              <w:ind w:left="0" w:leftChars="0" w:right="0" w:rightChars="0" w:firstLine="0" w:firstLineChars="0"/>
              <w:jc w:val="center"/>
              <w:rPr>
                <w:b w:val="0"/>
                <w:i w:val="0"/>
                <w:color w:val="000000"/>
              </w:rPr>
            </w:pPr>
            <w:r>
              <w:rPr>
                <w:b w:val="0"/>
                <w:i w:val="0"/>
                <w:color w:val="000000"/>
              </w:rPr>
              <w:t>Hallucination incidents as trust turning points (1.2)</w:t>
            </w:r>
          </w:p>
        </w:tc>
        <w:tc>
          <w:tcPr>
            <w:tcW w:w="1127" w:type="pct"/>
            <w:tcBorders>
              <w:top w:val="nil"/>
              <w:left w:val="nil"/>
              <w:bottom w:val="nil"/>
              <w:right w:val="nil"/>
            </w:tcBorders>
            <w:shd w:val="clear" w:color="auto" w:fill="FFFFFF"/>
            <w:noWrap w:val="0"/>
            <w:tcMar>
              <w:top w:w="-1" w:type="dxa"/>
              <w:left w:w="-1" w:type="dxa"/>
              <w:bottom w:w="-1" w:type="dxa"/>
              <w:right w:w="-1" w:type="dxa"/>
            </w:tcMar>
            <w:vAlign w:val="center"/>
          </w:tcPr>
          <w:p w14:paraId="6BB8BBBA">
            <w:pPr>
              <w:snapToGrid w:val="0"/>
              <w:spacing w:line="240" w:lineRule="auto"/>
              <w:ind w:left="0" w:leftChars="0" w:right="0" w:rightChars="0" w:firstLine="0" w:firstLineChars="0"/>
              <w:jc w:val="center"/>
              <w:rPr>
                <w:b w:val="0"/>
                <w:i w:val="0"/>
                <w:color w:val="000000"/>
              </w:rPr>
            </w:pPr>
            <w:r>
              <w:rPr>
                <w:b w:val="0"/>
                <w:i w:val="0"/>
                <w:color w:val="000000"/>
              </w:rPr>
              <w:t>Theme 1: Tentative approach — competence appraisal</w:t>
            </w:r>
          </w:p>
        </w:tc>
      </w:tr>
      <w:tr w14:paraId="5B2E77BC">
        <w:tblPrEx>
          <w:tblCellMar>
            <w:top w:w="0" w:type="dxa"/>
            <w:left w:w="108" w:type="dxa"/>
            <w:bottom w:w="0" w:type="dxa"/>
            <w:right w:w="108" w:type="dxa"/>
          </w:tblCellMar>
        </w:tblPrEx>
        <w:trPr>
          <w:trHeight w:val="0" w:hRule="atLeast"/>
          <w:jc w:val="center"/>
        </w:trPr>
        <w:tc>
          <w:tcPr>
            <w:tcW w:w="2090" w:type="pct"/>
            <w:tcBorders>
              <w:top w:val="nil"/>
              <w:left w:val="nil"/>
              <w:bottom w:val="nil"/>
              <w:right w:val="nil"/>
            </w:tcBorders>
            <w:shd w:val="clear" w:color="auto" w:fill="EDF1F9" w:themeFill="accent1" w:themeFillTint="19"/>
            <w:noWrap w:val="0"/>
            <w:tcMar>
              <w:top w:w="-1" w:type="dxa"/>
              <w:left w:w="-1" w:type="dxa"/>
              <w:bottom w:w="-1" w:type="dxa"/>
              <w:right w:w="-1" w:type="dxa"/>
            </w:tcMar>
            <w:vAlign w:val="center"/>
          </w:tcPr>
          <w:p w14:paraId="690A5F6A">
            <w:pPr>
              <w:snapToGrid w:val="0"/>
              <w:spacing w:line="240" w:lineRule="auto"/>
              <w:ind w:left="0" w:leftChars="0" w:right="0" w:rightChars="0" w:firstLine="0" w:firstLineChars="0"/>
              <w:jc w:val="center"/>
              <w:rPr>
                <w:b w:val="0"/>
                <w:i w:val="0"/>
                <w:color w:val="000000"/>
              </w:rPr>
            </w:pPr>
            <w:r>
              <w:rPr>
                <w:b w:val="0"/>
                <w:i w:val="0"/>
                <w:color w:val="000000"/>
              </w:rPr>
              <w:t>'putting the phone away when the patient is present'; 'checking at the nurses' station and returning to answer'; 'AI should help behind the scenes'</w:t>
            </w:r>
          </w:p>
        </w:tc>
        <w:tc>
          <w:tcPr>
            <w:tcW w:w="632" w:type="pct"/>
            <w:tcBorders>
              <w:top w:val="nil"/>
              <w:left w:val="nil"/>
              <w:bottom w:val="nil"/>
              <w:right w:val="nil"/>
            </w:tcBorders>
            <w:shd w:val="clear" w:color="auto" w:fill="EDF1F9" w:themeFill="accent1" w:themeFillTint="19"/>
            <w:noWrap w:val="0"/>
            <w:tcMar>
              <w:top w:w="-1" w:type="dxa"/>
              <w:left w:w="-1" w:type="dxa"/>
              <w:bottom w:w="-1" w:type="dxa"/>
              <w:right w:w="-1" w:type="dxa"/>
            </w:tcMar>
            <w:vAlign w:val="center"/>
          </w:tcPr>
          <w:p w14:paraId="1EBE36DA">
            <w:pPr>
              <w:snapToGrid w:val="0"/>
              <w:spacing w:line="240" w:lineRule="auto"/>
              <w:ind w:left="0" w:leftChars="0" w:right="0" w:rightChars="0" w:firstLine="0" w:firstLineChars="0"/>
              <w:jc w:val="center"/>
              <w:rPr>
                <w:b w:val="0"/>
                <w:i w:val="0"/>
                <w:color w:val="000000"/>
              </w:rPr>
            </w:pPr>
            <w:r>
              <w:rPr>
                <w:b w:val="0"/>
                <w:i w:val="0"/>
                <w:color w:val="000000"/>
              </w:rPr>
              <w:t>RE-01, RE-02</w:t>
            </w:r>
          </w:p>
        </w:tc>
        <w:tc>
          <w:tcPr>
            <w:tcW w:w="1149" w:type="pct"/>
            <w:tcBorders>
              <w:top w:val="nil"/>
              <w:left w:val="nil"/>
              <w:bottom w:val="nil"/>
              <w:right w:val="nil"/>
            </w:tcBorders>
            <w:shd w:val="clear" w:color="auto" w:fill="EDF1F9" w:themeFill="accent1" w:themeFillTint="19"/>
            <w:noWrap w:val="0"/>
            <w:tcMar>
              <w:top w:w="-1" w:type="dxa"/>
              <w:left w:w="-1" w:type="dxa"/>
              <w:bottom w:w="-1" w:type="dxa"/>
              <w:right w:w="-1" w:type="dxa"/>
            </w:tcMar>
            <w:vAlign w:val="center"/>
          </w:tcPr>
          <w:p w14:paraId="62F8D809">
            <w:pPr>
              <w:snapToGrid w:val="0"/>
              <w:spacing w:line="240" w:lineRule="auto"/>
              <w:ind w:left="0" w:leftChars="0" w:right="0" w:rightChars="0" w:firstLine="0" w:firstLineChars="0"/>
              <w:jc w:val="center"/>
              <w:rPr>
                <w:b w:val="0"/>
                <w:i w:val="0"/>
                <w:color w:val="000000"/>
              </w:rPr>
            </w:pPr>
            <w:r>
              <w:rPr>
                <w:b w:val="0"/>
                <w:i w:val="0"/>
                <w:color w:val="000000"/>
              </w:rPr>
              <w:t>The relational-trust dilemma when the patient is present (2.2)</w:t>
            </w:r>
          </w:p>
        </w:tc>
        <w:tc>
          <w:tcPr>
            <w:tcW w:w="1127" w:type="pct"/>
            <w:tcBorders>
              <w:top w:val="nil"/>
              <w:left w:val="nil"/>
              <w:bottom w:val="nil"/>
              <w:right w:val="nil"/>
            </w:tcBorders>
            <w:shd w:val="clear" w:color="auto" w:fill="EDF1F9" w:themeFill="accent1" w:themeFillTint="19"/>
            <w:noWrap w:val="0"/>
            <w:tcMar>
              <w:top w:w="-1" w:type="dxa"/>
              <w:left w:w="-1" w:type="dxa"/>
              <w:bottom w:w="-1" w:type="dxa"/>
              <w:right w:w="-1" w:type="dxa"/>
            </w:tcMar>
            <w:vAlign w:val="center"/>
          </w:tcPr>
          <w:p w14:paraId="7E3F08FF">
            <w:pPr>
              <w:snapToGrid w:val="0"/>
              <w:spacing w:line="240" w:lineRule="auto"/>
              <w:ind w:left="0" w:leftChars="0" w:right="0" w:rightChars="0" w:firstLine="0" w:firstLineChars="0"/>
              <w:jc w:val="center"/>
              <w:rPr>
                <w:b w:val="0"/>
                <w:i w:val="0"/>
                <w:color w:val="000000"/>
              </w:rPr>
            </w:pPr>
            <w:r>
              <w:rPr>
                <w:b w:val="0"/>
                <w:i w:val="0"/>
                <w:color w:val="000000"/>
              </w:rPr>
              <w:t>Theme 2: Guarding professional boundaries</w:t>
            </w:r>
          </w:p>
        </w:tc>
      </w:tr>
      <w:tr w14:paraId="745B72B9">
        <w:tblPrEx>
          <w:tblCellMar>
            <w:top w:w="0" w:type="dxa"/>
            <w:left w:w="108" w:type="dxa"/>
            <w:bottom w:w="0" w:type="dxa"/>
            <w:right w:w="108" w:type="dxa"/>
          </w:tblCellMar>
        </w:tblPrEx>
        <w:trPr>
          <w:trHeight w:val="0" w:hRule="atLeast"/>
          <w:jc w:val="center"/>
        </w:trPr>
        <w:tc>
          <w:tcPr>
            <w:tcW w:w="2090" w:type="pct"/>
            <w:tcBorders>
              <w:top w:val="nil"/>
              <w:left w:val="nil"/>
              <w:bottom w:val="single" w:color="4874CB" w:themeColor="accent1" w:sz="6" w:space="0"/>
              <w:right w:val="nil"/>
            </w:tcBorders>
            <w:shd w:val="clear" w:color="auto" w:fill="FFFFFF"/>
            <w:noWrap w:val="0"/>
            <w:tcMar>
              <w:top w:w="-1" w:type="dxa"/>
              <w:left w:w="-1" w:type="dxa"/>
              <w:bottom w:w="-1" w:type="dxa"/>
              <w:right w:w="-1" w:type="dxa"/>
            </w:tcMar>
            <w:vAlign w:val="center"/>
          </w:tcPr>
          <w:p w14:paraId="564E1800">
            <w:pPr>
              <w:snapToGrid w:val="0"/>
              <w:spacing w:line="240" w:lineRule="auto"/>
              <w:ind w:left="0" w:leftChars="0" w:right="0" w:rightChars="0" w:firstLine="0" w:firstLineChars="0"/>
              <w:jc w:val="center"/>
              <w:rPr>
                <w:b w:val="0"/>
                <w:i w:val="0"/>
                <w:color w:val="000000"/>
              </w:rPr>
            </w:pPr>
            <w:r>
              <w:rPr>
                <w:b w:val="0"/>
                <w:i w:val="0"/>
                <w:color w:val="000000"/>
              </w:rPr>
              <w:t>'no departmental policy on AI use'; 'everyone figures it out on their own'; 'conservative use until liability is clarified'</w:t>
            </w:r>
          </w:p>
        </w:tc>
        <w:tc>
          <w:tcPr>
            <w:tcW w:w="632" w:type="pct"/>
            <w:tcBorders>
              <w:top w:val="nil"/>
              <w:left w:val="nil"/>
              <w:bottom w:val="single" w:color="4874CB" w:themeColor="accent1" w:sz="6" w:space="0"/>
              <w:right w:val="nil"/>
            </w:tcBorders>
            <w:shd w:val="clear" w:color="auto" w:fill="FFFFFF"/>
            <w:noWrap w:val="0"/>
            <w:tcMar>
              <w:top w:w="-1" w:type="dxa"/>
              <w:left w:w="-1" w:type="dxa"/>
              <w:bottom w:w="-1" w:type="dxa"/>
              <w:right w:w="-1" w:type="dxa"/>
            </w:tcMar>
            <w:vAlign w:val="center"/>
          </w:tcPr>
          <w:p w14:paraId="1887024B">
            <w:pPr>
              <w:snapToGrid w:val="0"/>
              <w:spacing w:line="240" w:lineRule="auto"/>
              <w:ind w:left="0" w:leftChars="0" w:right="0" w:rightChars="0" w:firstLine="0" w:firstLineChars="0"/>
              <w:jc w:val="center"/>
              <w:rPr>
                <w:b w:val="0"/>
                <w:i w:val="0"/>
                <w:color w:val="000000"/>
              </w:rPr>
            </w:pPr>
            <w:r>
              <w:rPr>
                <w:b w:val="0"/>
                <w:i w:val="0"/>
                <w:color w:val="000000"/>
              </w:rPr>
              <w:t>IN-01, IN-02</w:t>
            </w:r>
          </w:p>
        </w:tc>
        <w:tc>
          <w:tcPr>
            <w:tcW w:w="1149" w:type="pct"/>
            <w:tcBorders>
              <w:top w:val="nil"/>
              <w:left w:val="nil"/>
              <w:bottom w:val="single" w:color="4874CB" w:themeColor="accent1" w:sz="6" w:space="0"/>
              <w:right w:val="nil"/>
            </w:tcBorders>
            <w:shd w:val="clear" w:color="auto" w:fill="FFFFFF"/>
            <w:noWrap w:val="0"/>
            <w:tcMar>
              <w:top w:w="-1" w:type="dxa"/>
              <w:left w:w="-1" w:type="dxa"/>
              <w:bottom w:w="-1" w:type="dxa"/>
              <w:right w:w="-1" w:type="dxa"/>
            </w:tcMar>
            <w:vAlign w:val="center"/>
          </w:tcPr>
          <w:p w14:paraId="36FF8169">
            <w:pPr>
              <w:snapToGrid w:val="0"/>
              <w:spacing w:line="240" w:lineRule="auto"/>
              <w:ind w:left="0" w:leftChars="0" w:right="0" w:rightChars="0" w:firstLine="0" w:firstLineChars="0"/>
              <w:jc w:val="center"/>
              <w:rPr>
                <w:b w:val="0"/>
                <w:i w:val="0"/>
                <w:color w:val="000000"/>
              </w:rPr>
            </w:pPr>
            <w:r>
              <w:rPr>
                <w:b w:val="0"/>
                <w:i w:val="0"/>
                <w:color w:val="000000"/>
              </w:rPr>
              <w:t>Trust drift in institutional grey zones (3.1)</w:t>
            </w:r>
          </w:p>
        </w:tc>
        <w:tc>
          <w:tcPr>
            <w:tcW w:w="1127" w:type="pct"/>
            <w:tcBorders>
              <w:top w:val="nil"/>
              <w:left w:val="nil"/>
              <w:bottom w:val="single" w:color="4874CB" w:themeColor="accent1" w:sz="6" w:space="0"/>
              <w:right w:val="nil"/>
            </w:tcBorders>
            <w:shd w:val="clear" w:color="auto" w:fill="FFFFFF"/>
            <w:noWrap w:val="0"/>
            <w:tcMar>
              <w:top w:w="-1" w:type="dxa"/>
              <w:left w:w="-1" w:type="dxa"/>
              <w:bottom w:w="-1" w:type="dxa"/>
              <w:right w:w="-1" w:type="dxa"/>
            </w:tcMar>
            <w:vAlign w:val="center"/>
          </w:tcPr>
          <w:p w14:paraId="5A2AD718">
            <w:pPr>
              <w:snapToGrid w:val="0"/>
              <w:spacing w:line="240" w:lineRule="auto"/>
              <w:ind w:left="0" w:leftChars="0" w:right="0" w:rightChars="0" w:firstLine="0" w:firstLineChars="0"/>
              <w:jc w:val="center"/>
              <w:rPr>
                <w:b w:val="0"/>
                <w:i w:val="0"/>
                <w:color w:val="000000"/>
              </w:rPr>
            </w:pPr>
            <w:r>
              <w:rPr>
                <w:b w:val="0"/>
                <w:i w:val="0"/>
                <w:color w:val="000000"/>
              </w:rPr>
              <w:t>Theme 3: Trust negotiation within the organisational ecology</w:t>
            </w:r>
          </w:p>
        </w:tc>
      </w:tr>
    </w:tbl>
    <w:p w14:paraId="19590AC9">
      <w:r>
        <w:br w:type="page"/>
      </w:r>
    </w:p>
    <w:p w14:paraId="716F6FDE">
      <w:pPr>
        <w:pStyle w:val="3"/>
      </w:pPr>
      <w:r>
        <w:t>Appendix S6.Detailed practice and policy implications</w:t>
      </w:r>
    </w:p>
    <w:p w14:paraId="35570C2B">
      <w:r>
        <w:t>The following detailed plans complement the prioritised implications in the main text.</w:t>
      </w:r>
    </w:p>
    <w:p w14:paraId="013D3BC7">
      <w:r>
        <w:t>For AI developers (by priority): (1) design for verifiability — provide transparent evidence sources, confidence markers and citation links for AI output (directly addressing hallucination incidents as trust turning points); (2) ophthalmic vertical-domain fine-tuning — fine-tune models on Chinese ophthalmic clinical guidelines, national-pharmacopoeia ophthalmic-preparation standards and ophthalmic nursing operating norms; (3) a behind-the-scenes interaction mode — design interfaces suited to discreet use when patients are present (directly addressing the relational-trust dilemma).</w:t>
      </w:r>
    </w:p>
    <w:p w14:paraId="51DD6040">
      <w:r>
        <w:t>For hospital managers (by priority): (1) end the institutional grey zone — develop a clear policy framework for ophthalmic nurses' GenAI use, defining scenario boundaries, verification procedures, adverse-event reporting and liability attribution; (2) empower primary care and the western region — narrow regional gaps through dedicated training and technical support; (3) institutionalise peer-learning mechanisms — upgrade informal WeChat-group discussion into a structured experience-exchange platform.</w:t>
      </w:r>
    </w:p>
    <w:p w14:paraId="6650F1DF">
      <w:r>
        <w:t>For nursing educators (by priority): (1) core competence before AI assistance — ensure students master basic physical assessment and procedural skills before relying on AI; (2) ophthalmic AI-ethics scenario simulation — train nurses in trust decisions when AI evidence conflicts with clinical observation; (3) differentiated training — 'AI–experience integration' workshops for senior nurses and a 'critical AI use' course for new nurses.</w:t>
      </w:r>
    </w:p>
    <w:p w14:paraId="272F61BF">
      <w:r>
        <w:t>For policymakers (by priority): (1) develop an Expert Consensus on GenAI Use in Ophthalmic Nursing — explicitly making ophthalmic nurses and nursing managers a core object of institution-building; (2) include the nursing-workforce digital-capability gap in the 14th Five-Year smart-ophthalmic-care agenda — setting clear empowerment targets for primary-care posts; (3) establish a dedicated interdisciplinary 'nursing + AI' funding stream — prioritising applied projects with ophthalmic nursing staff as the research subject.</w:t>
      </w:r>
    </w:p>
    <w:sectPr>
      <w:footerReference r:id="rId5" w:type="default"/>
      <w:pgSz w:w="12240" w:h="15840"/>
      <w:pgMar w:top="1440" w:right="1440" w:bottom="144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40"/>
      </w:pPr>
      <w:r>
        <w:separator/>
      </w:r>
    </w:p>
  </w:endnote>
  <w:endnote w:type="continuationSeparator" w:id="1">
    <w:p>
      <w:pPr>
        <w:spacing w:line="240" w:lineRule="auto"/>
        <w:ind w:firstLine="4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0010101010101"/>
    <w:charset w:val="86"/>
    <w:family w:val="script"/>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065A7">
    <w:pPr>
      <w:jc w:val="center"/>
    </w:pPr>
    <w:r>
      <w:rPr>
        <w:rFonts w:ascii="Times New Roman" w:hAnsi="Times New Roman" w:eastAsia="Times New Roman" w:cs="Times New Roman"/>
        <w:color w:val="777777"/>
        <w:sz w:val="18"/>
        <w:szCs w:val="18"/>
      </w:rPr>
      <w:fldChar w:fldCharType="begin"/>
    </w:r>
    <w:r>
      <w:rPr>
        <w:rFonts w:ascii="Times New Roman" w:hAnsi="Times New Roman" w:eastAsia="Times New Roman" w:cs="Times New Roman"/>
        <w:color w:val="777777"/>
        <w:sz w:val="18"/>
        <w:szCs w:val="18"/>
      </w:rPr>
      <w:instrText xml:space="preserve">PAGE</w:instrText>
    </w:r>
    <w:r>
      <w:rPr>
        <w:rFonts w:ascii="Times New Roman" w:hAnsi="Times New Roman" w:eastAsia="Times New Roman" w:cs="Times New Roman"/>
        <w:color w:val="777777"/>
        <w:sz w:val="18"/>
        <w:szCs w:val="18"/>
      </w:rPr>
      <w:fldChar w:fldCharType="separate"/>
    </w:r>
    <w:r>
      <w:rPr>
        <w:rFonts w:ascii="Times New Roman" w:hAnsi="Times New Roman" w:eastAsia="Times New Roman" w:cs="Times New Roman"/>
        <w:color w:val="777777"/>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40"/>
      </w:pPr>
      <w:r>
        <w:separator/>
      </w:r>
    </w:p>
  </w:footnote>
  <w:footnote w:type="continuationSeparator" w:id="1">
    <w:p>
      <w:pPr>
        <w:spacing w:line="240" w:lineRule="auto"/>
        <w:ind w:firstLine="4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1"/>
      <w:numFmt w:val="bullet"/>
      <w:lvlText w:val="•"/>
      <w:lvlJc w:val="left"/>
      <w:pPr>
        <w:ind w:left="360" w:hanging="220"/>
      </w:pPr>
    </w:lvl>
  </w:abstractNum>
  <w:abstractNum w:abstractNumId="1">
    <w:nsid w:val="59ADCABA"/>
    <w:multiLevelType w:val="multilevel"/>
    <w:tmpl w:val="59ADCABA"/>
    <w:lvl w:ilvl="0" w:tentative="0">
      <w:start w:val="1"/>
      <w:numFmt w:val="bullet"/>
      <w:lvlText w:val="•"/>
      <w:lvlJc w:val="left"/>
      <w:pPr>
        <w:ind w:left="360" w:hanging="220"/>
      </w:pPr>
    </w:lvl>
    <w:lvl w:ilvl="1" w:tentative="0">
      <w:start w:val="1"/>
      <w:numFmt w:val="bullet"/>
      <w:lvlText w:val="–"/>
      <w:lvlJc w:val="left"/>
      <w:pPr>
        <w:ind w:left="740" w:hanging="22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6DF52BC"/>
    <w:rsid w:val="02B42663"/>
    <w:rsid w:val="05845717"/>
    <w:rsid w:val="05850883"/>
    <w:rsid w:val="067521B0"/>
    <w:rsid w:val="08383CAB"/>
    <w:rsid w:val="08E00F6C"/>
    <w:rsid w:val="09E22B15"/>
    <w:rsid w:val="0B2C0307"/>
    <w:rsid w:val="0B5F2D7F"/>
    <w:rsid w:val="0E294B7B"/>
    <w:rsid w:val="0EFE4933"/>
    <w:rsid w:val="0FA607A8"/>
    <w:rsid w:val="0FC6561C"/>
    <w:rsid w:val="0FF32C18"/>
    <w:rsid w:val="10082730"/>
    <w:rsid w:val="10725EA8"/>
    <w:rsid w:val="135027E9"/>
    <w:rsid w:val="13D41C7D"/>
    <w:rsid w:val="17B0596B"/>
    <w:rsid w:val="181D6D28"/>
    <w:rsid w:val="18C3587A"/>
    <w:rsid w:val="196C7BAB"/>
    <w:rsid w:val="1C8F3BC0"/>
    <w:rsid w:val="1D1B676C"/>
    <w:rsid w:val="1E6751AF"/>
    <w:rsid w:val="1E911BEF"/>
    <w:rsid w:val="2039253E"/>
    <w:rsid w:val="20404761"/>
    <w:rsid w:val="233E1E39"/>
    <w:rsid w:val="243E45C2"/>
    <w:rsid w:val="262B2F0B"/>
    <w:rsid w:val="267B265C"/>
    <w:rsid w:val="26E610ED"/>
    <w:rsid w:val="274E6D3B"/>
    <w:rsid w:val="296B15FF"/>
    <w:rsid w:val="298D096B"/>
    <w:rsid w:val="2AFE18D0"/>
    <w:rsid w:val="2BF724AD"/>
    <w:rsid w:val="2D052466"/>
    <w:rsid w:val="2ECF6C02"/>
    <w:rsid w:val="2FB035DA"/>
    <w:rsid w:val="30186C0E"/>
    <w:rsid w:val="34AF0832"/>
    <w:rsid w:val="35C3430B"/>
    <w:rsid w:val="36DF52BC"/>
    <w:rsid w:val="38F004FB"/>
    <w:rsid w:val="390D2FA9"/>
    <w:rsid w:val="3F5F4684"/>
    <w:rsid w:val="411F32EF"/>
    <w:rsid w:val="42B01854"/>
    <w:rsid w:val="431C37FA"/>
    <w:rsid w:val="44335543"/>
    <w:rsid w:val="44B40BD0"/>
    <w:rsid w:val="46040E5C"/>
    <w:rsid w:val="475942EE"/>
    <w:rsid w:val="4968645D"/>
    <w:rsid w:val="4C1C5F98"/>
    <w:rsid w:val="4CAA7FEC"/>
    <w:rsid w:val="4CD40000"/>
    <w:rsid w:val="4DF5709E"/>
    <w:rsid w:val="5164132E"/>
    <w:rsid w:val="52537F05"/>
    <w:rsid w:val="52F9702E"/>
    <w:rsid w:val="540C63CB"/>
    <w:rsid w:val="54941C02"/>
    <w:rsid w:val="54AA7EA6"/>
    <w:rsid w:val="55336848"/>
    <w:rsid w:val="55345863"/>
    <w:rsid w:val="55FB249F"/>
    <w:rsid w:val="577C1D66"/>
    <w:rsid w:val="57E5744B"/>
    <w:rsid w:val="57F44ADD"/>
    <w:rsid w:val="580F0885"/>
    <w:rsid w:val="596B6E60"/>
    <w:rsid w:val="596E6915"/>
    <w:rsid w:val="5AA80549"/>
    <w:rsid w:val="5B514596"/>
    <w:rsid w:val="5C346E05"/>
    <w:rsid w:val="5C353760"/>
    <w:rsid w:val="5CBC73CF"/>
    <w:rsid w:val="60ED476D"/>
    <w:rsid w:val="61D0780D"/>
    <w:rsid w:val="65DD7784"/>
    <w:rsid w:val="65EF4249"/>
    <w:rsid w:val="67253DBF"/>
    <w:rsid w:val="67AD0A5C"/>
    <w:rsid w:val="6B3D5B12"/>
    <w:rsid w:val="6C9A59BC"/>
    <w:rsid w:val="6CFE1E30"/>
    <w:rsid w:val="6E650511"/>
    <w:rsid w:val="6EE53241"/>
    <w:rsid w:val="6FC8422C"/>
    <w:rsid w:val="6FCF766C"/>
    <w:rsid w:val="6FED09C3"/>
    <w:rsid w:val="7084190B"/>
    <w:rsid w:val="727D407B"/>
    <w:rsid w:val="736A2467"/>
    <w:rsid w:val="73E53656"/>
    <w:rsid w:val="74D65C66"/>
    <w:rsid w:val="776C4EAA"/>
    <w:rsid w:val="7828143B"/>
    <w:rsid w:val="794F5AC6"/>
    <w:rsid w:val="7A8D13F3"/>
    <w:rsid w:val="7CC52470"/>
    <w:rsid w:val="7D9B11EE"/>
    <w:rsid w:val="7E2412AD"/>
    <w:rsid w:val="7E256040"/>
    <w:rsid w:val="7E8531A8"/>
    <w:rsid w:val="7EA517FB"/>
    <w:rsid w:val="7ED439B4"/>
    <w:rsid w:val="7EEE33D2"/>
    <w:rsid w:val="7FFA2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803" w:firstLineChars="200"/>
      <w:jc w:val="both"/>
    </w:pPr>
    <w:rPr>
      <w:rFonts w:ascii="Times New Roman" w:hAnsi="Times New Roman" w:eastAsia="Times New Roman" w:cs="Times New Roman"/>
      <w:sz w:val="22"/>
      <w:szCs w:val="22"/>
    </w:rPr>
  </w:style>
  <w:style w:type="paragraph" w:styleId="2">
    <w:name w:val="heading 1"/>
    <w:basedOn w:val="1"/>
    <w:next w:val="1"/>
    <w:link w:val="16"/>
    <w:qFormat/>
    <w:uiPriority w:val="0"/>
    <w:pPr>
      <w:keepNext/>
      <w:keepLines/>
      <w:widowControl/>
      <w:spacing w:line="600" w:lineRule="exact"/>
      <w:ind w:firstLine="0" w:firstLineChars="0"/>
      <w:jc w:val="center"/>
      <w:outlineLvl w:val="0"/>
    </w:pPr>
    <w:rPr>
      <w:rFonts w:ascii="Times New Roman" w:hAnsi="Times New Roman" w:eastAsia="黑体" w:cs="Times New Roman"/>
      <w:b/>
      <w:bCs/>
      <w:kern w:val="44"/>
      <w:sz w:val="32"/>
      <w:szCs w:val="44"/>
      <w:lang w:val="zh-CN"/>
    </w:rPr>
  </w:style>
  <w:style w:type="paragraph" w:styleId="3">
    <w:name w:val="heading 2"/>
    <w:next w:val="4"/>
    <w:link w:val="17"/>
    <w:semiHidden/>
    <w:unhideWhenUsed/>
    <w:qFormat/>
    <w:uiPriority w:val="0"/>
    <w:pPr>
      <w:keepNext/>
      <w:keepLines/>
      <w:adjustRightInd w:val="0"/>
      <w:snapToGrid w:val="0"/>
      <w:spacing w:line="500" w:lineRule="exact"/>
      <w:ind w:firstLine="0" w:firstLineChars="0"/>
      <w:outlineLvl w:val="1"/>
    </w:pPr>
    <w:rPr>
      <w:rFonts w:ascii="Times New Roman" w:hAnsi="Times New Roman" w:eastAsia="方正楷体_GB2312" w:cs="Times New Roman"/>
      <w:b/>
      <w:color w:val="262626" w:themeColor="text1" w:themeTint="D9"/>
      <w:sz w:val="28"/>
      <w:szCs w:val="32"/>
      <w:lang w:val="en-US" w:eastAsia="zh-CN" w:bidi="ar-SA"/>
      <w14:textFill>
        <w14:solidFill>
          <w14:schemeClr w14:val="tx1">
            <w14:lumMod w14:val="85000"/>
            <w14:lumOff w14:val="15000"/>
          </w14:schemeClr>
        </w14:solidFill>
      </w14:textFill>
    </w:rPr>
  </w:style>
  <w:style w:type="paragraph" w:styleId="5">
    <w:name w:val="heading 3"/>
    <w:next w:val="4"/>
    <w:link w:val="15"/>
    <w:unhideWhenUsed/>
    <w:qFormat/>
    <w:uiPriority w:val="0"/>
    <w:pPr>
      <w:keepNext/>
      <w:keepLines/>
      <w:tabs>
        <w:tab w:val="left" w:pos="312"/>
      </w:tabs>
      <w:adjustRightInd w:val="0"/>
      <w:snapToGrid w:val="0"/>
      <w:spacing w:line="500" w:lineRule="exact"/>
      <w:ind w:firstLine="0" w:firstLineChars="0"/>
      <w:outlineLvl w:val="2"/>
    </w:pPr>
    <w:rPr>
      <w:rFonts w:ascii="Times New Roman" w:hAnsi="Times New Roman" w:eastAsia="方正仿宋_GB2312" w:cs="Times New Roman"/>
      <w:b/>
      <w:color w:val="404040" w:themeColor="text1" w:themeTint="BF"/>
      <w:sz w:val="28"/>
      <w:szCs w:val="32"/>
      <w:lang w:val="en-US" w:eastAsia="zh-CN" w:bidi="ar-SA"/>
      <w14:textFill>
        <w14:solidFill>
          <w14:schemeClr w14:val="tx1">
            <w14:lumMod w14:val="75000"/>
            <w14:lumOff w14:val="25000"/>
          </w14:schemeClr>
        </w14:solidFill>
      </w14:textFill>
    </w:rPr>
  </w:style>
  <w:style w:type="paragraph" w:styleId="6">
    <w:name w:val="heading 4"/>
    <w:next w:val="4"/>
    <w:link w:val="24"/>
    <w:unhideWhenUsed/>
    <w:qFormat/>
    <w:uiPriority w:val="0"/>
    <w:pPr>
      <w:keepNext/>
      <w:keepLines/>
      <w:adjustRightInd w:val="0"/>
      <w:snapToGrid w:val="0"/>
      <w:spacing w:line="500" w:lineRule="exact"/>
      <w:ind w:firstLine="0" w:firstLineChars="0"/>
      <w:outlineLvl w:val="3"/>
    </w:pPr>
    <w:rPr>
      <w:rFonts w:ascii="仿宋" w:hAnsi="仿宋" w:eastAsia="方正仿宋_GB2312" w:cs="Times New Roman"/>
      <w:b/>
      <w:color w:val="262626" w:themeColor="text1" w:themeTint="D9"/>
      <w:sz w:val="28"/>
      <w:szCs w:val="32"/>
      <w14:textFill>
        <w14:solidFill>
          <w14:schemeClr w14:val="tx1">
            <w14:lumMod w14:val="85000"/>
            <w14:lumOff w14:val="15000"/>
          </w14:schemeClr>
        </w14:solidFill>
      </w14:textFill>
    </w:rPr>
  </w:style>
  <w:style w:type="character" w:default="1" w:styleId="11">
    <w:name w:val="Default Paragraph Font"/>
    <w:unhideWhenUsed/>
    <w:qFormat/>
    <w:uiPriority w:val="1"/>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link w:val="27"/>
    <w:qFormat/>
    <w:uiPriority w:val="0"/>
    <w:pPr>
      <w:spacing w:line="440" w:lineRule="exact"/>
      <w:ind w:firstLine="720" w:firstLineChars="200"/>
      <w:jc w:val="both"/>
    </w:pPr>
    <w:rPr>
      <w:rFonts w:ascii="Times New Roman" w:hAnsi="Times New Roman" w:eastAsiaTheme="minorAscii"/>
      <w:sz w:val="24"/>
      <w:lang w:eastAsia="en-US"/>
    </w:rPr>
  </w:style>
  <w:style w:type="paragraph" w:styleId="7">
    <w:name w:val="Plain Text"/>
    <w:basedOn w:val="1"/>
    <w:qFormat/>
    <w:uiPriority w:val="0"/>
    <w:pPr>
      <w:spacing w:line="240" w:lineRule="auto"/>
      <w:ind w:firstLine="643" w:firstLineChars="200"/>
    </w:pPr>
    <w:rPr>
      <w:rFonts w:ascii="Times New Roman" w:hAnsi="Times New Roman"/>
      <w:snapToGrid w:val="0"/>
      <w:kern w:val="0"/>
      <w:sz w:val="24"/>
      <w:szCs w:val="21"/>
      <w:lang w:val="zh-CN"/>
    </w:rPr>
  </w:style>
  <w:style w:type="paragraph" w:styleId="8">
    <w:name w:val="footer"/>
    <w:basedOn w:val="1"/>
    <w:qFormat/>
    <w:uiPriority w:val="0"/>
    <w:pPr>
      <w:tabs>
        <w:tab w:val="center" w:pos="4153"/>
        <w:tab w:val="right" w:pos="8306"/>
      </w:tabs>
      <w:snapToGrid w:val="0"/>
      <w:jc w:val="left"/>
    </w:pPr>
    <w:rPr>
      <w:rFonts w:ascii="Times New Roman" w:hAnsi="Times New Roman" w:eastAsia="宋体"/>
      <w:sz w:val="18"/>
      <w:szCs w:val="24"/>
      <w:lang w:eastAsia="en-US"/>
    </w:rPr>
  </w:style>
  <w:style w:type="paragraph" w:styleId="9">
    <w:name w:val="Title"/>
    <w:qFormat/>
    <w:uiPriority w:val="0"/>
    <w:pPr>
      <w:spacing w:after="240"/>
      <w:jc w:val="center"/>
    </w:pPr>
    <w:rPr>
      <w:rFonts w:ascii="Arial" w:hAnsi="Arial" w:eastAsia="Arial" w:cs="Arial"/>
      <w:b/>
      <w:bCs/>
      <w:sz w:val="32"/>
      <w:szCs w:val="32"/>
    </w:rPr>
  </w:style>
  <w:style w:type="character" w:styleId="12">
    <w:name w:val="Strong"/>
    <w:basedOn w:val="11"/>
    <w:qFormat/>
    <w:uiPriority w:val="0"/>
    <w:rPr>
      <w:rFonts w:ascii="Times New Roman" w:hAnsi="Times New Roman" w:eastAsia="宋体"/>
      <w:sz w:val="18"/>
    </w:rPr>
  </w:style>
  <w:style w:type="character" w:styleId="13">
    <w:name w:val="footnote reference"/>
    <w:basedOn w:val="14"/>
    <w:qFormat/>
    <w:uiPriority w:val="0"/>
    <w:rPr>
      <w:rFonts w:ascii="Times New Roman" w:hAnsi="Times New Roman" w:cs="Times New Roman"/>
      <w:sz w:val="28"/>
      <w:szCs w:val="28"/>
      <w:vertAlign w:val="superscript"/>
      <w:lang w:val="en-US" w:eastAsia="zh-CN" w:bidi="ar-SA"/>
    </w:rPr>
  </w:style>
  <w:style w:type="character" w:customStyle="1" w:styleId="14">
    <w:name w:val="Body Text Char"/>
    <w:link w:val="4"/>
    <w:qFormat/>
    <w:uiPriority w:val="0"/>
    <w:rPr>
      <w:rFonts w:eastAsia="仿宋" w:asciiTheme="minorAscii" w:hAnsiTheme="minorAscii" w:cstheme="minorBidi"/>
      <w:sz w:val="24"/>
      <w:szCs w:val="24"/>
      <w:lang w:val="en-US" w:eastAsia="zh-CN"/>
    </w:rPr>
  </w:style>
  <w:style w:type="character" w:customStyle="1" w:styleId="15">
    <w:name w:val="标题 3 字符"/>
    <w:basedOn w:val="11"/>
    <w:link w:val="5"/>
    <w:qFormat/>
    <w:uiPriority w:val="9"/>
    <w:rPr>
      <w:rFonts w:hint="default" w:ascii="Times New Roman" w:hAnsi="Times New Roman" w:eastAsia="方正仿宋_GB2312" w:cs="Times New Roman"/>
      <w:b/>
      <w:bCs/>
      <w:kern w:val="2"/>
      <w:sz w:val="30"/>
      <w:szCs w:val="30"/>
    </w:rPr>
  </w:style>
  <w:style w:type="character" w:customStyle="1" w:styleId="16">
    <w:name w:val="标题 1 字符"/>
    <w:basedOn w:val="11"/>
    <w:link w:val="2"/>
    <w:qFormat/>
    <w:uiPriority w:val="9"/>
    <w:rPr>
      <w:rFonts w:ascii="Times New Roman" w:hAnsi="Times New Roman" w:eastAsia="黑体" w:cs="Times New Roman"/>
      <w:b/>
      <w:bCs/>
      <w:kern w:val="44"/>
      <w:sz w:val="32"/>
      <w:szCs w:val="44"/>
      <w:lang w:val="zh-CN" w:eastAsia="zh-CN"/>
    </w:rPr>
  </w:style>
  <w:style w:type="character" w:customStyle="1" w:styleId="17">
    <w:name w:val="标题 2 字符"/>
    <w:basedOn w:val="11"/>
    <w:link w:val="3"/>
    <w:qFormat/>
    <w:uiPriority w:val="9"/>
    <w:rPr>
      <w:rFonts w:hint="default" w:ascii="Times New Roman" w:hAnsi="Times New Roman" w:eastAsia="方正楷体_GB2312" w:cs="黑体"/>
      <w:b/>
      <w:bCs/>
      <w:color w:val="262626" w:themeColor="text1" w:themeTint="D9"/>
      <w:kern w:val="2"/>
      <w:sz w:val="24"/>
      <w:szCs w:val="32"/>
      <w14:textFill>
        <w14:solidFill>
          <w14:schemeClr w14:val="tx1">
            <w14:lumMod w14:val="85000"/>
            <w14:lumOff w14:val="15000"/>
          </w14:schemeClr>
        </w14:solidFill>
      </w14:textFill>
    </w:rPr>
  </w:style>
  <w:style w:type="paragraph" w:customStyle="1" w:styleId="18">
    <w:name w:val="Bibliography"/>
    <w:basedOn w:val="1"/>
    <w:qFormat/>
    <w:uiPriority w:val="0"/>
    <w:pPr>
      <w:tabs>
        <w:tab w:val="left" w:pos="504"/>
      </w:tabs>
      <w:spacing w:line="300" w:lineRule="exact"/>
      <w:ind w:left="0" w:hanging="560" w:hangingChars="200"/>
    </w:pPr>
    <w:rPr>
      <w:rFonts w:ascii="Times New Roman" w:hAnsi="Times New Roman" w:eastAsia="宋体"/>
      <w:sz w:val="21"/>
    </w:rPr>
  </w:style>
  <w:style w:type="paragraph" w:customStyle="1" w:styleId="19">
    <w:name w:val="表格"/>
    <w:basedOn w:val="1"/>
    <w:qFormat/>
    <w:uiPriority w:val="0"/>
    <w:pPr>
      <w:spacing w:line="240" w:lineRule="exact"/>
      <w:ind w:firstLine="0" w:firstLineChars="0"/>
      <w:jc w:val="left"/>
    </w:pPr>
    <w:rPr>
      <w:sz w:val="21"/>
    </w:rPr>
  </w:style>
  <w:style w:type="paragraph" w:customStyle="1" w:styleId="20">
    <w:name w:val="图表标题"/>
    <w:basedOn w:val="1"/>
    <w:qFormat/>
    <w:uiPriority w:val="0"/>
    <w:pPr>
      <w:ind w:firstLine="0" w:firstLineChars="0"/>
      <w:jc w:val="center"/>
    </w:pPr>
    <w:rPr>
      <w:b/>
      <w:sz w:val="21"/>
    </w:rPr>
  </w:style>
  <w:style w:type="paragraph" w:customStyle="1" w:styleId="21">
    <w:name w:val="First Paragraph"/>
    <w:basedOn w:val="4"/>
    <w:next w:val="4"/>
    <w:qFormat/>
    <w:uiPriority w:val="0"/>
    <w:rPr>
      <w:rFonts w:ascii="Times New Roman" w:hAnsi="Times New Roman" w:eastAsia="宋体"/>
    </w:rPr>
  </w:style>
  <w:style w:type="paragraph" w:customStyle="1" w:styleId="22">
    <w:name w:val="标图标题"/>
    <w:basedOn w:val="1"/>
    <w:qFormat/>
    <w:uiPriority w:val="0"/>
    <w:pPr>
      <w:spacing w:before="50" w:beforeLines="50"/>
      <w:ind w:firstLine="0" w:firstLineChars="0"/>
      <w:jc w:val="center"/>
    </w:pPr>
    <w:rPr>
      <w:rFonts w:ascii="Times New Roman" w:hAnsi="Times New Roman" w:cs="Times New Roman"/>
      <w:b/>
      <w:bCs/>
      <w:sz w:val="21"/>
      <w:szCs w:val="21"/>
      <w:lang w:eastAsia="zh-CN"/>
    </w:rPr>
  </w:style>
  <w:style w:type="paragraph" w:customStyle="1" w:styleId="23">
    <w:name w:val="Compact"/>
    <w:basedOn w:val="4"/>
    <w:qFormat/>
    <w:uiPriority w:val="0"/>
    <w:pPr>
      <w:spacing w:before="36" w:after="36"/>
      <w:ind w:firstLine="0" w:firstLineChars="0"/>
      <w:jc w:val="center"/>
    </w:pPr>
    <w:rPr>
      <w:rFonts w:ascii="Times New Roman" w:hAnsi="Times New Roman" w:cs="Times New Roman"/>
      <w:color w:val="000000"/>
      <w:sz w:val="21"/>
      <w:szCs w:val="21"/>
      <w:lang w:eastAsia="zh-CN"/>
    </w:rPr>
  </w:style>
  <w:style w:type="character" w:customStyle="1" w:styleId="24">
    <w:name w:val="标题 4 字符"/>
    <w:link w:val="6"/>
    <w:qFormat/>
    <w:uiPriority w:val="9"/>
    <w:rPr>
      <w:rFonts w:ascii="仿宋" w:hAnsi="仿宋" w:eastAsia="方正仿宋_GB2312" w:cs="Times New Roman"/>
      <w:b/>
      <w:color w:val="262626" w:themeColor="text1" w:themeTint="D9"/>
      <w:sz w:val="28"/>
      <w:szCs w:val="32"/>
      <w14:textFill>
        <w14:solidFill>
          <w14:schemeClr w14:val="tx1">
            <w14:lumMod w14:val="85000"/>
            <w14:lumOff w14:val="15000"/>
          </w14:schemeClr>
        </w14:solidFill>
      </w14:textFill>
    </w:rPr>
  </w:style>
  <w:style w:type="paragraph" w:customStyle="1" w:styleId="25">
    <w:name w:val="Source Code"/>
    <w:basedOn w:val="1"/>
    <w:link w:val="26"/>
    <w:qFormat/>
    <w:uiPriority w:val="0"/>
    <w:pPr>
      <w:wordWrap w:val="0"/>
    </w:pPr>
    <w:rPr>
      <w:rFonts w:eastAsia="仿宋" w:asciiTheme="minorAscii" w:hAnsiTheme="minorAscii" w:cstheme="minorBidi"/>
      <w:color w:val="657D9D" w:themeColor="text2" w:themeTint="BF"/>
      <w:sz w:val="21"/>
      <w:szCs w:val="24"/>
      <w:lang w:val="en-US" w:eastAsia="zh-CN"/>
      <w14:textFill>
        <w14:solidFill>
          <w14:schemeClr w14:val="tx2">
            <w14:lumMod w14:val="75000"/>
            <w14:lumOff w14:val="25000"/>
          </w14:schemeClr>
        </w14:solidFill>
      </w14:textFill>
    </w:rPr>
  </w:style>
  <w:style w:type="character" w:customStyle="1" w:styleId="26">
    <w:name w:val="Verbatim Char"/>
    <w:basedOn w:val="27"/>
    <w:link w:val="25"/>
    <w:qFormat/>
    <w:uiPriority w:val="0"/>
    <w:rPr>
      <w:rFonts w:eastAsia="仿宋" w:asciiTheme="minorAscii" w:hAnsiTheme="minorAscii" w:cstheme="minorBidi"/>
      <w:color w:val="657D9D" w:themeColor="text2" w:themeTint="BF"/>
      <w:sz w:val="21"/>
      <w:szCs w:val="24"/>
      <w:lang w:val="en-US" w:eastAsia="zh-CN"/>
      <w14:textFill>
        <w14:solidFill>
          <w14:schemeClr w14:val="tx2">
            <w14:lumMod w14:val="75000"/>
            <w14:lumOff w14:val="25000"/>
          </w14:schemeClr>
        </w14:solidFill>
      </w14:textFill>
    </w:rPr>
  </w:style>
  <w:style w:type="character" w:customStyle="1" w:styleId="27">
    <w:name w:val="Body Text Char1"/>
    <w:link w:val="4"/>
    <w:qFormat/>
    <w:uiPriority w:val="0"/>
    <w:rPr>
      <w:rFonts w:ascii="Times New Roman" w:hAnsi="Times New Roman" w:eastAsia="仿宋"/>
      <w:sz w:val="24"/>
      <w:lang w:eastAsia="en-US"/>
    </w:rPr>
  </w:style>
  <w:style w:type="paragraph" w:customStyle="1" w:styleId="28">
    <w:name w:val="表格1"/>
    <w:basedOn w:val="1"/>
    <w:qFormat/>
    <w:uiPriority w:val="0"/>
    <w:pPr>
      <w:spacing w:line="240" w:lineRule="auto"/>
      <w:ind w:firstLine="0" w:firstLineChars="0"/>
      <w:jc w:val="left"/>
    </w:pPr>
    <w:rPr>
      <w:rFonts w:ascii="Times New Roman" w:hAnsi="Times New Roman" w:eastAsia="宋体" w:cs="黑体"/>
      <w:bCs/>
      <w:color w:val="000000" w:themeColor="text1"/>
      <w:sz w:val="21"/>
      <w:szCs w:val="22"/>
      <w14:textFill>
        <w14:solidFill>
          <w14:schemeClr w14:val="tx1"/>
        </w14:solidFill>
      </w14:textFill>
    </w:rPr>
  </w:style>
  <w:style w:type="paragraph" w:customStyle="1" w:styleId="29">
    <w:name w:val="参考文献"/>
    <w:basedOn w:val="1"/>
    <w:qFormat/>
    <w:uiPriority w:val="0"/>
    <w:pPr>
      <w:ind w:left="560" w:hanging="560" w:hangingChars="200"/>
    </w:pPr>
    <w:rPr>
      <w:rFonts w:ascii="宋体" w:hAnsi="宋体" w:eastAsia="宋体" w:cs="宋体"/>
      <w:sz w:val="21"/>
    </w:rPr>
  </w:style>
  <w:style w:type="paragraph" w:styleId="30">
    <w:name w:val="List Paragraph"/>
    <w:qFormat/>
    <w:uiPriority w:val="0"/>
    <w:rPr>
      <w:rFonts w:ascii="Arial" w:hAnsi="Arial" w:eastAsia="Arial" w:cs="Arial"/>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2184</Words>
  <Characters>12766</Characters>
  <Lines>0</Lines>
  <Paragraphs>0</Paragraphs>
  <TotalTime>32</TotalTime>
  <ScaleCrop>false</ScaleCrop>
  <LinksUpToDate>false</LinksUpToDate>
  <CharactersWithSpaces>14555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2026-05-22T06:52:00Z</dcterms:created>
  <dc:creator>Shirley</dc:creator>
  <cp:lastModifiedBy>Shirley</cp:lastModifiedBy>
  <dcterms:modified xsi:type="dcterms:W3CDTF">2026-09-29T08:03:29Z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C7DEDD4C4BDE43A98F188466C3A06439_13</vt:lpwstr>
  </property>
  <property fmtid="{D5CDD505-2E9C-101B-9397-08002B2CF9AE}" pid="4" name="KSOTemplateDocerSaveRecord">
    <vt:lpwstr>eyJoZGlkIjoiMGM4NmM4ZjFhNTI4MzZmOGEzNGYxZjVkN2JlYTZkMDMiLCJ1c2VySWQiOiIzNDkwNjE4NzQifQ==</vt:lpwstr>
  </property>
</Properties>
</file>