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DB8DA">
      <w:pPr>
        <w:pageBreakBefore w:val="0"/>
        <w:kinsoku/>
        <w:wordWrap/>
        <w:overflowPunct/>
        <w:topLinePunct w:val="0"/>
        <w:autoSpaceDE/>
        <w:autoSpaceDN/>
        <w:bidi w:val="0"/>
        <w:adjustRightInd/>
        <w:snapToGrid/>
        <w:spacing w:line="480" w:lineRule="auto"/>
        <w:ind w:firstLine="320" w:firstLineChars="100"/>
        <w:jc w:val="center"/>
        <w:rPr>
          <w:rFonts w:hint="default" w:ascii="Times New Roman" w:hAnsi="Times New Roman" w:eastAsia="宋体" w:cs="Times New Roman"/>
          <w:b w:val="0"/>
          <w:bCs/>
          <w:sz w:val="32"/>
          <w:szCs w:val="32"/>
          <w:lang w:val="en-US" w:eastAsia="zh-CN"/>
        </w:rPr>
      </w:pPr>
      <w:r>
        <w:rPr>
          <w:rFonts w:hint="default" w:ascii="Times New Roman" w:hAnsi="Times New Roman" w:cs="Times New Roman"/>
          <w:b w:val="0"/>
          <w:bCs/>
          <w:sz w:val="32"/>
          <w:szCs w:val="32"/>
        </w:rPr>
        <w:t>Supplementary</w:t>
      </w:r>
      <w:r>
        <w:rPr>
          <w:rFonts w:hint="default" w:ascii="Times New Roman" w:hAnsi="Times New Roman" w:eastAsia="宋体" w:cs="Times New Roman"/>
          <w:b w:val="0"/>
          <w:bCs/>
          <w:sz w:val="32"/>
          <w:szCs w:val="32"/>
          <w:lang w:val="en-US" w:eastAsia="zh-CN"/>
        </w:rPr>
        <w:t xml:space="preserve"> </w:t>
      </w:r>
      <w:r>
        <w:rPr>
          <w:rFonts w:hint="default" w:ascii="Times New Roman" w:hAnsi="Times New Roman" w:cs="Times New Roman"/>
          <w:b w:val="0"/>
          <w:bCs/>
          <w:sz w:val="32"/>
          <w:szCs w:val="32"/>
        </w:rPr>
        <w:t>Material</w:t>
      </w:r>
    </w:p>
    <w:p w14:paraId="73549831">
      <w:pPr>
        <w:pageBreakBefore w:val="0"/>
        <w:widowControl/>
        <w:kinsoku/>
        <w:wordWrap/>
        <w:overflowPunct/>
        <w:topLinePunct w:val="0"/>
        <w:autoSpaceDE/>
        <w:autoSpaceDN/>
        <w:bidi w:val="0"/>
        <w:adjustRightInd/>
        <w:snapToGrid/>
        <w:spacing w:after="160" w:line="480" w:lineRule="auto"/>
        <w:textAlignment w:val="auto"/>
        <w:rPr>
          <w:rFonts w:hint="default" w:ascii="Times New Roman" w:hAnsi="Times New Roman" w:eastAsia="Times New Roman" w:cs="Times New Roman"/>
          <w:b w:val="0"/>
          <w:bCs/>
          <w:color w:val="auto"/>
          <w:sz w:val="22"/>
          <w:szCs w:val="22"/>
          <w:highlight w:val="none"/>
        </w:rPr>
      </w:pPr>
      <w:r>
        <w:rPr>
          <w:rFonts w:hint="eastAsia" w:ascii="Times New Roman" w:hAnsi="Times New Roman" w:eastAsia="宋体" w:cs="Times New Roman"/>
          <w:b w:val="0"/>
          <w:bCs/>
          <w:color w:val="auto"/>
          <w:sz w:val="22"/>
          <w:szCs w:val="22"/>
          <w:highlight w:val="none"/>
          <w:lang w:val="en-US" w:eastAsia="zh-CN"/>
        </w:rPr>
        <w:t xml:space="preserve"> </w:t>
      </w:r>
      <w:r>
        <w:rPr>
          <w:rFonts w:hint="default" w:ascii="Times New Roman" w:hAnsi="Times New Roman" w:eastAsia="Times New Roman" w:cs="Times New Roman"/>
          <w:b w:val="0"/>
          <w:bCs/>
          <w:color w:val="auto"/>
          <w:sz w:val="22"/>
          <w:szCs w:val="22"/>
          <w:highlight w:val="none"/>
        </w:rPr>
        <w:t xml:space="preserve">Supplementary Material </w:t>
      </w:r>
      <w:r>
        <w:rPr>
          <w:rFonts w:hint="eastAsia" w:ascii="Times New Roman" w:hAnsi="Times New Roman" w:eastAsia="宋体" w:cs="Times New Roman"/>
          <w:b w:val="0"/>
          <w:bCs/>
          <w:color w:val="auto"/>
          <w:sz w:val="22"/>
          <w:szCs w:val="22"/>
          <w:highlight w:val="none"/>
          <w:lang w:val="en-US" w:eastAsia="zh-CN"/>
        </w:rPr>
        <w:t>1</w:t>
      </w:r>
      <w:r>
        <w:rPr>
          <w:rFonts w:hint="default" w:ascii="Times New Roman" w:hAnsi="Times New Roman" w:eastAsia="Times New Roman" w:cs="Times New Roman"/>
          <w:b w:val="0"/>
          <w:bCs/>
          <w:color w:val="auto"/>
          <w:sz w:val="22"/>
          <w:szCs w:val="22"/>
          <w:highlight w:val="none"/>
        </w:rPr>
        <w:t>: Confirmatory Factor Analysis of the Work-Immersion Measure</w:t>
      </w:r>
    </w:p>
    <w:p w14:paraId="1A9818F6">
      <w:pPr>
        <w:pageBreakBefore w:val="0"/>
        <w:widowControl/>
        <w:kinsoku/>
        <w:wordWrap/>
        <w:overflowPunct/>
        <w:topLinePunct w:val="0"/>
        <w:autoSpaceDE/>
        <w:autoSpaceDN/>
        <w:bidi w:val="0"/>
        <w:adjustRightInd/>
        <w:snapToGrid/>
        <w:spacing w:after="160"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Purpose. These supplementary analyses examine whether the 13 indicators are better represented by a single general factor or by the theoretically specified three correlated dimensions: focus (A1-A4), work enjoyment (A5-A8), and intrinsic work motivation (A9-A13).</w:t>
      </w:r>
    </w:p>
    <w:p w14:paraId="39810B3C">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S1. Confirmatory Factor Analysis: Comparison of the One-Factor and Theoretical Three-Factor Models</w:t>
      </w:r>
    </w:p>
    <w:tbl>
      <w:tblPr>
        <w:tblStyle w:val="4"/>
        <w:tblW w:w="1055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75"/>
        <w:gridCol w:w="1088"/>
        <w:gridCol w:w="566"/>
        <w:gridCol w:w="909"/>
        <w:gridCol w:w="942"/>
        <w:gridCol w:w="1098"/>
        <w:gridCol w:w="1894"/>
        <w:gridCol w:w="2280"/>
      </w:tblGrid>
      <w:tr w14:paraId="22EF5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1775" w:type="dxa"/>
            <w:tcBorders>
              <w:top w:val="single" w:color="000000" w:sz="12" w:space="0"/>
              <w:left w:val="nil"/>
              <w:bottom w:val="single" w:color="000000" w:sz="4" w:space="0"/>
              <w:right w:val="nil"/>
              <w:tl2br w:val="nil"/>
            </w:tcBorders>
            <w:shd w:val="clear" w:color="auto" w:fill="FFFFFF"/>
            <w:tcMar>
              <w:top w:w="90" w:type="dxa"/>
              <w:left w:w="110" w:type="dxa"/>
              <w:bottom w:w="90" w:type="dxa"/>
              <w:right w:w="110" w:type="dxa"/>
            </w:tcMar>
            <w:vAlign w:val="center"/>
          </w:tcPr>
          <w:p w14:paraId="6C281716">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Model</w:t>
            </w:r>
          </w:p>
        </w:tc>
        <w:tc>
          <w:tcPr>
            <w:tcW w:w="1088"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6A154210">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χ²</w:t>
            </w:r>
          </w:p>
        </w:tc>
        <w:tc>
          <w:tcPr>
            <w:tcW w:w="566"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6221ABDE">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df</w:t>
            </w:r>
          </w:p>
        </w:tc>
        <w:tc>
          <w:tcPr>
            <w:tcW w:w="909"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6112A8AC">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χ²/df</w:t>
            </w:r>
          </w:p>
        </w:tc>
        <w:tc>
          <w:tcPr>
            <w:tcW w:w="942"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04B0C566">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CFI</w:t>
            </w:r>
          </w:p>
        </w:tc>
        <w:tc>
          <w:tcPr>
            <w:tcW w:w="1098"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2BE188E6">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TLI</w:t>
            </w:r>
          </w:p>
        </w:tc>
        <w:tc>
          <w:tcPr>
            <w:tcW w:w="1894"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07303F10">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RMSEA (90% CI)</w:t>
            </w:r>
          </w:p>
        </w:tc>
        <w:tc>
          <w:tcPr>
            <w:tcW w:w="2280"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07837054">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Standardized loadings</w:t>
            </w:r>
          </w:p>
        </w:tc>
      </w:tr>
      <w:tr w14:paraId="5BD49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75"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5D0D162B">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One-factor model</w:t>
            </w:r>
          </w:p>
        </w:tc>
        <w:tc>
          <w:tcPr>
            <w:tcW w:w="1088"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3952F3DA">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1096.754</w:t>
            </w:r>
          </w:p>
        </w:tc>
        <w:tc>
          <w:tcPr>
            <w:tcW w:w="566"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1416EB9A">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65</w:t>
            </w:r>
          </w:p>
        </w:tc>
        <w:tc>
          <w:tcPr>
            <w:tcW w:w="909"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7FA03031">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16.873</w:t>
            </w:r>
          </w:p>
        </w:tc>
        <w:tc>
          <w:tcPr>
            <w:tcW w:w="942"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38ADE5DC">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.816</w:t>
            </w:r>
          </w:p>
        </w:tc>
        <w:tc>
          <w:tcPr>
            <w:tcW w:w="1098"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1A65176D">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.780</w:t>
            </w:r>
          </w:p>
        </w:tc>
        <w:tc>
          <w:tcPr>
            <w:tcW w:w="1894"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0EB82132">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.168 [</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 xml:space="preserve">.159, </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.177]</w:t>
            </w:r>
          </w:p>
        </w:tc>
        <w:tc>
          <w:tcPr>
            <w:tcW w:w="2280"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10A14335">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.396-</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.949</w:t>
            </w:r>
          </w:p>
        </w:tc>
      </w:tr>
      <w:tr w14:paraId="7F37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75"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72E9DA02">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Three-factor model</w:t>
            </w:r>
          </w:p>
        </w:tc>
        <w:tc>
          <w:tcPr>
            <w:tcW w:w="1088"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23D43FC1">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381.517</w:t>
            </w:r>
          </w:p>
        </w:tc>
        <w:tc>
          <w:tcPr>
            <w:tcW w:w="566"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37681A22">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62</w:t>
            </w:r>
          </w:p>
        </w:tc>
        <w:tc>
          <w:tcPr>
            <w:tcW w:w="909"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2FC05A12">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6"/>
                <w:szCs w:val="22"/>
              </w:rPr>
              <w:t>6.153</w:t>
            </w:r>
          </w:p>
        </w:tc>
        <w:tc>
          <w:tcPr>
            <w:tcW w:w="942"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70F6644E">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.943</w:t>
            </w:r>
          </w:p>
        </w:tc>
        <w:tc>
          <w:tcPr>
            <w:tcW w:w="1098"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4DAAD9CC">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.928</w:t>
            </w:r>
          </w:p>
        </w:tc>
        <w:tc>
          <w:tcPr>
            <w:tcW w:w="1894"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2A945BE8">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.096 [</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 xml:space="preserve">.087, </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.105]</w:t>
            </w:r>
          </w:p>
        </w:tc>
        <w:tc>
          <w:tcPr>
            <w:tcW w:w="2280"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3C5BD8D7">
            <w:pPr>
              <w:pageBreakBefore w:val="0"/>
              <w:widowControl/>
              <w:kinsoku/>
              <w:wordWrap/>
              <w:overflowPunct/>
              <w:topLinePunct w:val="0"/>
              <w:autoSpaceDE/>
              <w:autoSpaceDN/>
              <w:bidi w:val="0"/>
              <w:adjustRightInd/>
              <w:snapToGrid/>
              <w:spacing w:before="0" w:after="0" w:line="480" w:lineRule="auto"/>
              <w:ind w:firstLine="16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.552-</w:t>
            </w:r>
            <w:r>
              <w:rPr>
                <w:rFonts w:hint="default" w:ascii="Times New Roman" w:hAnsi="Times New Roman" w:eastAsia="宋体" w:cs="Times New Roman"/>
                <w:b w:val="0"/>
                <w:bCs/>
                <w:color w:val="000000"/>
                <w:sz w:val="16"/>
                <w:szCs w:val="22"/>
                <w:lang w:val="en-US" w:eastAsia="zh-CN"/>
              </w:rPr>
              <w:t>0</w:t>
            </w:r>
            <w:r>
              <w:rPr>
                <w:rFonts w:hint="default" w:ascii="Times New Roman" w:hAnsi="Times New Roman" w:eastAsia="Times New Roman" w:cs="Times New Roman"/>
                <w:b w:val="0"/>
                <w:bCs/>
                <w:color w:val="000000"/>
                <w:sz w:val="16"/>
                <w:szCs w:val="22"/>
              </w:rPr>
              <w:t>.962</w:t>
            </w:r>
          </w:p>
        </w:tc>
      </w:tr>
    </w:tbl>
    <w:p w14:paraId="0773DDCD">
      <w:pPr>
        <w:pageBreakBefore w:val="0"/>
        <w:widowControl/>
        <w:kinsoku/>
        <w:wordWrap/>
        <w:overflowPunct/>
        <w:topLinePunct w:val="0"/>
        <w:autoSpaceDE/>
        <w:autoSpaceDN/>
        <w:bidi w:val="0"/>
        <w:adjustRightInd/>
        <w:snapToGrid/>
        <w:spacing w:before="40" w:after="160" w:line="480" w:lineRule="auto"/>
        <w:ind w:firstLine="18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i/>
          <w:color w:val="auto"/>
          <w:sz w:val="18"/>
          <w:szCs w:val="22"/>
        </w:rPr>
        <w:t>Note. The three-factor model fit significantly better than the one-factor model, Δχ²(3) = 715.237, p &lt; .001. Although the three-factor solution showed substantially improved relative fit, RMSEA = .096 indicates some remaining absolute model misfit.</w:t>
      </w:r>
    </w:p>
    <w:p w14:paraId="122CA50F">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S2. Standardized Factor Loadings for the Theoretical Three-Factor CFA Model</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3"/>
        <w:gridCol w:w="2229"/>
        <w:gridCol w:w="2931"/>
      </w:tblGrid>
      <w:tr w14:paraId="36EC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blHeader/>
          <w:jc w:val="center"/>
        </w:trPr>
        <w:tc>
          <w:tcPr>
            <w:tcW w:w="2343" w:type="dxa"/>
            <w:tcBorders>
              <w:top w:val="single" w:color="000000" w:sz="12" w:space="0"/>
              <w:left w:val="nil"/>
              <w:bottom w:val="single" w:color="000000" w:sz="4" w:space="0"/>
              <w:right w:val="nil"/>
              <w:tl2br w:val="nil"/>
            </w:tcBorders>
            <w:shd w:val="clear" w:color="auto" w:fill="FFFFFF"/>
            <w:tcMar>
              <w:top w:w="90" w:type="dxa"/>
              <w:left w:w="110" w:type="dxa"/>
              <w:bottom w:w="90" w:type="dxa"/>
              <w:right w:w="110" w:type="dxa"/>
            </w:tcMar>
            <w:vAlign w:val="center"/>
          </w:tcPr>
          <w:p w14:paraId="72A4B218">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left"/>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Latent factor</w:t>
            </w:r>
          </w:p>
        </w:tc>
        <w:tc>
          <w:tcPr>
            <w:tcW w:w="2229"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7C0688BF">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Item</w:t>
            </w:r>
          </w:p>
        </w:tc>
        <w:tc>
          <w:tcPr>
            <w:tcW w:w="2931"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025890F3">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Standardized loading</w:t>
            </w:r>
          </w:p>
        </w:tc>
      </w:tr>
      <w:tr w14:paraId="00EA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43" w:type="dxa"/>
            <w:vMerge w:val="restart"/>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358BC91B">
            <w:pPr>
              <w:pageBreakBefore w:val="0"/>
              <w:widowControl/>
              <w:kinsoku/>
              <w:wordWrap/>
              <w:overflowPunct/>
              <w:topLinePunct w:val="0"/>
              <w:autoSpaceDE/>
              <w:autoSpaceDN/>
              <w:bidi w:val="0"/>
              <w:adjustRightInd/>
              <w:snapToGrid/>
              <w:spacing w:before="0" w:after="0" w:line="480" w:lineRule="auto"/>
              <w:ind w:firstLine="180" w:firstLineChars="100"/>
              <w:jc w:val="left"/>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Focus</w:t>
            </w:r>
          </w:p>
        </w:tc>
        <w:tc>
          <w:tcPr>
            <w:tcW w:w="2229"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64EB1A54">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A1</w:t>
            </w:r>
          </w:p>
        </w:tc>
        <w:tc>
          <w:tcPr>
            <w:tcW w:w="2931"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4FB568CB">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680</w:t>
            </w:r>
          </w:p>
        </w:tc>
      </w:tr>
      <w:tr w14:paraId="06C6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0DC438FA">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42168ECB">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A2</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32F75800">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716</w:t>
            </w:r>
          </w:p>
        </w:tc>
      </w:tr>
      <w:tr w14:paraId="2FBB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0A0029C6">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409EC566">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A3</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42228A9F">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783</w:t>
            </w:r>
          </w:p>
        </w:tc>
      </w:tr>
      <w:tr w14:paraId="66F3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13B4E70A">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2D79A491">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A4</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1A039605">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902</w:t>
            </w:r>
          </w:p>
        </w:tc>
      </w:tr>
      <w:tr w14:paraId="01AC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restart"/>
            <w:tcBorders>
              <w:top w:val="nil"/>
              <w:left w:val="nil"/>
              <w:bottom w:val="nil"/>
              <w:right w:val="nil"/>
            </w:tcBorders>
            <w:shd w:val="clear" w:color="auto" w:fill="FFFFFF"/>
            <w:tcMar>
              <w:top w:w="90" w:type="dxa"/>
              <w:left w:w="110" w:type="dxa"/>
              <w:bottom w:w="90" w:type="dxa"/>
              <w:right w:w="110" w:type="dxa"/>
            </w:tcMar>
            <w:vAlign w:val="center"/>
          </w:tcPr>
          <w:p w14:paraId="332B1DFA">
            <w:pPr>
              <w:pageBreakBefore w:val="0"/>
              <w:widowControl/>
              <w:kinsoku/>
              <w:wordWrap/>
              <w:overflowPunct/>
              <w:topLinePunct w:val="0"/>
              <w:autoSpaceDE/>
              <w:autoSpaceDN/>
              <w:bidi w:val="0"/>
              <w:adjustRightInd/>
              <w:snapToGrid/>
              <w:spacing w:before="0" w:after="0" w:line="480" w:lineRule="auto"/>
              <w:ind w:firstLine="180" w:firstLineChars="100"/>
              <w:jc w:val="left"/>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Work enjoyment</w:t>
            </w: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724196C9">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A5</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44EC9EF8">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867</w:t>
            </w:r>
          </w:p>
        </w:tc>
      </w:tr>
      <w:tr w14:paraId="0AFC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77B1A78D">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1DACA604">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A6</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272F8664">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891</w:t>
            </w:r>
          </w:p>
        </w:tc>
      </w:tr>
      <w:tr w14:paraId="3FF4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64362111">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776CC0E4">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A7</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2B68F477">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962</w:t>
            </w:r>
          </w:p>
        </w:tc>
      </w:tr>
      <w:tr w14:paraId="1A99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45AAB5A9">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12EC465F">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A8</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0F0365A9">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959</w:t>
            </w:r>
          </w:p>
        </w:tc>
      </w:tr>
      <w:tr w14:paraId="3E29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restart"/>
            <w:tcBorders>
              <w:top w:val="nil"/>
              <w:left w:val="nil"/>
              <w:bottom w:val="nil"/>
              <w:right w:val="nil"/>
            </w:tcBorders>
            <w:shd w:val="clear" w:color="auto" w:fill="FFFFFF"/>
            <w:tcMar>
              <w:top w:w="90" w:type="dxa"/>
              <w:left w:w="110" w:type="dxa"/>
              <w:bottom w:w="90" w:type="dxa"/>
              <w:right w:w="110" w:type="dxa"/>
            </w:tcMar>
            <w:vAlign w:val="center"/>
          </w:tcPr>
          <w:p w14:paraId="5E593B78">
            <w:pPr>
              <w:pageBreakBefore w:val="0"/>
              <w:widowControl/>
              <w:kinsoku/>
              <w:wordWrap/>
              <w:overflowPunct/>
              <w:topLinePunct w:val="0"/>
              <w:autoSpaceDE/>
              <w:autoSpaceDN/>
              <w:bidi w:val="0"/>
              <w:adjustRightInd/>
              <w:snapToGrid/>
              <w:spacing w:before="0" w:after="0" w:line="480" w:lineRule="auto"/>
              <w:ind w:firstLine="180" w:firstLineChars="100"/>
              <w:jc w:val="left"/>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Intrinsic work motivation</w:t>
            </w: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3D714B66">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A9</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573935C2">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613</w:t>
            </w:r>
          </w:p>
        </w:tc>
      </w:tr>
      <w:tr w14:paraId="2569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024CE7DB">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34A68F7A">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A10</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65A87146">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674</w:t>
            </w:r>
          </w:p>
        </w:tc>
      </w:tr>
      <w:tr w14:paraId="7DCA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0A38F7B8">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763C3E7D">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A11</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149040FD">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890</w:t>
            </w:r>
          </w:p>
        </w:tc>
      </w:tr>
      <w:tr w14:paraId="7A57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nil"/>
              <w:right w:val="nil"/>
            </w:tcBorders>
            <w:shd w:val="clear" w:color="auto" w:fill="FFFFFF"/>
            <w:tcMar>
              <w:top w:w="90" w:type="dxa"/>
              <w:left w:w="110" w:type="dxa"/>
              <w:bottom w:w="90" w:type="dxa"/>
              <w:right w:w="110" w:type="dxa"/>
            </w:tcMar>
            <w:vAlign w:val="center"/>
          </w:tcPr>
          <w:p w14:paraId="7C723F45">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nil"/>
              <w:right w:val="nil"/>
            </w:tcBorders>
            <w:shd w:val="clear" w:color="auto" w:fill="FFFFFF"/>
            <w:tcMar>
              <w:top w:w="90" w:type="dxa"/>
              <w:left w:w="110" w:type="dxa"/>
              <w:bottom w:w="90" w:type="dxa"/>
              <w:right w:w="110" w:type="dxa"/>
            </w:tcMar>
            <w:vAlign w:val="center"/>
          </w:tcPr>
          <w:p w14:paraId="4F13CAB6">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A12</w:t>
            </w:r>
          </w:p>
        </w:tc>
        <w:tc>
          <w:tcPr>
            <w:tcW w:w="2931" w:type="dxa"/>
            <w:tcBorders>
              <w:top w:val="nil"/>
              <w:left w:val="nil"/>
              <w:bottom w:val="nil"/>
              <w:right w:val="nil"/>
            </w:tcBorders>
            <w:shd w:val="clear" w:color="auto" w:fill="FFFFFF"/>
            <w:tcMar>
              <w:top w:w="90" w:type="dxa"/>
              <w:left w:w="110" w:type="dxa"/>
              <w:bottom w:w="90" w:type="dxa"/>
              <w:right w:w="110" w:type="dxa"/>
            </w:tcMar>
            <w:vAlign w:val="center"/>
          </w:tcPr>
          <w:p w14:paraId="6EAB12A8">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552</w:t>
            </w:r>
          </w:p>
        </w:tc>
      </w:tr>
      <w:tr w14:paraId="4740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3" w:type="dxa"/>
            <w:vMerge w:val="continue"/>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49833F9B">
            <w:pPr>
              <w:pageBreakBefore w:val="0"/>
              <w:widowControl/>
              <w:kinsoku/>
              <w:wordWrap/>
              <w:overflowPunct/>
              <w:topLinePunct w:val="0"/>
              <w:autoSpaceDE/>
              <w:autoSpaceDN/>
              <w:bidi w:val="0"/>
              <w:adjustRightInd/>
              <w:snapToGrid/>
              <w:spacing w:before="0" w:after="0" w:line="480" w:lineRule="auto"/>
              <w:ind w:firstLine="210" w:firstLineChars="100"/>
              <w:jc w:val="left"/>
              <w:textAlignment w:val="auto"/>
              <w:rPr>
                <w:rFonts w:hint="default" w:ascii="Times New Roman" w:hAnsi="Times New Roman" w:cs="Times New Roman"/>
                <w:b w:val="0"/>
                <w:bCs/>
                <w:color w:val="000000"/>
                <w:sz w:val="21"/>
                <w:szCs w:val="22"/>
              </w:rPr>
            </w:pPr>
          </w:p>
        </w:tc>
        <w:tc>
          <w:tcPr>
            <w:tcW w:w="2229"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7BF113B6">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Times New Roman" w:cs="Times New Roman"/>
                <w:b w:val="0"/>
                <w:bCs/>
                <w:color w:val="000000"/>
                <w:sz w:val="18"/>
                <w:szCs w:val="22"/>
              </w:rPr>
              <w:t>A13</w:t>
            </w:r>
          </w:p>
        </w:tc>
        <w:tc>
          <w:tcPr>
            <w:tcW w:w="2931"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35B9FA48">
            <w:pPr>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738</w:t>
            </w:r>
          </w:p>
        </w:tc>
      </w:tr>
    </w:tbl>
    <w:p w14:paraId="4B6FD8F7">
      <w:pPr>
        <w:pageBreakBefore w:val="0"/>
        <w:widowControl/>
        <w:kinsoku/>
        <w:wordWrap/>
        <w:overflowPunct/>
        <w:topLinePunct w:val="0"/>
        <w:autoSpaceDE/>
        <w:autoSpaceDN/>
        <w:bidi w:val="0"/>
        <w:adjustRightInd/>
        <w:snapToGrid/>
        <w:spacing w:before="40" w:after="160" w:line="480" w:lineRule="auto"/>
        <w:ind w:firstLine="18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i/>
          <w:color w:val="auto"/>
          <w:sz w:val="18"/>
          <w:szCs w:val="22"/>
        </w:rPr>
        <w:t>Note. Standardized factor loadings ranged from .552 to .962 in the theoretical three-factor model.</w:t>
      </w:r>
    </w:p>
    <w:p w14:paraId="398942BF">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S3. Correlations Among Latent Factors in the Theoretical Three-Factor CFA Model</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3"/>
        <w:gridCol w:w="5083"/>
      </w:tblGrid>
      <w:tr w14:paraId="57F4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80" w:type="dxa"/>
            <w:tcBorders>
              <w:top w:val="single" w:color="000000" w:sz="12" w:space="0"/>
              <w:left w:val="nil"/>
              <w:bottom w:val="single" w:color="000000" w:sz="4" w:space="0"/>
              <w:right w:val="nil"/>
              <w:tl2br w:val="nil"/>
            </w:tcBorders>
            <w:shd w:val="clear" w:color="auto" w:fill="FFFFFF"/>
            <w:tcMar>
              <w:top w:w="90" w:type="dxa"/>
              <w:left w:w="110" w:type="dxa"/>
              <w:bottom w:w="90" w:type="dxa"/>
              <w:right w:w="110" w:type="dxa"/>
            </w:tcMar>
            <w:vAlign w:val="center"/>
          </w:tcPr>
          <w:p w14:paraId="6E055955">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Times New Roman" w:cs="Times New Roman"/>
                <w:b w:val="0"/>
                <w:bCs/>
                <w:color w:val="000000"/>
                <w:sz w:val="18"/>
                <w:szCs w:val="22"/>
              </w:rPr>
              <w:t>Factor pair</w:t>
            </w:r>
          </w:p>
        </w:tc>
        <w:tc>
          <w:tcPr>
            <w:tcW w:w="2304" w:type="dxa"/>
            <w:tcBorders>
              <w:top w:val="single" w:color="000000" w:sz="12" w:space="0"/>
              <w:left w:val="nil"/>
              <w:bottom w:val="single" w:color="000000" w:sz="4" w:space="0"/>
              <w:right w:val="nil"/>
            </w:tcBorders>
            <w:shd w:val="clear" w:color="auto" w:fill="FFFFFF"/>
            <w:tcMar>
              <w:top w:w="90" w:type="dxa"/>
              <w:left w:w="110" w:type="dxa"/>
              <w:bottom w:w="90" w:type="dxa"/>
              <w:right w:w="110" w:type="dxa"/>
            </w:tcMar>
            <w:vAlign w:val="center"/>
          </w:tcPr>
          <w:p w14:paraId="3A23178F">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Times New Roman" w:cs="Times New Roman"/>
                <w:b w:val="0"/>
                <w:bCs/>
                <w:color w:val="000000"/>
                <w:sz w:val="18"/>
                <w:szCs w:val="22"/>
              </w:rPr>
              <w:t>Latent correlation</w:t>
            </w:r>
          </w:p>
        </w:tc>
      </w:tr>
      <w:tr w14:paraId="46C3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0"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40604C1B">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Times New Roman" w:cs="Times New Roman"/>
                <w:b w:val="0"/>
                <w:bCs/>
                <w:color w:val="000000"/>
                <w:sz w:val="18"/>
                <w:szCs w:val="22"/>
              </w:rPr>
              <w:t>Focus - Intrinsic work motivation</w:t>
            </w:r>
          </w:p>
        </w:tc>
        <w:tc>
          <w:tcPr>
            <w:tcW w:w="2304" w:type="dxa"/>
            <w:tcBorders>
              <w:top w:val="single" w:color="000000" w:sz="4" w:space="0"/>
              <w:left w:val="nil"/>
              <w:bottom w:val="nil"/>
              <w:right w:val="nil"/>
            </w:tcBorders>
            <w:shd w:val="clear" w:color="auto" w:fill="FFFFFF"/>
            <w:tcMar>
              <w:top w:w="90" w:type="dxa"/>
              <w:left w:w="110" w:type="dxa"/>
              <w:bottom w:w="90" w:type="dxa"/>
              <w:right w:w="110" w:type="dxa"/>
            </w:tcMar>
            <w:vAlign w:val="center"/>
          </w:tcPr>
          <w:p w14:paraId="4ABA673A">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590</w:t>
            </w:r>
          </w:p>
        </w:tc>
      </w:tr>
      <w:tr w14:paraId="12D1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0" w:type="dxa"/>
            <w:tcBorders>
              <w:top w:val="nil"/>
              <w:left w:val="nil"/>
              <w:bottom w:val="nil"/>
              <w:right w:val="nil"/>
            </w:tcBorders>
            <w:shd w:val="clear" w:color="auto" w:fill="FFFFFF"/>
            <w:tcMar>
              <w:top w:w="90" w:type="dxa"/>
              <w:left w:w="110" w:type="dxa"/>
              <w:bottom w:w="90" w:type="dxa"/>
              <w:right w:w="110" w:type="dxa"/>
            </w:tcMar>
            <w:vAlign w:val="center"/>
          </w:tcPr>
          <w:p w14:paraId="5CFA0E67">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Times New Roman" w:cs="Times New Roman"/>
                <w:b w:val="0"/>
                <w:bCs/>
                <w:color w:val="000000"/>
                <w:sz w:val="18"/>
                <w:szCs w:val="22"/>
              </w:rPr>
              <w:t>Focus - Work enjoyment</w:t>
            </w:r>
          </w:p>
        </w:tc>
        <w:tc>
          <w:tcPr>
            <w:tcW w:w="2304" w:type="dxa"/>
            <w:tcBorders>
              <w:top w:val="nil"/>
              <w:left w:val="nil"/>
              <w:bottom w:val="nil"/>
              <w:right w:val="nil"/>
            </w:tcBorders>
            <w:shd w:val="clear" w:color="auto" w:fill="FFFFFF"/>
            <w:tcMar>
              <w:top w:w="90" w:type="dxa"/>
              <w:left w:w="110" w:type="dxa"/>
              <w:bottom w:w="90" w:type="dxa"/>
              <w:right w:w="110" w:type="dxa"/>
            </w:tcMar>
            <w:vAlign w:val="center"/>
          </w:tcPr>
          <w:p w14:paraId="39A78337">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630</w:t>
            </w:r>
          </w:p>
        </w:tc>
      </w:tr>
      <w:tr w14:paraId="35AE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0"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2F45B93E">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Times New Roman" w:cs="Times New Roman"/>
                <w:b w:val="0"/>
                <w:bCs/>
                <w:color w:val="000000"/>
                <w:sz w:val="18"/>
                <w:szCs w:val="22"/>
              </w:rPr>
              <w:t>Work enjoyment - Intrinsic work motivation</w:t>
            </w:r>
          </w:p>
        </w:tc>
        <w:tc>
          <w:tcPr>
            <w:tcW w:w="2304" w:type="dxa"/>
            <w:tcBorders>
              <w:top w:val="nil"/>
              <w:left w:val="nil"/>
              <w:bottom w:val="single" w:color="000000" w:sz="12" w:space="0"/>
              <w:right w:val="nil"/>
            </w:tcBorders>
            <w:shd w:val="clear" w:color="auto" w:fill="FFFFFF"/>
            <w:tcMar>
              <w:top w:w="90" w:type="dxa"/>
              <w:left w:w="110" w:type="dxa"/>
              <w:bottom w:w="90" w:type="dxa"/>
              <w:right w:w="110" w:type="dxa"/>
            </w:tcMar>
            <w:vAlign w:val="center"/>
          </w:tcPr>
          <w:p w14:paraId="2811E314">
            <w:pPr>
              <w:keepNext w:val="0"/>
              <w:keepLines w:val="0"/>
              <w:pageBreakBefore w:val="0"/>
              <w:widowControl/>
              <w:kinsoku/>
              <w:wordWrap/>
              <w:overflowPunct/>
              <w:topLinePunct w:val="0"/>
              <w:autoSpaceDE/>
              <w:autoSpaceDN/>
              <w:bidi w:val="0"/>
              <w:adjustRightInd/>
              <w:snapToGrid/>
              <w:spacing w:before="0" w:after="0" w:line="480" w:lineRule="auto"/>
              <w:ind w:firstLine="180" w:firstLineChars="100"/>
              <w:jc w:val="center"/>
              <w:textAlignment w:val="auto"/>
              <w:rPr>
                <w:rFonts w:hint="default" w:ascii="Times New Roman" w:hAnsi="Times New Roman" w:eastAsia="Times New Roman" w:cs="Times New Roman"/>
                <w:b w:val="0"/>
                <w:bCs/>
                <w:color w:val="000000"/>
                <w:sz w:val="18"/>
                <w:szCs w:val="22"/>
              </w:rPr>
            </w:pPr>
            <w:r>
              <w:rPr>
                <w:rFonts w:hint="default" w:ascii="Times New Roman" w:hAnsi="Times New Roman" w:eastAsia="宋体" w:cs="Times New Roman"/>
                <w:b w:val="0"/>
                <w:bCs/>
                <w:color w:val="000000"/>
                <w:sz w:val="18"/>
                <w:szCs w:val="22"/>
                <w:lang w:eastAsia="zh-CN"/>
              </w:rPr>
              <w:t>0.</w:t>
            </w:r>
            <w:r>
              <w:rPr>
                <w:rFonts w:hint="default" w:ascii="Times New Roman" w:hAnsi="Times New Roman" w:eastAsia="Times New Roman" w:cs="Times New Roman"/>
                <w:b w:val="0"/>
                <w:bCs/>
                <w:color w:val="000000"/>
                <w:sz w:val="18"/>
                <w:szCs w:val="22"/>
              </w:rPr>
              <w:t>824</w:t>
            </w:r>
          </w:p>
        </w:tc>
      </w:tr>
    </w:tbl>
    <w:p w14:paraId="444520E1">
      <w:pPr>
        <w:pageBreakBefore w:val="0"/>
        <w:widowControl/>
        <w:kinsoku/>
        <w:wordWrap/>
        <w:overflowPunct/>
        <w:topLinePunct w:val="0"/>
        <w:autoSpaceDE/>
        <w:autoSpaceDN/>
        <w:bidi w:val="0"/>
        <w:adjustRightInd/>
        <w:snapToGrid/>
        <w:spacing w:before="40" w:after="160" w:line="480" w:lineRule="auto"/>
        <w:ind w:firstLine="18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i/>
          <w:color w:val="auto"/>
          <w:sz w:val="18"/>
          <w:szCs w:val="22"/>
        </w:rPr>
        <w:t>Note. Latent factor correlations ranged from .590 to .824, indicating that the dimensions were substantially related but not identical.</w:t>
      </w:r>
    </w:p>
    <w:p w14:paraId="725F713E">
      <w:pPr>
        <w:pStyle w:val="2"/>
        <w:pageBreakBefore w:val="0"/>
        <w:widowControl/>
        <w:kinsoku/>
        <w:wordWrap/>
        <w:overflowPunct/>
        <w:topLinePunct w:val="0"/>
        <w:autoSpaceDE/>
        <w:autoSpaceDN/>
        <w:bidi w:val="0"/>
        <w:adjustRightInd/>
        <w:snapToGrid/>
        <w:spacing w:line="480" w:lineRule="auto"/>
        <w:ind w:firstLine="240" w:firstLineChars="100"/>
        <w:textAlignment w:val="auto"/>
        <w:rPr>
          <w:rFonts w:hint="default" w:ascii="Times New Roman" w:hAnsi="Times New Roman" w:cs="Times New Roman"/>
          <w:b w:val="0"/>
          <w:bCs/>
          <w:color w:val="auto"/>
          <w:sz w:val="24"/>
          <w:szCs w:val="28"/>
        </w:rPr>
      </w:pPr>
      <w:r>
        <w:rPr>
          <w:rFonts w:hint="default" w:ascii="Times New Roman" w:hAnsi="Times New Roman" w:eastAsia="Times New Roman" w:cs="Times New Roman"/>
          <w:b w:val="0"/>
          <w:bCs/>
          <w:color w:val="auto"/>
          <w:sz w:val="24"/>
          <w:szCs w:val="28"/>
        </w:rPr>
        <w:t>Supplementary Figure</w:t>
      </w:r>
    </w:p>
    <w:p w14:paraId="40E49A85">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Figure S1. Theoretical Three-Factor Correlated CFA Measurement Model</w:t>
      </w:r>
    </w:p>
    <w:p w14:paraId="31A4553D">
      <w:pPr>
        <w:pageBreakBefore w:val="0"/>
        <w:widowControl/>
        <w:kinsoku/>
        <w:wordWrap/>
        <w:overflowPunct/>
        <w:topLinePunct w:val="0"/>
        <w:autoSpaceDE/>
        <w:autoSpaceDN/>
        <w:bidi w:val="0"/>
        <w:adjustRightInd/>
        <w:snapToGrid/>
        <w:spacing w:after="80" w:line="480" w:lineRule="auto"/>
        <w:ind w:firstLine="210" w:firstLineChars="100"/>
        <w:jc w:val="center"/>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drawing>
          <wp:inline distT="0" distB="0" distL="114300" distR="114300">
            <wp:extent cx="3337560" cy="4824095"/>
            <wp:effectExtent l="0" t="0" r="889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3337560" cy="4824096"/>
                    </a:xfrm>
                    <a:prstGeom prst="rect">
                      <a:avLst/>
                    </a:prstGeom>
                  </pic:spPr>
                </pic:pic>
              </a:graphicData>
            </a:graphic>
          </wp:inline>
        </w:drawing>
      </w:r>
    </w:p>
    <w:p w14:paraId="53104861">
      <w:pPr>
        <w:pageBreakBefore w:val="0"/>
        <w:widowControl/>
        <w:kinsoku/>
        <w:wordWrap/>
        <w:overflowPunct/>
        <w:topLinePunct w:val="0"/>
        <w:autoSpaceDE/>
        <w:autoSpaceDN/>
        <w:bidi w:val="0"/>
        <w:adjustRightInd/>
        <w:snapToGrid/>
        <w:spacing w:before="40" w:after="160" w:line="480" w:lineRule="auto"/>
        <w:ind w:firstLine="18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i/>
          <w:color w:val="auto"/>
          <w:sz w:val="18"/>
          <w:szCs w:val="22"/>
        </w:rPr>
        <w:t>Note. The model specifies Focus (A1-A4), Work enjoyment (A5-A8), and Intrinsic work motivation (A9-A13) as three correlated latent factors. Standardized factor loadings and latent correlations are reported in Supplementary Tables S6 and S7, respectively.</w:t>
      </w:r>
    </w:p>
    <w:p w14:paraId="104FC3A2">
      <w:pPr>
        <w:pStyle w:val="2"/>
        <w:pageBreakBefore w:val="0"/>
        <w:widowControl/>
        <w:kinsoku/>
        <w:wordWrap/>
        <w:overflowPunct/>
        <w:topLinePunct w:val="0"/>
        <w:autoSpaceDE/>
        <w:autoSpaceDN/>
        <w:bidi w:val="0"/>
        <w:adjustRightInd/>
        <w:snapToGrid/>
        <w:spacing w:line="480" w:lineRule="auto"/>
        <w:ind w:firstLine="240" w:firstLineChars="100"/>
        <w:textAlignment w:val="auto"/>
        <w:rPr>
          <w:rFonts w:hint="default" w:ascii="Times New Roman" w:hAnsi="Times New Roman" w:cs="Times New Roman"/>
          <w:b w:val="0"/>
          <w:bCs/>
          <w:color w:val="auto"/>
          <w:sz w:val="24"/>
          <w:szCs w:val="28"/>
        </w:rPr>
      </w:pPr>
      <w:r>
        <w:rPr>
          <w:rFonts w:hint="default" w:ascii="Times New Roman" w:hAnsi="Times New Roman" w:eastAsia="Times New Roman" w:cs="Times New Roman"/>
          <w:b w:val="0"/>
          <w:bCs/>
          <w:color w:val="auto"/>
          <w:sz w:val="24"/>
          <w:szCs w:val="28"/>
        </w:rPr>
        <w:t>Supplementary Interpretation</w:t>
      </w:r>
    </w:p>
    <w:p w14:paraId="4A6A16FC">
      <w:pPr>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 xml:space="preserve">The one-factor CFA model showed poor fit, whereas the theoretical three-factor model provided substantially better fit. The significant chi-square difference, together with the standardized factor loadings and latent correlations, indicates that a single-factor representation is insufficient relative to the proposed multidimensional structure. However, because the three-factor model retained some absolute misfit (RMSEA = </w:t>
      </w:r>
      <w:r>
        <w:rPr>
          <w:rFonts w:hint="default" w:ascii="Times New Roman" w:hAnsi="Times New Roman" w:eastAsia="宋体" w:cs="Times New Roman"/>
          <w:b w:val="0"/>
          <w:bCs/>
          <w:color w:val="auto"/>
          <w:sz w:val="21"/>
          <w:szCs w:val="22"/>
          <w:lang w:val="en-US" w:eastAsia="zh-CN"/>
        </w:rPr>
        <w:t>0</w:t>
      </w:r>
      <w:r>
        <w:rPr>
          <w:rFonts w:hint="default" w:ascii="Times New Roman" w:hAnsi="Times New Roman" w:eastAsia="Times New Roman" w:cs="Times New Roman"/>
          <w:b w:val="0"/>
          <w:bCs/>
          <w:color w:val="auto"/>
          <w:sz w:val="21"/>
          <w:szCs w:val="22"/>
        </w:rPr>
        <w:t>.096), these CFA results are interpreted as supporting the relative plausibility of the three-dimensional measurement structure rather than as evidence that the latent profiles represent qualitatively distinct subpopulations.</w:t>
      </w:r>
    </w:p>
    <w:p w14:paraId="0A8FFFDA">
      <w:pPr>
        <w:pageBreakBefore w:val="0"/>
        <w:widowControl/>
        <w:kinsoku/>
        <w:wordWrap/>
        <w:overflowPunct/>
        <w:topLinePunct w:val="0"/>
        <w:autoSpaceDE/>
        <w:autoSpaceDN/>
        <w:bidi w:val="0"/>
        <w:adjustRightInd/>
        <w:snapToGrid/>
        <w:spacing w:line="480" w:lineRule="auto"/>
        <w:ind w:firstLine="180" w:firstLineChars="100"/>
        <w:textAlignment w:val="auto"/>
        <w:rPr>
          <w:rFonts w:hint="eastAsia" w:ascii="Times New Roman" w:hAnsi="Times New Roman" w:eastAsia="宋体" w:cs="Times New Roman"/>
          <w:b w:val="0"/>
          <w:bCs/>
          <w:color w:val="auto"/>
          <w:sz w:val="18"/>
          <w:szCs w:val="22"/>
          <w:lang w:val="en-US" w:eastAsia="zh-CN"/>
        </w:rPr>
      </w:pPr>
      <w:r>
        <w:rPr>
          <w:rFonts w:hint="default" w:ascii="Times New Roman" w:hAnsi="Times New Roman" w:eastAsia="Times New Roman" w:cs="Times New Roman"/>
          <w:b w:val="0"/>
          <w:bCs/>
          <w:color w:val="auto"/>
          <w:sz w:val="18"/>
          <w:szCs w:val="22"/>
        </w:rPr>
        <w:t>Abbreviations: CFA = confirmatory factor analysis; CFI = comparative fit index; RMSEA = root mean square error of approximation; TLI = Tucker-Lewis index.</w:t>
      </w:r>
      <w:r>
        <w:rPr>
          <w:rFonts w:hint="eastAsia" w:ascii="Times New Roman" w:hAnsi="Times New Roman" w:eastAsia="宋体" w:cs="Times New Roman"/>
          <w:b w:val="0"/>
          <w:bCs/>
          <w:color w:val="auto"/>
          <w:sz w:val="18"/>
          <w:szCs w:val="22"/>
          <w:lang w:val="en-US" w:eastAsia="zh-CN"/>
        </w:rPr>
        <w:t xml:space="preserve"> </w:t>
      </w:r>
    </w:p>
    <w:p w14:paraId="56332028">
      <w:pPr>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ajorEastAsia"/>
          <w:b w:val="0"/>
          <w:bCs w:val="0"/>
          <w:color w:val="2D3748"/>
          <w:sz w:val="24"/>
          <w:szCs w:val="28"/>
          <w:highlight w:val="none"/>
          <w:lang w:val="en-US" w:eastAsia="zh-CN" w:bidi="ar-SA"/>
        </w:rPr>
      </w:pPr>
      <w:r>
        <w:rPr>
          <w:rFonts w:hint="default" w:ascii="Times New Roman" w:hAnsi="Times New Roman" w:cs="Times New Roman" w:eastAsiaTheme="majorEastAsia"/>
          <w:b w:val="0"/>
          <w:bCs w:val="0"/>
          <w:color w:val="2D3748"/>
          <w:sz w:val="24"/>
          <w:szCs w:val="28"/>
          <w:highlight w:val="none"/>
          <w:lang w:val="en-US" w:eastAsia="zh-CN" w:bidi="ar-SA"/>
        </w:rPr>
        <w:t xml:space="preserve">Supplementary Material </w:t>
      </w:r>
      <w:r>
        <w:rPr>
          <w:rFonts w:hint="eastAsia" w:ascii="Times New Roman" w:hAnsi="Times New Roman" w:cs="Times New Roman" w:eastAsiaTheme="majorEastAsia"/>
          <w:b w:val="0"/>
          <w:bCs w:val="0"/>
          <w:color w:val="2D3748"/>
          <w:sz w:val="24"/>
          <w:szCs w:val="28"/>
          <w:highlight w:val="none"/>
          <w:lang w:val="en-US" w:eastAsia="zh-CN" w:bidi="ar-SA"/>
        </w:rPr>
        <w:t>2</w:t>
      </w:r>
      <w:r>
        <w:rPr>
          <w:rFonts w:hint="default" w:ascii="Times New Roman" w:hAnsi="Times New Roman" w:cs="Times New Roman" w:eastAsiaTheme="majorEastAsia"/>
          <w:b w:val="0"/>
          <w:bCs w:val="0"/>
          <w:color w:val="2D3748"/>
          <w:sz w:val="24"/>
          <w:szCs w:val="28"/>
          <w:highlight w:val="none"/>
          <w:lang w:val="en-US" w:eastAsia="zh-CN" w:bidi="ar-SA"/>
        </w:rPr>
        <w:t>:</w:t>
      </w:r>
      <w:r>
        <w:rPr>
          <w:rFonts w:hint="eastAsia" w:ascii="Times New Roman" w:hAnsi="Times New Roman" w:cs="Times New Roman" w:eastAsiaTheme="majorEastAsia"/>
          <w:b w:val="0"/>
          <w:bCs w:val="0"/>
          <w:color w:val="2D3748"/>
          <w:sz w:val="24"/>
          <w:szCs w:val="28"/>
          <w:highlight w:val="none"/>
          <w:lang w:val="en-US" w:eastAsia="zh-CN" w:bidi="ar-SA"/>
        </w:rPr>
        <w:t xml:space="preserve"> S</w:t>
      </w:r>
      <w:r>
        <w:rPr>
          <w:rFonts w:hint="default" w:ascii="Times New Roman" w:hAnsi="Times New Roman" w:cs="Times New Roman" w:eastAsiaTheme="majorEastAsia"/>
          <w:b w:val="0"/>
          <w:bCs w:val="0"/>
          <w:color w:val="2D3748"/>
          <w:sz w:val="24"/>
          <w:szCs w:val="28"/>
          <w:highlight w:val="none"/>
          <w:lang w:val="en-US" w:eastAsia="zh-CN" w:bidi="ar-SA"/>
        </w:rPr>
        <w:t xml:space="preserve">ensibility </w:t>
      </w:r>
      <w:r>
        <w:rPr>
          <w:rFonts w:hint="eastAsia" w:ascii="Times New Roman" w:hAnsi="Times New Roman" w:cs="Times New Roman" w:eastAsiaTheme="majorEastAsia"/>
          <w:b w:val="0"/>
          <w:bCs w:val="0"/>
          <w:color w:val="2D3748"/>
          <w:sz w:val="24"/>
          <w:szCs w:val="28"/>
          <w:highlight w:val="none"/>
          <w:lang w:val="en-US" w:eastAsia="zh-CN" w:bidi="ar-SA"/>
        </w:rPr>
        <w:t>A</w:t>
      </w:r>
      <w:r>
        <w:rPr>
          <w:rFonts w:hint="default" w:ascii="Times New Roman" w:hAnsi="Times New Roman" w:cs="Times New Roman" w:eastAsiaTheme="majorEastAsia"/>
          <w:b w:val="0"/>
          <w:bCs w:val="0"/>
          <w:color w:val="2D3748"/>
          <w:sz w:val="24"/>
          <w:szCs w:val="28"/>
          <w:highlight w:val="none"/>
          <w:lang w:val="en-US" w:eastAsia="zh-CN" w:bidi="ar-SA"/>
        </w:rPr>
        <w:t>nalysis</w:t>
      </w:r>
    </w:p>
    <w:p w14:paraId="2F0E9337">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S4. Table of model fit indices for the latent profile model constructed based on scores across three dimensions</w:t>
      </w:r>
    </w:p>
    <w:tbl>
      <w:tblPr>
        <w:tblStyle w:val="4"/>
        <w:tblW w:w="11132"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16"/>
        <w:gridCol w:w="1210"/>
        <w:gridCol w:w="1222"/>
        <w:gridCol w:w="1179"/>
        <w:gridCol w:w="961"/>
        <w:gridCol w:w="1041"/>
        <w:gridCol w:w="1029"/>
        <w:gridCol w:w="3374"/>
      </w:tblGrid>
      <w:tr w14:paraId="7BE0EC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6" w:type="dxa"/>
            <w:tcBorders>
              <w:top w:val="single" w:color="000000" w:sz="12" w:space="0"/>
              <w:bottom w:val="single" w:color="000000" w:sz="4" w:space="0"/>
              <w:tl2br w:val="nil"/>
            </w:tcBorders>
            <w:shd w:val="clear" w:color="auto" w:fill="FFFFFF"/>
            <w:vAlign w:val="center"/>
          </w:tcPr>
          <w:p w14:paraId="37AFE2D1">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hint="default" w:ascii="Times New Roman" w:hAnsi="Times New Roman"/>
                <w:b w:val="0"/>
                <w:color w:val="000000"/>
                <w:highlight w:val="none"/>
                <w:vertAlign w:val="baseline"/>
                <w:lang w:val="en-US"/>
              </w:rPr>
            </w:pPr>
            <w:r>
              <w:rPr>
                <w:rFonts w:hint="eastAsia" w:ascii="Times New Roman" w:hAnsi="Times New Roman" w:eastAsia="宋体" w:cs="宋体"/>
                <w:b w:val="0"/>
                <w:i w:val="0"/>
                <w:iCs w:val="0"/>
                <w:color w:val="000000"/>
                <w:kern w:val="0"/>
                <w:sz w:val="22"/>
                <w:szCs w:val="22"/>
                <w:highlight w:val="none"/>
                <w:u w:val="none"/>
                <w:lang w:val="en-US" w:eastAsia="zh-CN" w:bidi="ar"/>
              </w:rPr>
              <w:t>Model</w:t>
            </w:r>
          </w:p>
        </w:tc>
        <w:tc>
          <w:tcPr>
            <w:tcW w:w="1210" w:type="dxa"/>
            <w:tcBorders>
              <w:top w:val="single" w:color="000000" w:sz="12" w:space="0"/>
              <w:bottom w:val="single" w:color="000000" w:sz="4" w:space="0"/>
            </w:tcBorders>
            <w:shd w:val="clear" w:color="auto" w:fill="FFFFFF"/>
            <w:vAlign w:val="center"/>
          </w:tcPr>
          <w:p w14:paraId="54606AA9">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AIC</w:t>
            </w:r>
          </w:p>
        </w:tc>
        <w:tc>
          <w:tcPr>
            <w:tcW w:w="1222" w:type="dxa"/>
            <w:tcBorders>
              <w:top w:val="single" w:color="000000" w:sz="12" w:space="0"/>
              <w:bottom w:val="single" w:color="000000" w:sz="4" w:space="0"/>
            </w:tcBorders>
            <w:shd w:val="clear" w:color="auto" w:fill="FFFFFF"/>
            <w:vAlign w:val="center"/>
          </w:tcPr>
          <w:p w14:paraId="5E1E9198">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BIC</w:t>
            </w:r>
          </w:p>
        </w:tc>
        <w:tc>
          <w:tcPr>
            <w:tcW w:w="1179" w:type="dxa"/>
            <w:tcBorders>
              <w:top w:val="single" w:color="000000" w:sz="12" w:space="0"/>
              <w:bottom w:val="single" w:color="000000" w:sz="4" w:space="0"/>
            </w:tcBorders>
            <w:shd w:val="clear" w:color="auto" w:fill="FFFFFF"/>
            <w:vAlign w:val="center"/>
          </w:tcPr>
          <w:p w14:paraId="4C0EE5F8">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aBIC</w:t>
            </w:r>
          </w:p>
        </w:tc>
        <w:tc>
          <w:tcPr>
            <w:tcW w:w="961" w:type="dxa"/>
            <w:tcBorders>
              <w:top w:val="single" w:color="000000" w:sz="12" w:space="0"/>
              <w:bottom w:val="single" w:color="000000" w:sz="4" w:space="0"/>
            </w:tcBorders>
            <w:shd w:val="clear" w:color="auto" w:fill="FFFFFF"/>
            <w:vAlign w:val="center"/>
          </w:tcPr>
          <w:p w14:paraId="57C4E553">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Entropy</w:t>
            </w:r>
          </w:p>
        </w:tc>
        <w:tc>
          <w:tcPr>
            <w:tcW w:w="1041" w:type="dxa"/>
            <w:tcBorders>
              <w:top w:val="single" w:color="000000" w:sz="12" w:space="0"/>
              <w:bottom w:val="single" w:color="000000" w:sz="4" w:space="0"/>
            </w:tcBorders>
            <w:shd w:val="clear" w:color="auto" w:fill="FFFFFF"/>
            <w:vAlign w:val="center"/>
          </w:tcPr>
          <w:p w14:paraId="79C533FE">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LMR</w:t>
            </w:r>
          </w:p>
        </w:tc>
        <w:tc>
          <w:tcPr>
            <w:tcW w:w="1029" w:type="dxa"/>
            <w:tcBorders>
              <w:top w:val="single" w:color="000000" w:sz="12" w:space="0"/>
              <w:bottom w:val="single" w:color="000000" w:sz="4" w:space="0"/>
            </w:tcBorders>
            <w:shd w:val="clear" w:color="auto" w:fill="FFFFFF"/>
            <w:vAlign w:val="center"/>
          </w:tcPr>
          <w:p w14:paraId="19CE816A">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BLRT</w:t>
            </w:r>
          </w:p>
        </w:tc>
        <w:tc>
          <w:tcPr>
            <w:tcW w:w="3374" w:type="dxa"/>
            <w:tcBorders>
              <w:top w:val="single" w:color="000000" w:sz="12" w:space="0"/>
              <w:bottom w:val="single" w:color="000000" w:sz="4" w:space="0"/>
            </w:tcBorders>
            <w:shd w:val="clear" w:color="auto" w:fill="FFFFFF"/>
            <w:vAlign w:val="center"/>
          </w:tcPr>
          <w:p w14:paraId="74A16D06">
            <w:pPr>
              <w:keepNext w:val="0"/>
              <w:keepLines w:val="0"/>
              <w:pageBreakBefore w:val="0"/>
              <w:widowControl/>
              <w:suppressLineNumbers w:val="0"/>
              <w:kinsoku/>
              <w:wordWrap/>
              <w:overflowPunct/>
              <w:topLinePunct w:val="0"/>
              <w:autoSpaceDE/>
              <w:autoSpaceDN/>
              <w:bidi w:val="0"/>
              <w:adjustRightInd/>
              <w:snapToGrid/>
              <w:ind w:firstLine="220" w:firstLineChars="100"/>
              <w:jc w:val="center"/>
              <w:textAlignment w:val="center"/>
              <w:rPr>
                <w:rFonts w:ascii="Times New Roman" w:hAnsi="Times New Roman"/>
                <w:b w:val="0"/>
                <w:i w:val="0"/>
                <w:iCs w:val="0"/>
                <w:color w:val="000000"/>
                <w:highlight w:val="none"/>
              </w:rPr>
            </w:pPr>
            <w:r>
              <w:rPr>
                <w:rFonts w:hint="eastAsia" w:ascii="Times New Roman" w:hAnsi="Times New Roman" w:eastAsia="宋体" w:cs="宋体"/>
                <w:b w:val="0"/>
                <w:i w:val="0"/>
                <w:iCs w:val="0"/>
                <w:color w:val="000000"/>
                <w:kern w:val="0"/>
                <w:sz w:val="22"/>
                <w:szCs w:val="22"/>
                <w:highlight w:val="none"/>
                <w:u w:val="none"/>
                <w:lang w:val="en-US" w:eastAsia="zh-CN" w:bidi="ar"/>
              </w:rPr>
              <w:t>Profile probability</w:t>
            </w:r>
          </w:p>
        </w:tc>
      </w:tr>
      <w:tr w14:paraId="1348E8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6" w:type="dxa"/>
            <w:tcBorders>
              <w:top w:val="single" w:color="000000" w:sz="4" w:space="0"/>
              <w:tl2br w:val="nil"/>
              <w:tr2bl w:val="nil"/>
            </w:tcBorders>
            <w:shd w:val="clear" w:color="auto" w:fill="FFFFFF"/>
            <w:vAlign w:val="center"/>
          </w:tcPr>
          <w:p w14:paraId="762DC879">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b w:val="0"/>
                <w:i w:val="0"/>
                <w:iCs w:val="0"/>
                <w:color w:val="000000"/>
                <w:highlight w:val="none"/>
                <w:vertAlign w:val="baseline"/>
                <w:lang w:val="en-US"/>
              </w:rPr>
            </w:pPr>
            <w:r>
              <w:rPr>
                <w:rFonts w:ascii="Times New Roman" w:hAnsi="Times New Roman"/>
                <w:b w:val="0"/>
                <w:color w:val="000000"/>
                <w:sz w:val="20"/>
              </w:rPr>
              <w:t>1-profile</w:t>
            </w:r>
          </w:p>
        </w:tc>
        <w:tc>
          <w:tcPr>
            <w:tcW w:w="1210" w:type="dxa"/>
            <w:tcBorders>
              <w:top w:val="single" w:color="000000" w:sz="4" w:space="0"/>
              <w:tl2br w:val="nil"/>
              <w:tr2bl w:val="nil"/>
            </w:tcBorders>
            <w:shd w:val="clear" w:color="auto" w:fill="FFFFFF"/>
            <w:vAlign w:val="center"/>
          </w:tcPr>
          <w:p w14:paraId="0B174EE4">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9024.966</w:t>
            </w:r>
          </w:p>
        </w:tc>
        <w:tc>
          <w:tcPr>
            <w:tcW w:w="1222" w:type="dxa"/>
            <w:tcBorders>
              <w:top w:val="single" w:color="000000" w:sz="4" w:space="0"/>
              <w:tl2br w:val="nil"/>
              <w:tr2bl w:val="nil"/>
            </w:tcBorders>
            <w:shd w:val="clear" w:color="auto" w:fill="FFFFFF"/>
            <w:vAlign w:val="center"/>
          </w:tcPr>
          <w:p w14:paraId="75E510A3">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9050.976</w:t>
            </w:r>
          </w:p>
        </w:tc>
        <w:tc>
          <w:tcPr>
            <w:tcW w:w="1179" w:type="dxa"/>
            <w:tcBorders>
              <w:top w:val="single" w:color="000000" w:sz="4" w:space="0"/>
              <w:tl2br w:val="nil"/>
              <w:tr2bl w:val="nil"/>
            </w:tcBorders>
            <w:shd w:val="clear" w:color="auto" w:fill="FFFFFF"/>
            <w:vAlign w:val="center"/>
          </w:tcPr>
          <w:p w14:paraId="2F4FD93B">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9031.929</w:t>
            </w:r>
          </w:p>
        </w:tc>
        <w:tc>
          <w:tcPr>
            <w:tcW w:w="961" w:type="dxa"/>
            <w:tcBorders>
              <w:top w:val="single" w:color="000000" w:sz="4" w:space="0"/>
              <w:tl2br w:val="nil"/>
              <w:tr2bl w:val="nil"/>
            </w:tcBorders>
            <w:shd w:val="clear" w:color="auto" w:fill="FFFFFF"/>
            <w:vAlign w:val="center"/>
          </w:tcPr>
          <w:p w14:paraId="5F63E8D3">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w:t>
            </w:r>
          </w:p>
        </w:tc>
        <w:tc>
          <w:tcPr>
            <w:tcW w:w="1041" w:type="dxa"/>
            <w:tcBorders>
              <w:top w:val="single" w:color="000000" w:sz="4" w:space="0"/>
              <w:tl2br w:val="nil"/>
              <w:tr2bl w:val="nil"/>
            </w:tcBorders>
            <w:shd w:val="clear" w:color="auto" w:fill="FFFFFF"/>
            <w:vAlign w:val="center"/>
          </w:tcPr>
          <w:p w14:paraId="37E38B04">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w:t>
            </w:r>
          </w:p>
        </w:tc>
        <w:tc>
          <w:tcPr>
            <w:tcW w:w="1029" w:type="dxa"/>
            <w:tcBorders>
              <w:top w:val="single" w:color="000000" w:sz="4" w:space="0"/>
              <w:tl2br w:val="nil"/>
              <w:tr2bl w:val="nil"/>
            </w:tcBorders>
            <w:shd w:val="clear" w:color="auto" w:fill="FFFFFF"/>
            <w:vAlign w:val="center"/>
          </w:tcPr>
          <w:p w14:paraId="0CA8D731">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w:t>
            </w:r>
          </w:p>
        </w:tc>
        <w:tc>
          <w:tcPr>
            <w:tcW w:w="3374" w:type="dxa"/>
            <w:tcBorders>
              <w:top w:val="single" w:color="000000" w:sz="4" w:space="0"/>
              <w:tl2br w:val="nil"/>
              <w:tr2bl w:val="nil"/>
            </w:tcBorders>
            <w:shd w:val="clear" w:color="auto" w:fill="FFFFFF"/>
            <w:vAlign w:val="center"/>
          </w:tcPr>
          <w:p w14:paraId="4E81A646">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w:t>
            </w:r>
          </w:p>
        </w:tc>
      </w:tr>
      <w:tr w14:paraId="256AB5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6" w:type="dxa"/>
            <w:tcBorders>
              <w:bottom w:val="nil"/>
              <w:tl2br w:val="nil"/>
              <w:tr2bl w:val="nil"/>
            </w:tcBorders>
            <w:shd w:val="clear" w:color="auto" w:fill="FFFFFF"/>
            <w:vAlign w:val="center"/>
          </w:tcPr>
          <w:p w14:paraId="57135C7E">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b w:val="0"/>
                <w:i w:val="0"/>
                <w:iCs w:val="0"/>
                <w:color w:val="000000"/>
                <w:highlight w:val="none"/>
                <w:vertAlign w:val="baseline"/>
                <w:lang w:val="en-US"/>
              </w:rPr>
            </w:pPr>
            <w:r>
              <w:rPr>
                <w:rFonts w:ascii="Times New Roman" w:hAnsi="Times New Roman"/>
                <w:b w:val="0"/>
                <w:color w:val="000000"/>
                <w:sz w:val="20"/>
              </w:rPr>
              <w:t>2-profile</w:t>
            </w:r>
          </w:p>
        </w:tc>
        <w:tc>
          <w:tcPr>
            <w:tcW w:w="1210" w:type="dxa"/>
            <w:tcBorders>
              <w:bottom w:val="nil"/>
              <w:tl2br w:val="nil"/>
              <w:tr2bl w:val="nil"/>
            </w:tcBorders>
            <w:shd w:val="clear" w:color="auto" w:fill="FFFFFF"/>
            <w:vAlign w:val="center"/>
          </w:tcPr>
          <w:p w14:paraId="31773B80">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8528.203</w:t>
            </w:r>
          </w:p>
        </w:tc>
        <w:tc>
          <w:tcPr>
            <w:tcW w:w="1222" w:type="dxa"/>
            <w:tcBorders>
              <w:bottom w:val="nil"/>
              <w:tl2br w:val="nil"/>
              <w:tr2bl w:val="nil"/>
            </w:tcBorders>
            <w:shd w:val="clear" w:color="auto" w:fill="FFFFFF"/>
            <w:vAlign w:val="center"/>
          </w:tcPr>
          <w:p w14:paraId="516BC21E">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8571.553</w:t>
            </w:r>
          </w:p>
        </w:tc>
        <w:tc>
          <w:tcPr>
            <w:tcW w:w="1179" w:type="dxa"/>
            <w:tcBorders>
              <w:bottom w:val="nil"/>
              <w:tl2br w:val="nil"/>
              <w:tr2bl w:val="nil"/>
            </w:tcBorders>
            <w:shd w:val="clear" w:color="auto" w:fill="FFFFFF"/>
            <w:vAlign w:val="center"/>
          </w:tcPr>
          <w:p w14:paraId="2F088C54">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8539.808</w:t>
            </w:r>
          </w:p>
        </w:tc>
        <w:tc>
          <w:tcPr>
            <w:tcW w:w="961" w:type="dxa"/>
            <w:tcBorders>
              <w:bottom w:val="nil"/>
              <w:tl2br w:val="nil"/>
              <w:tr2bl w:val="nil"/>
            </w:tcBorders>
            <w:shd w:val="clear" w:color="auto" w:fill="FFFFFF"/>
            <w:vAlign w:val="center"/>
          </w:tcPr>
          <w:p w14:paraId="63C239BF">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0.795</w:t>
            </w:r>
          </w:p>
        </w:tc>
        <w:tc>
          <w:tcPr>
            <w:tcW w:w="1041" w:type="dxa"/>
            <w:tcBorders>
              <w:bottom w:val="nil"/>
              <w:tl2br w:val="nil"/>
              <w:tr2bl w:val="nil"/>
            </w:tcBorders>
            <w:shd w:val="clear" w:color="auto" w:fill="FFFFFF"/>
            <w:vAlign w:val="center"/>
          </w:tcPr>
          <w:p w14:paraId="252A15AE">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&lt;0.001</w:t>
            </w:r>
          </w:p>
        </w:tc>
        <w:tc>
          <w:tcPr>
            <w:tcW w:w="1029" w:type="dxa"/>
            <w:tcBorders>
              <w:bottom w:val="nil"/>
              <w:tl2br w:val="nil"/>
              <w:tr2bl w:val="nil"/>
            </w:tcBorders>
            <w:shd w:val="clear" w:color="auto" w:fill="FFFFFF"/>
            <w:vAlign w:val="center"/>
          </w:tcPr>
          <w:p w14:paraId="265613C8">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&lt;0.001</w:t>
            </w:r>
          </w:p>
        </w:tc>
        <w:tc>
          <w:tcPr>
            <w:tcW w:w="3374" w:type="dxa"/>
            <w:tcBorders>
              <w:bottom w:val="nil"/>
              <w:tl2br w:val="nil"/>
              <w:tr2bl w:val="nil"/>
            </w:tcBorders>
            <w:shd w:val="clear" w:color="auto" w:fill="FFFFFF"/>
            <w:vAlign w:val="center"/>
          </w:tcPr>
          <w:p w14:paraId="799B9706">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37.77/62.23</w:t>
            </w:r>
          </w:p>
        </w:tc>
      </w:tr>
      <w:tr w14:paraId="0E502C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16" w:type="dxa"/>
            <w:tcBorders>
              <w:top w:val="nil"/>
              <w:bottom w:val="nil"/>
              <w:tl2br w:val="nil"/>
              <w:tr2bl w:val="nil"/>
            </w:tcBorders>
            <w:shd w:val="clear" w:color="auto" w:fill="FFFFFF"/>
            <w:vAlign w:val="center"/>
          </w:tcPr>
          <w:p w14:paraId="78A013F5">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b w:val="0"/>
                <w:i w:val="0"/>
                <w:iCs w:val="0"/>
                <w:color w:val="000000"/>
                <w:highlight w:val="none"/>
                <w:vertAlign w:val="baseline"/>
                <w:lang w:val="en-US"/>
              </w:rPr>
            </w:pPr>
            <w:r>
              <w:rPr>
                <w:rFonts w:ascii="Times New Roman" w:hAnsi="Times New Roman"/>
                <w:b w:val="0"/>
                <w:color w:val="000000"/>
                <w:sz w:val="20"/>
              </w:rPr>
              <w:t>3-profile</w:t>
            </w:r>
          </w:p>
        </w:tc>
        <w:tc>
          <w:tcPr>
            <w:tcW w:w="1210" w:type="dxa"/>
            <w:tcBorders>
              <w:top w:val="nil"/>
              <w:bottom w:val="nil"/>
              <w:tl2br w:val="nil"/>
              <w:tr2bl w:val="nil"/>
            </w:tcBorders>
            <w:shd w:val="clear" w:color="auto" w:fill="FFFFFF"/>
            <w:vAlign w:val="center"/>
          </w:tcPr>
          <w:p w14:paraId="2E1AB866">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8390.554</w:t>
            </w:r>
          </w:p>
        </w:tc>
        <w:tc>
          <w:tcPr>
            <w:tcW w:w="1222" w:type="dxa"/>
            <w:tcBorders>
              <w:top w:val="nil"/>
              <w:bottom w:val="nil"/>
              <w:tl2br w:val="nil"/>
              <w:tr2bl w:val="nil"/>
            </w:tcBorders>
            <w:shd w:val="clear" w:color="auto" w:fill="FFFFFF"/>
            <w:vAlign w:val="center"/>
          </w:tcPr>
          <w:p w14:paraId="05D9C44C">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8451.245</w:t>
            </w:r>
          </w:p>
        </w:tc>
        <w:tc>
          <w:tcPr>
            <w:tcW w:w="1179" w:type="dxa"/>
            <w:tcBorders>
              <w:top w:val="nil"/>
              <w:bottom w:val="nil"/>
              <w:tl2br w:val="nil"/>
              <w:tr2bl w:val="nil"/>
            </w:tcBorders>
            <w:shd w:val="clear" w:color="auto" w:fill="FFFFFF"/>
            <w:vAlign w:val="center"/>
          </w:tcPr>
          <w:p w14:paraId="0BF33ED2">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8406.802</w:t>
            </w:r>
          </w:p>
        </w:tc>
        <w:tc>
          <w:tcPr>
            <w:tcW w:w="961" w:type="dxa"/>
            <w:tcBorders>
              <w:top w:val="nil"/>
              <w:bottom w:val="nil"/>
              <w:tl2br w:val="nil"/>
              <w:tr2bl w:val="nil"/>
            </w:tcBorders>
            <w:shd w:val="clear" w:color="auto" w:fill="FFFFFF"/>
            <w:vAlign w:val="center"/>
          </w:tcPr>
          <w:p w14:paraId="2BF761A0">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0.796</w:t>
            </w:r>
          </w:p>
        </w:tc>
        <w:tc>
          <w:tcPr>
            <w:tcW w:w="1041" w:type="dxa"/>
            <w:tcBorders>
              <w:top w:val="nil"/>
              <w:bottom w:val="nil"/>
              <w:tl2br w:val="nil"/>
              <w:tr2bl w:val="nil"/>
            </w:tcBorders>
            <w:shd w:val="clear" w:color="auto" w:fill="FFFFFF"/>
            <w:vAlign w:val="center"/>
          </w:tcPr>
          <w:p w14:paraId="7AB4BCBD">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&lt;0.001</w:t>
            </w:r>
          </w:p>
        </w:tc>
        <w:tc>
          <w:tcPr>
            <w:tcW w:w="1029" w:type="dxa"/>
            <w:tcBorders>
              <w:top w:val="nil"/>
              <w:bottom w:val="nil"/>
              <w:tl2br w:val="nil"/>
              <w:tr2bl w:val="nil"/>
            </w:tcBorders>
            <w:shd w:val="clear" w:color="auto" w:fill="FFFFFF"/>
            <w:vAlign w:val="center"/>
          </w:tcPr>
          <w:p w14:paraId="49115DF6">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&lt;0.001</w:t>
            </w:r>
          </w:p>
        </w:tc>
        <w:tc>
          <w:tcPr>
            <w:tcW w:w="3374" w:type="dxa"/>
            <w:tcBorders>
              <w:top w:val="nil"/>
              <w:bottom w:val="nil"/>
              <w:tl2br w:val="nil"/>
              <w:tr2bl w:val="nil"/>
            </w:tcBorders>
            <w:shd w:val="clear" w:color="auto" w:fill="FFFFFF"/>
            <w:vAlign w:val="center"/>
          </w:tcPr>
          <w:p w14:paraId="0DA054F0">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color w:val="000000"/>
                <w:highlight w:val="none"/>
              </w:rPr>
            </w:pPr>
            <w:r>
              <w:rPr>
                <w:rFonts w:ascii="Times New Roman" w:hAnsi="Times New Roman"/>
                <w:b w:val="0"/>
                <w:color w:val="000000"/>
                <w:sz w:val="20"/>
              </w:rPr>
              <w:t>12.59/48.76/38.65</w:t>
            </w:r>
          </w:p>
        </w:tc>
      </w:tr>
      <w:tr w14:paraId="102C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116" w:type="dxa"/>
            <w:tcBorders>
              <w:top w:val="nil"/>
              <w:left w:val="nil"/>
              <w:bottom w:val="nil"/>
              <w:right w:val="nil"/>
            </w:tcBorders>
            <w:shd w:val="clear" w:color="auto" w:fill="FFFFFF"/>
            <w:vAlign w:val="center"/>
          </w:tcPr>
          <w:p w14:paraId="7E18F7DA">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b w:val="0"/>
                <w:bCs/>
                <w:i w:val="0"/>
                <w:iCs w:val="0"/>
                <w:color w:val="000000"/>
                <w:highlight w:val="none"/>
                <w:vertAlign w:val="baseline"/>
                <w:lang w:val="en-US"/>
              </w:rPr>
            </w:pPr>
            <w:r>
              <w:rPr>
                <w:rFonts w:ascii="Times New Roman" w:hAnsi="Times New Roman"/>
                <w:b w:val="0"/>
                <w:bCs/>
                <w:color w:val="000000"/>
                <w:sz w:val="20"/>
              </w:rPr>
              <w:t>4-profile</w:t>
            </w:r>
          </w:p>
        </w:tc>
        <w:tc>
          <w:tcPr>
            <w:tcW w:w="1210" w:type="dxa"/>
            <w:tcBorders>
              <w:top w:val="nil"/>
              <w:left w:val="nil"/>
              <w:bottom w:val="nil"/>
              <w:right w:val="nil"/>
            </w:tcBorders>
            <w:shd w:val="clear" w:color="auto" w:fill="FFFFFF"/>
            <w:vAlign w:val="center"/>
          </w:tcPr>
          <w:p w14:paraId="2201FE8C">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8185.510</w:t>
            </w:r>
          </w:p>
        </w:tc>
        <w:tc>
          <w:tcPr>
            <w:tcW w:w="1222" w:type="dxa"/>
            <w:tcBorders>
              <w:top w:val="nil"/>
              <w:left w:val="nil"/>
              <w:bottom w:val="nil"/>
              <w:right w:val="nil"/>
            </w:tcBorders>
            <w:shd w:val="clear" w:color="auto" w:fill="FFFFFF"/>
            <w:vAlign w:val="center"/>
          </w:tcPr>
          <w:p w14:paraId="05B7DD5F">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8263.541</w:t>
            </w:r>
          </w:p>
        </w:tc>
        <w:tc>
          <w:tcPr>
            <w:tcW w:w="1179" w:type="dxa"/>
            <w:tcBorders>
              <w:top w:val="nil"/>
              <w:left w:val="nil"/>
              <w:bottom w:val="nil"/>
              <w:right w:val="nil"/>
            </w:tcBorders>
            <w:shd w:val="clear" w:color="auto" w:fill="FFFFFF"/>
            <w:vAlign w:val="center"/>
          </w:tcPr>
          <w:p w14:paraId="44AB07A9">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8206.399</w:t>
            </w:r>
          </w:p>
        </w:tc>
        <w:tc>
          <w:tcPr>
            <w:tcW w:w="961" w:type="dxa"/>
            <w:tcBorders>
              <w:top w:val="nil"/>
              <w:left w:val="nil"/>
              <w:bottom w:val="nil"/>
              <w:right w:val="nil"/>
            </w:tcBorders>
            <w:shd w:val="clear" w:color="auto" w:fill="FFFFFF"/>
            <w:vAlign w:val="center"/>
          </w:tcPr>
          <w:p w14:paraId="2038B713">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0.944</w:t>
            </w:r>
          </w:p>
        </w:tc>
        <w:tc>
          <w:tcPr>
            <w:tcW w:w="1041" w:type="dxa"/>
            <w:tcBorders>
              <w:top w:val="nil"/>
              <w:left w:val="nil"/>
              <w:bottom w:val="nil"/>
              <w:right w:val="nil"/>
            </w:tcBorders>
            <w:shd w:val="clear" w:color="auto" w:fill="FFFFFF"/>
            <w:vAlign w:val="center"/>
          </w:tcPr>
          <w:p w14:paraId="7098BB87">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0.028</w:t>
            </w:r>
          </w:p>
        </w:tc>
        <w:tc>
          <w:tcPr>
            <w:tcW w:w="1029" w:type="dxa"/>
            <w:tcBorders>
              <w:top w:val="nil"/>
              <w:left w:val="nil"/>
              <w:bottom w:val="nil"/>
              <w:right w:val="nil"/>
            </w:tcBorders>
            <w:shd w:val="clear" w:color="auto" w:fill="FFFFFF"/>
            <w:vAlign w:val="center"/>
          </w:tcPr>
          <w:p w14:paraId="10564601">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&lt;0.001</w:t>
            </w:r>
          </w:p>
        </w:tc>
        <w:tc>
          <w:tcPr>
            <w:tcW w:w="3374" w:type="dxa"/>
            <w:tcBorders>
              <w:top w:val="nil"/>
              <w:left w:val="nil"/>
              <w:bottom w:val="nil"/>
              <w:right w:val="nil"/>
            </w:tcBorders>
            <w:shd w:val="clear" w:color="auto" w:fill="FFFFFF"/>
            <w:vAlign w:val="center"/>
          </w:tcPr>
          <w:p w14:paraId="207CA55D">
            <w:pPr>
              <w:pageBreakBefore w:val="0"/>
              <w:widowControl w:val="0"/>
              <w:kinsoku/>
              <w:wordWrap/>
              <w:overflowPunct/>
              <w:topLinePunct w:val="0"/>
              <w:autoSpaceDE/>
              <w:autoSpaceDN/>
              <w:bidi w:val="0"/>
              <w:adjustRightInd/>
              <w:snapToGrid/>
              <w:spacing w:after="0"/>
              <w:ind w:firstLine="200" w:firstLineChars="100"/>
              <w:jc w:val="center"/>
              <w:rPr>
                <w:rFonts w:ascii="Times New Roman" w:hAnsi="Times New Roman"/>
                <w:b w:val="0"/>
                <w:bCs/>
                <w:color w:val="000000"/>
                <w:highlight w:val="none"/>
              </w:rPr>
            </w:pPr>
            <w:r>
              <w:rPr>
                <w:rFonts w:ascii="Times New Roman" w:hAnsi="Times New Roman"/>
                <w:b w:val="0"/>
                <w:bCs/>
                <w:color w:val="000000"/>
                <w:sz w:val="20"/>
              </w:rPr>
              <w:t>29.79/10.46/13.83/45.92</w:t>
            </w:r>
          </w:p>
        </w:tc>
      </w:tr>
      <w:tr w14:paraId="246B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tcBorders>
              <w:top w:val="nil"/>
              <w:left w:val="nil"/>
              <w:bottom w:val="nil"/>
              <w:right w:val="nil"/>
            </w:tcBorders>
            <w:shd w:val="clear" w:color="auto" w:fill="FFFFFF"/>
            <w:vAlign w:val="center"/>
          </w:tcPr>
          <w:p w14:paraId="2E681E25">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5-profile</w:t>
            </w:r>
          </w:p>
        </w:tc>
        <w:tc>
          <w:tcPr>
            <w:tcW w:w="1210" w:type="dxa"/>
            <w:tcBorders>
              <w:top w:val="nil"/>
              <w:left w:val="nil"/>
              <w:bottom w:val="nil"/>
              <w:right w:val="nil"/>
            </w:tcBorders>
            <w:shd w:val="clear" w:color="auto" w:fill="FFFFFF"/>
            <w:vAlign w:val="center"/>
          </w:tcPr>
          <w:p w14:paraId="1BBECC5A">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7992.646</w:t>
            </w:r>
          </w:p>
        </w:tc>
        <w:tc>
          <w:tcPr>
            <w:tcW w:w="1222" w:type="dxa"/>
            <w:tcBorders>
              <w:top w:val="nil"/>
              <w:left w:val="nil"/>
              <w:bottom w:val="nil"/>
              <w:right w:val="nil"/>
            </w:tcBorders>
            <w:shd w:val="clear" w:color="auto" w:fill="FFFFFF"/>
            <w:vAlign w:val="center"/>
          </w:tcPr>
          <w:p w14:paraId="78D09D76">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8088.018</w:t>
            </w:r>
          </w:p>
        </w:tc>
        <w:tc>
          <w:tcPr>
            <w:tcW w:w="1179" w:type="dxa"/>
            <w:tcBorders>
              <w:top w:val="nil"/>
              <w:left w:val="nil"/>
              <w:bottom w:val="nil"/>
              <w:right w:val="nil"/>
            </w:tcBorders>
            <w:shd w:val="clear" w:color="auto" w:fill="FFFFFF"/>
            <w:vAlign w:val="center"/>
          </w:tcPr>
          <w:p w14:paraId="1E0CC976">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8018.178</w:t>
            </w:r>
          </w:p>
        </w:tc>
        <w:tc>
          <w:tcPr>
            <w:tcW w:w="961" w:type="dxa"/>
            <w:tcBorders>
              <w:top w:val="nil"/>
              <w:left w:val="nil"/>
              <w:bottom w:val="nil"/>
              <w:right w:val="nil"/>
            </w:tcBorders>
            <w:shd w:val="clear" w:color="auto" w:fill="FFFFFF"/>
            <w:vAlign w:val="center"/>
          </w:tcPr>
          <w:p w14:paraId="4D87AE5F">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0.971</w:t>
            </w:r>
          </w:p>
        </w:tc>
        <w:tc>
          <w:tcPr>
            <w:tcW w:w="1041" w:type="dxa"/>
            <w:tcBorders>
              <w:top w:val="nil"/>
              <w:left w:val="nil"/>
              <w:bottom w:val="nil"/>
              <w:right w:val="nil"/>
            </w:tcBorders>
            <w:shd w:val="clear" w:color="auto" w:fill="FFFFFF"/>
            <w:vAlign w:val="center"/>
          </w:tcPr>
          <w:p w14:paraId="350EBF58">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&lt;0.001</w:t>
            </w:r>
          </w:p>
        </w:tc>
        <w:tc>
          <w:tcPr>
            <w:tcW w:w="1029" w:type="dxa"/>
            <w:tcBorders>
              <w:top w:val="nil"/>
              <w:left w:val="nil"/>
              <w:bottom w:val="nil"/>
              <w:right w:val="nil"/>
            </w:tcBorders>
            <w:shd w:val="clear" w:color="auto" w:fill="FFFFFF"/>
            <w:vAlign w:val="center"/>
          </w:tcPr>
          <w:p w14:paraId="62764203">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&lt;0.001</w:t>
            </w:r>
          </w:p>
        </w:tc>
        <w:tc>
          <w:tcPr>
            <w:tcW w:w="3374" w:type="dxa"/>
            <w:tcBorders>
              <w:top w:val="nil"/>
              <w:left w:val="nil"/>
              <w:bottom w:val="nil"/>
              <w:right w:val="nil"/>
            </w:tcBorders>
            <w:shd w:val="clear" w:color="auto" w:fill="FFFFFF"/>
            <w:vAlign w:val="center"/>
          </w:tcPr>
          <w:p w14:paraId="5EFF9435">
            <w:pPr>
              <w:pageBreakBefore w:val="0"/>
              <w:widowControl w:val="0"/>
              <w:kinsoku/>
              <w:wordWrap/>
              <w:overflowPunct/>
              <w:topLinePunct w:val="0"/>
              <w:autoSpaceDE/>
              <w:autoSpaceDN/>
              <w:bidi w:val="0"/>
              <w:adjustRightInd/>
              <w:snapToGrid/>
              <w:spacing w:after="0"/>
              <w:ind w:firstLine="200" w:firstLineChars="100"/>
              <w:jc w:val="center"/>
              <w:rPr>
                <w:rFonts w:hint="default"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27.66/2.84/14.18/44.33/10.99</w:t>
            </w:r>
          </w:p>
        </w:tc>
      </w:tr>
      <w:tr w14:paraId="05D0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tcBorders>
              <w:top w:val="nil"/>
              <w:left w:val="nil"/>
              <w:bottom w:val="nil"/>
              <w:right w:val="nil"/>
            </w:tcBorders>
            <w:shd w:val="clear" w:color="auto" w:fill="FFFFFF"/>
            <w:vAlign w:val="center"/>
          </w:tcPr>
          <w:p w14:paraId="2024EC16">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6-profile</w:t>
            </w:r>
          </w:p>
        </w:tc>
        <w:tc>
          <w:tcPr>
            <w:tcW w:w="1210" w:type="dxa"/>
            <w:tcBorders>
              <w:top w:val="nil"/>
              <w:left w:val="nil"/>
              <w:bottom w:val="nil"/>
              <w:right w:val="nil"/>
            </w:tcBorders>
            <w:shd w:val="clear" w:color="auto" w:fill="FFFFFF"/>
            <w:vAlign w:val="center"/>
          </w:tcPr>
          <w:p w14:paraId="72F40D1F">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7983.259</w:t>
            </w:r>
          </w:p>
        </w:tc>
        <w:tc>
          <w:tcPr>
            <w:tcW w:w="1222" w:type="dxa"/>
            <w:tcBorders>
              <w:top w:val="nil"/>
              <w:left w:val="nil"/>
              <w:bottom w:val="nil"/>
              <w:right w:val="nil"/>
            </w:tcBorders>
            <w:shd w:val="clear" w:color="auto" w:fill="FFFFFF"/>
            <w:vAlign w:val="center"/>
          </w:tcPr>
          <w:p w14:paraId="2669517A">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8095.970</w:t>
            </w:r>
          </w:p>
        </w:tc>
        <w:tc>
          <w:tcPr>
            <w:tcW w:w="1179" w:type="dxa"/>
            <w:tcBorders>
              <w:top w:val="nil"/>
              <w:left w:val="nil"/>
              <w:bottom w:val="nil"/>
              <w:right w:val="nil"/>
            </w:tcBorders>
            <w:shd w:val="clear" w:color="auto" w:fill="FFFFFF"/>
            <w:vAlign w:val="center"/>
          </w:tcPr>
          <w:p w14:paraId="6E2371AA">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8013.433</w:t>
            </w:r>
          </w:p>
        </w:tc>
        <w:tc>
          <w:tcPr>
            <w:tcW w:w="961" w:type="dxa"/>
            <w:tcBorders>
              <w:top w:val="nil"/>
              <w:left w:val="nil"/>
              <w:bottom w:val="nil"/>
              <w:right w:val="nil"/>
            </w:tcBorders>
            <w:shd w:val="clear" w:color="auto" w:fill="FFFFFF"/>
            <w:vAlign w:val="center"/>
          </w:tcPr>
          <w:p w14:paraId="0156517E">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0.974</w:t>
            </w:r>
          </w:p>
        </w:tc>
        <w:tc>
          <w:tcPr>
            <w:tcW w:w="1041" w:type="dxa"/>
            <w:tcBorders>
              <w:top w:val="nil"/>
              <w:left w:val="nil"/>
              <w:bottom w:val="nil"/>
              <w:right w:val="nil"/>
            </w:tcBorders>
            <w:shd w:val="clear" w:color="auto" w:fill="FFFFFF"/>
            <w:vAlign w:val="center"/>
          </w:tcPr>
          <w:p w14:paraId="378EB3AC">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0.002</w:t>
            </w:r>
          </w:p>
        </w:tc>
        <w:tc>
          <w:tcPr>
            <w:tcW w:w="1029" w:type="dxa"/>
            <w:tcBorders>
              <w:top w:val="nil"/>
              <w:left w:val="nil"/>
              <w:bottom w:val="nil"/>
              <w:right w:val="nil"/>
            </w:tcBorders>
            <w:shd w:val="clear" w:color="auto" w:fill="FFFFFF"/>
            <w:vAlign w:val="center"/>
          </w:tcPr>
          <w:p w14:paraId="54ED620E">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&lt;0.001</w:t>
            </w:r>
          </w:p>
        </w:tc>
        <w:tc>
          <w:tcPr>
            <w:tcW w:w="3374" w:type="dxa"/>
            <w:tcBorders>
              <w:top w:val="nil"/>
              <w:left w:val="nil"/>
              <w:bottom w:val="nil"/>
              <w:right w:val="nil"/>
            </w:tcBorders>
            <w:shd w:val="clear" w:color="auto" w:fill="FFFFFF"/>
            <w:vAlign w:val="center"/>
          </w:tcPr>
          <w:p w14:paraId="33589BDB">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13.83/27.66/2.84/10.99/44.33/0.36</w:t>
            </w:r>
          </w:p>
        </w:tc>
      </w:tr>
      <w:tr w14:paraId="7976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tcBorders>
              <w:top w:val="nil"/>
              <w:left w:val="nil"/>
              <w:bottom w:val="single" w:color="000000" w:sz="12" w:space="0"/>
              <w:right w:val="nil"/>
            </w:tcBorders>
            <w:shd w:val="clear" w:color="auto" w:fill="FFFFFF"/>
            <w:vAlign w:val="center"/>
          </w:tcPr>
          <w:p w14:paraId="0BEFB518">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7-profile</w:t>
            </w:r>
          </w:p>
        </w:tc>
        <w:tc>
          <w:tcPr>
            <w:tcW w:w="1210" w:type="dxa"/>
            <w:tcBorders>
              <w:top w:val="nil"/>
              <w:left w:val="nil"/>
              <w:bottom w:val="single" w:color="000000" w:sz="12" w:space="0"/>
              <w:right w:val="nil"/>
            </w:tcBorders>
            <w:shd w:val="clear" w:color="auto" w:fill="FFFFFF"/>
            <w:vAlign w:val="center"/>
          </w:tcPr>
          <w:p w14:paraId="461E85AF">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7934.365</w:t>
            </w:r>
          </w:p>
        </w:tc>
        <w:tc>
          <w:tcPr>
            <w:tcW w:w="1222" w:type="dxa"/>
            <w:tcBorders>
              <w:top w:val="nil"/>
              <w:left w:val="nil"/>
              <w:bottom w:val="single" w:color="000000" w:sz="12" w:space="0"/>
              <w:right w:val="nil"/>
            </w:tcBorders>
            <w:shd w:val="clear" w:color="auto" w:fill="FFFFFF"/>
            <w:vAlign w:val="center"/>
          </w:tcPr>
          <w:p w14:paraId="3D5F9C04">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8064.417</w:t>
            </w:r>
          </w:p>
        </w:tc>
        <w:tc>
          <w:tcPr>
            <w:tcW w:w="1179" w:type="dxa"/>
            <w:tcBorders>
              <w:top w:val="nil"/>
              <w:left w:val="nil"/>
              <w:bottom w:val="single" w:color="000000" w:sz="12" w:space="0"/>
              <w:right w:val="nil"/>
            </w:tcBorders>
            <w:shd w:val="clear" w:color="auto" w:fill="FFFFFF"/>
            <w:vAlign w:val="center"/>
          </w:tcPr>
          <w:p w14:paraId="6971AD70">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7969.181</w:t>
            </w:r>
          </w:p>
        </w:tc>
        <w:tc>
          <w:tcPr>
            <w:tcW w:w="961" w:type="dxa"/>
            <w:tcBorders>
              <w:top w:val="nil"/>
              <w:left w:val="nil"/>
              <w:bottom w:val="single" w:color="000000" w:sz="12" w:space="0"/>
              <w:right w:val="nil"/>
            </w:tcBorders>
            <w:shd w:val="clear" w:color="auto" w:fill="FFFFFF"/>
            <w:vAlign w:val="center"/>
          </w:tcPr>
          <w:p w14:paraId="4038B26C">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0.961</w:t>
            </w:r>
          </w:p>
        </w:tc>
        <w:tc>
          <w:tcPr>
            <w:tcW w:w="1041" w:type="dxa"/>
            <w:tcBorders>
              <w:top w:val="nil"/>
              <w:left w:val="nil"/>
              <w:bottom w:val="single" w:color="000000" w:sz="12" w:space="0"/>
              <w:right w:val="nil"/>
            </w:tcBorders>
            <w:shd w:val="clear" w:color="auto" w:fill="FFFFFF"/>
            <w:vAlign w:val="center"/>
          </w:tcPr>
          <w:p w14:paraId="2AF8B032">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0.204</w:t>
            </w:r>
          </w:p>
        </w:tc>
        <w:tc>
          <w:tcPr>
            <w:tcW w:w="1029" w:type="dxa"/>
            <w:tcBorders>
              <w:top w:val="nil"/>
              <w:left w:val="nil"/>
              <w:bottom w:val="single" w:color="000000" w:sz="12" w:space="0"/>
              <w:right w:val="nil"/>
            </w:tcBorders>
            <w:shd w:val="clear" w:color="auto" w:fill="FFFFFF"/>
            <w:vAlign w:val="center"/>
          </w:tcPr>
          <w:p w14:paraId="6B207CE0">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&lt;0.001</w:t>
            </w:r>
          </w:p>
        </w:tc>
        <w:tc>
          <w:tcPr>
            <w:tcW w:w="3374" w:type="dxa"/>
            <w:tcBorders>
              <w:top w:val="nil"/>
              <w:left w:val="nil"/>
              <w:bottom w:val="single" w:color="000000" w:sz="12" w:space="0"/>
              <w:right w:val="nil"/>
            </w:tcBorders>
            <w:shd w:val="clear" w:color="auto" w:fill="FFFFFF"/>
            <w:vAlign w:val="center"/>
          </w:tcPr>
          <w:p w14:paraId="6F80BB60">
            <w:pPr>
              <w:pageBreakBefore w:val="0"/>
              <w:widowControl w:val="0"/>
              <w:kinsoku/>
              <w:wordWrap/>
              <w:overflowPunct/>
              <w:topLinePunct w:val="0"/>
              <w:autoSpaceDE/>
              <w:autoSpaceDN/>
              <w:bidi w:val="0"/>
              <w:adjustRightInd/>
              <w:snapToGrid/>
              <w:spacing w:after="0"/>
              <w:ind w:firstLine="200" w:firstLineChars="100"/>
              <w:jc w:val="center"/>
              <w:rPr>
                <w:rFonts w:hint="eastAsia" w:ascii="Times New Roman" w:hAnsi="Times New Roman" w:eastAsia="宋体" w:cs="宋体"/>
                <w:b w:val="0"/>
                <w:i w:val="0"/>
                <w:iCs w:val="0"/>
                <w:color w:val="000000"/>
                <w:kern w:val="0"/>
                <w:sz w:val="22"/>
                <w:szCs w:val="22"/>
                <w:highlight w:val="none"/>
                <w:u w:val="none"/>
                <w:lang w:val="en-US" w:eastAsia="zh-CN" w:bidi="ar"/>
              </w:rPr>
            </w:pPr>
            <w:r>
              <w:rPr>
                <w:rFonts w:ascii="Times New Roman" w:hAnsi="Times New Roman"/>
                <w:b w:val="0"/>
                <w:color w:val="000000"/>
                <w:sz w:val="20"/>
              </w:rPr>
              <w:t>9.22/2.84/26.42/6.74/42.91/1.77/10.11</w:t>
            </w:r>
          </w:p>
        </w:tc>
      </w:tr>
    </w:tbl>
    <w:p w14:paraId="026211F7">
      <w:pPr>
        <w:keepNext w:val="0"/>
        <w:keepLines w:val="0"/>
        <w:pageBreakBefore w:val="0"/>
        <w:widowControl/>
        <w:suppressLineNumbers w:val="0"/>
        <w:kinsoku/>
        <w:wordWrap/>
        <w:overflowPunct/>
        <w:topLinePunct w:val="0"/>
        <w:autoSpaceDE/>
        <w:autoSpaceDN/>
        <w:bidi w:val="0"/>
        <w:adjustRightInd/>
        <w:snapToGrid/>
        <w:ind w:firstLine="241" w:firstLineChars="100"/>
        <w:jc w:val="center"/>
        <w:textAlignment w:val="center"/>
        <w:rPr>
          <w:rFonts w:hint="default" w:ascii="Times New Roman" w:hAnsi="Times New Roman" w:cs="Times New Roman" w:eastAsiaTheme="majorEastAsia"/>
          <w:b/>
          <w:bCs/>
          <w:color w:val="2D3748"/>
          <w:sz w:val="24"/>
          <w:szCs w:val="28"/>
          <w:lang w:val="en-US" w:eastAsia="en-US" w:bidi="ar-SA"/>
        </w:rPr>
      </w:pPr>
    </w:p>
    <w:p w14:paraId="2543DD4D">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Figure S2. Table of model fit indices for the latent profile model constructed based on scores across three dimensions</w:t>
      </w:r>
    </w:p>
    <w:p w14:paraId="74F6670C">
      <w:pPr>
        <w:keepNext w:val="0"/>
        <w:keepLines w:val="0"/>
        <w:pageBreakBefore w:val="0"/>
        <w:widowControl/>
        <w:kinsoku/>
        <w:wordWrap/>
        <w:overflowPunct/>
        <w:topLinePunct w:val="0"/>
        <w:autoSpaceDE/>
        <w:autoSpaceDN/>
        <w:bidi w:val="0"/>
        <w:adjustRightInd/>
        <w:snapToGrid/>
        <w:spacing w:after="0" w:line="480" w:lineRule="auto"/>
        <w:ind w:firstLine="240" w:firstLineChars="100"/>
        <w:jc w:val="center"/>
        <w:textAlignment w:val="auto"/>
        <w:rPr>
          <w:rFonts w:hint="default" w:ascii="Times New Roman" w:hAnsi="Times New Roman" w:cs="Times New Roman"/>
          <w:sz w:val="21"/>
          <w:szCs w:val="22"/>
        </w:rPr>
      </w:pPr>
      <w:r>
        <w:rPr>
          <w:rFonts w:ascii="宋体" w:hAnsi="宋体" w:eastAsia="宋体" w:cs="宋体"/>
          <w:sz w:val="24"/>
          <w:szCs w:val="24"/>
        </w:rPr>
        <w:drawing>
          <wp:inline distT="0" distB="0" distL="114300" distR="114300">
            <wp:extent cx="5273040" cy="3185160"/>
            <wp:effectExtent l="0" t="0" r="5715" b="1016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5273040" cy="3185160"/>
                    </a:xfrm>
                    <a:prstGeom prst="rect">
                      <a:avLst/>
                    </a:prstGeom>
                    <a:noFill/>
                    <a:ln w="9525">
                      <a:noFill/>
                    </a:ln>
                  </pic:spPr>
                </pic:pic>
              </a:graphicData>
            </a:graphic>
          </wp:inline>
        </w:drawing>
      </w:r>
    </w:p>
    <w:p w14:paraId="4DB28799">
      <w:pPr>
        <w:pageBreakBefore w:val="0"/>
        <w:widowControl/>
        <w:kinsoku/>
        <w:wordWrap/>
        <w:overflowPunct/>
        <w:topLinePunct w:val="0"/>
        <w:autoSpaceDE/>
        <w:autoSpaceDN/>
        <w:bidi w:val="0"/>
        <w:adjustRightInd/>
        <w:snapToGrid/>
        <w:spacing w:line="480" w:lineRule="auto"/>
        <w:ind w:firstLine="180" w:firstLineChars="100"/>
        <w:textAlignment w:val="auto"/>
        <w:rPr>
          <w:rFonts w:hint="default" w:ascii="Times New Roman" w:hAnsi="Times New Roman" w:eastAsia="Times New Roman" w:cs="Times New Roman"/>
          <w:b w:val="0"/>
          <w:bCs/>
          <w:color w:val="auto"/>
          <w:sz w:val="18"/>
          <w:szCs w:val="22"/>
          <w:highlight w:val="yellow"/>
        </w:rPr>
      </w:pPr>
    </w:p>
    <w:p w14:paraId="7CF209A7">
      <w:pPr>
        <w:pageBreakBefore w:val="0"/>
        <w:kinsoku/>
        <w:wordWrap/>
        <w:overflowPunct/>
        <w:topLinePunct w:val="0"/>
        <w:autoSpaceDE/>
        <w:autoSpaceDN/>
        <w:bidi w:val="0"/>
        <w:adjustRightInd/>
        <w:snapToGrid/>
        <w:spacing w:line="480" w:lineRule="auto"/>
        <w:jc w:val="both"/>
        <w:rPr>
          <w:rFonts w:hint="default" w:ascii="Times New Roman" w:hAnsi="Times New Roman" w:cs="Times New Roman"/>
          <w:b w:val="0"/>
          <w:bCs/>
          <w:sz w:val="22"/>
          <w:szCs w:val="22"/>
          <w:highlight w:val="none"/>
        </w:rPr>
      </w:pPr>
      <w:r>
        <w:rPr>
          <w:rFonts w:hint="default" w:ascii="Times New Roman" w:hAnsi="Times New Roman" w:cs="Times New Roman"/>
          <w:b w:val="0"/>
          <w:bCs/>
          <w:sz w:val="22"/>
          <w:szCs w:val="22"/>
          <w:highlight w:val="none"/>
        </w:rPr>
        <w:t>Supplementary Material</w:t>
      </w:r>
      <w:r>
        <w:rPr>
          <w:rFonts w:hint="default" w:ascii="Times New Roman" w:hAnsi="Times New Roman" w:cs="Times New Roman"/>
          <w:b w:val="0"/>
          <w:bCs/>
          <w:sz w:val="22"/>
          <w:szCs w:val="22"/>
          <w:highlight w:val="none"/>
          <w:lang w:val="en-US" w:eastAsia="zh-CN"/>
        </w:rPr>
        <w:t xml:space="preserve"> </w:t>
      </w:r>
      <w:r>
        <w:rPr>
          <w:rFonts w:hint="eastAsia" w:ascii="Times New Roman" w:hAnsi="Times New Roman" w:cs="Times New Roman"/>
          <w:b w:val="0"/>
          <w:bCs/>
          <w:sz w:val="22"/>
          <w:szCs w:val="22"/>
          <w:highlight w:val="none"/>
          <w:lang w:val="en-US" w:eastAsia="zh-CN"/>
        </w:rPr>
        <w:t>3</w:t>
      </w:r>
      <w:r>
        <w:rPr>
          <w:rFonts w:hint="default" w:ascii="Times New Roman" w:hAnsi="Times New Roman" w:cs="Times New Roman"/>
          <w:b w:val="0"/>
          <w:bCs/>
          <w:sz w:val="22"/>
          <w:szCs w:val="22"/>
          <w:highlight w:val="none"/>
        </w:rPr>
        <w:t>: Additional Analyses of Profile Shape and Level Differences</w:t>
      </w:r>
    </w:p>
    <w:p w14:paraId="4875DBAC">
      <w:pPr>
        <w:pageBreakBefore w:val="0"/>
        <w:kinsoku/>
        <w:wordWrap/>
        <w:overflowPunct/>
        <w:topLinePunct w:val="0"/>
        <w:autoSpaceDE/>
        <w:autoSpaceDN/>
        <w:bidi w:val="0"/>
        <w:adjustRightInd/>
        <w:snapToGrid/>
        <w:spacing w:line="480" w:lineRule="auto"/>
        <w:ind w:firstLine="210" w:firstLineChars="100"/>
        <w:rPr>
          <w:rFonts w:hint="default" w:ascii="Times New Roman" w:hAnsi="Times New Roman" w:cs="Times New Roman"/>
          <w:b w:val="0"/>
          <w:bCs/>
          <w:sz w:val="21"/>
          <w:szCs w:val="22"/>
        </w:rPr>
      </w:pPr>
      <w:r>
        <w:rPr>
          <w:rFonts w:hint="default" w:ascii="Times New Roman" w:hAnsi="Times New Roman" w:cs="Times New Roman"/>
          <w:b w:val="0"/>
          <w:bCs/>
          <w:sz w:val="21"/>
          <w:szCs w:val="22"/>
        </w:rPr>
        <w:t>Purpose. These supplementary analyses formally evaluate whether the four latent profiles differ only in overall level or also in profile shape across focus, work enjoyment, and intrinsic work motivation. The original LPA used all 13 items (A1-A13). Sensitivity analyses additionally used three dimension scores: focus(A1-A4), work enjoyment (A5-A8), and intrinsic work motivation (A9-A13).</w:t>
      </w:r>
    </w:p>
    <w:p w14:paraId="088E1C6E">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S5. Original 13-Item Four-Class LPA: Model Fit, Classification, and Formal Profile-Shape Test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0"/>
        <w:gridCol w:w="4282"/>
      </w:tblGrid>
      <w:tr w14:paraId="4C91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20"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0A0141C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Statistic</w:t>
            </w:r>
          </w:p>
        </w:tc>
        <w:tc>
          <w:tcPr>
            <w:tcW w:w="4282"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0CE046C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Result</w:t>
            </w:r>
          </w:p>
        </w:tc>
      </w:tr>
      <w:tr w14:paraId="01E5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5838E43">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Sample size</w:t>
            </w:r>
          </w:p>
        </w:tc>
        <w:tc>
          <w:tcPr>
            <w:tcW w:w="4282"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BC9A1D7">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564</w:t>
            </w:r>
          </w:p>
        </w:tc>
      </w:tr>
      <w:tr w14:paraId="2965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nil"/>
              <w:right w:val="nil"/>
            </w:tcBorders>
            <w:shd w:val="clear" w:color="auto" w:fill="FFFFFF"/>
            <w:tcMar>
              <w:top w:w="70" w:type="dxa"/>
              <w:left w:w="80" w:type="dxa"/>
              <w:bottom w:w="70" w:type="dxa"/>
              <w:right w:w="80" w:type="dxa"/>
            </w:tcMar>
            <w:vAlign w:val="center"/>
          </w:tcPr>
          <w:p w14:paraId="4781D6F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Log-likelihood</w:t>
            </w:r>
          </w:p>
        </w:tc>
        <w:tc>
          <w:tcPr>
            <w:tcW w:w="4282" w:type="dxa"/>
            <w:tcBorders>
              <w:top w:val="nil"/>
              <w:left w:val="nil"/>
              <w:bottom w:val="nil"/>
              <w:right w:val="nil"/>
            </w:tcBorders>
            <w:shd w:val="clear" w:color="auto" w:fill="FFFFFF"/>
            <w:tcMar>
              <w:top w:w="70" w:type="dxa"/>
              <w:left w:w="80" w:type="dxa"/>
              <w:bottom w:w="70" w:type="dxa"/>
              <w:right w:w="80" w:type="dxa"/>
            </w:tcMar>
            <w:vAlign w:val="center"/>
          </w:tcPr>
          <w:p w14:paraId="151BF7CA">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-7759.049</w:t>
            </w:r>
          </w:p>
        </w:tc>
      </w:tr>
      <w:tr w14:paraId="6828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nil"/>
              <w:right w:val="nil"/>
            </w:tcBorders>
            <w:shd w:val="clear" w:color="auto" w:fill="FFFFFF"/>
            <w:tcMar>
              <w:top w:w="70" w:type="dxa"/>
              <w:left w:w="80" w:type="dxa"/>
              <w:bottom w:w="70" w:type="dxa"/>
              <w:right w:w="80" w:type="dxa"/>
            </w:tcMar>
            <w:vAlign w:val="center"/>
          </w:tcPr>
          <w:p w14:paraId="7999DDAF">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AIC</w:t>
            </w:r>
          </w:p>
        </w:tc>
        <w:tc>
          <w:tcPr>
            <w:tcW w:w="4282" w:type="dxa"/>
            <w:tcBorders>
              <w:top w:val="nil"/>
              <w:left w:val="nil"/>
              <w:bottom w:val="nil"/>
              <w:right w:val="nil"/>
            </w:tcBorders>
            <w:shd w:val="clear" w:color="auto" w:fill="FFFFFF"/>
            <w:tcMar>
              <w:top w:w="70" w:type="dxa"/>
              <w:left w:w="80" w:type="dxa"/>
              <w:bottom w:w="70" w:type="dxa"/>
              <w:right w:w="80" w:type="dxa"/>
            </w:tcMar>
            <w:vAlign w:val="center"/>
          </w:tcPr>
          <w:p w14:paraId="7658A09E">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15654.099</w:t>
            </w:r>
          </w:p>
        </w:tc>
      </w:tr>
      <w:tr w14:paraId="591A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nil"/>
              <w:right w:val="nil"/>
            </w:tcBorders>
            <w:shd w:val="clear" w:color="auto" w:fill="FFFFFF"/>
            <w:tcMar>
              <w:top w:w="70" w:type="dxa"/>
              <w:left w:w="80" w:type="dxa"/>
              <w:bottom w:w="70" w:type="dxa"/>
              <w:right w:w="80" w:type="dxa"/>
            </w:tcMar>
            <w:vAlign w:val="center"/>
          </w:tcPr>
          <w:p w14:paraId="1AEBA30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BIC</w:t>
            </w:r>
          </w:p>
        </w:tc>
        <w:tc>
          <w:tcPr>
            <w:tcW w:w="4282" w:type="dxa"/>
            <w:tcBorders>
              <w:top w:val="nil"/>
              <w:left w:val="nil"/>
              <w:bottom w:val="nil"/>
              <w:right w:val="nil"/>
            </w:tcBorders>
            <w:shd w:val="clear" w:color="auto" w:fill="FFFFFF"/>
            <w:tcMar>
              <w:top w:w="70" w:type="dxa"/>
              <w:left w:w="80" w:type="dxa"/>
              <w:bottom w:w="70" w:type="dxa"/>
              <w:right w:w="80" w:type="dxa"/>
            </w:tcMar>
            <w:vAlign w:val="center"/>
          </w:tcPr>
          <w:p w14:paraId="20E56F23">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15948.882</w:t>
            </w:r>
          </w:p>
        </w:tc>
      </w:tr>
      <w:tr w14:paraId="2900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nil"/>
              <w:right w:val="nil"/>
            </w:tcBorders>
            <w:shd w:val="clear" w:color="auto" w:fill="FFFFFF"/>
            <w:tcMar>
              <w:top w:w="70" w:type="dxa"/>
              <w:left w:w="80" w:type="dxa"/>
              <w:bottom w:w="70" w:type="dxa"/>
              <w:right w:w="80" w:type="dxa"/>
            </w:tcMar>
            <w:vAlign w:val="center"/>
          </w:tcPr>
          <w:p w14:paraId="522D114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Sample-size adjusted BIC</w:t>
            </w:r>
          </w:p>
        </w:tc>
        <w:tc>
          <w:tcPr>
            <w:tcW w:w="4282" w:type="dxa"/>
            <w:tcBorders>
              <w:top w:val="nil"/>
              <w:left w:val="nil"/>
              <w:bottom w:val="nil"/>
              <w:right w:val="nil"/>
            </w:tcBorders>
            <w:shd w:val="clear" w:color="auto" w:fill="FFFFFF"/>
            <w:tcMar>
              <w:top w:w="70" w:type="dxa"/>
              <w:left w:w="80" w:type="dxa"/>
              <w:bottom w:w="70" w:type="dxa"/>
              <w:right w:w="80" w:type="dxa"/>
            </w:tcMar>
            <w:vAlign w:val="center"/>
          </w:tcPr>
          <w:p w14:paraId="06B848D1">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15733.015</w:t>
            </w:r>
          </w:p>
        </w:tc>
      </w:tr>
      <w:tr w14:paraId="4A4A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nil"/>
              <w:right w:val="nil"/>
            </w:tcBorders>
            <w:shd w:val="clear" w:color="auto" w:fill="FFFFFF"/>
            <w:tcMar>
              <w:top w:w="70" w:type="dxa"/>
              <w:left w:w="80" w:type="dxa"/>
              <w:bottom w:w="70" w:type="dxa"/>
              <w:right w:w="80" w:type="dxa"/>
            </w:tcMar>
            <w:vAlign w:val="center"/>
          </w:tcPr>
          <w:p w14:paraId="03B7D89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Entropy</w:t>
            </w:r>
          </w:p>
        </w:tc>
        <w:tc>
          <w:tcPr>
            <w:tcW w:w="4282" w:type="dxa"/>
            <w:tcBorders>
              <w:top w:val="nil"/>
              <w:left w:val="nil"/>
              <w:bottom w:val="nil"/>
              <w:right w:val="nil"/>
            </w:tcBorders>
            <w:shd w:val="clear" w:color="auto" w:fill="FFFFFF"/>
            <w:tcMar>
              <w:top w:w="70" w:type="dxa"/>
              <w:left w:w="80" w:type="dxa"/>
              <w:bottom w:w="70" w:type="dxa"/>
              <w:right w:w="80" w:type="dxa"/>
            </w:tcMar>
            <w:vAlign w:val="center"/>
          </w:tcPr>
          <w:p w14:paraId="0FA3F6A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val="en-US" w:eastAsia="zh-CN"/>
              </w:rPr>
              <w:t>0</w:t>
            </w:r>
            <w:r>
              <w:rPr>
                <w:rFonts w:hint="default" w:ascii="Times New Roman" w:hAnsi="Times New Roman" w:eastAsia="Arial" w:cs="Times New Roman"/>
                <w:b w:val="0"/>
                <w:bCs/>
                <w:color w:val="000000"/>
                <w:sz w:val="18"/>
                <w:szCs w:val="22"/>
              </w:rPr>
              <w:t>.987</w:t>
            </w:r>
          </w:p>
        </w:tc>
      </w:tr>
      <w:tr w14:paraId="107B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0"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AABFDE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Joint Wald test of profile shape</w:t>
            </w:r>
          </w:p>
        </w:tc>
        <w:tc>
          <w:tcPr>
            <w:tcW w:w="4282"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120F21B7">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 xml:space="preserve">chi-square(6) = 239.744, </w:t>
            </w:r>
            <w:r>
              <w:rPr>
                <w:rFonts w:hint="default" w:ascii="Times New Roman" w:hAnsi="Times New Roman" w:eastAsia="宋体" w:cs="Times New Roman"/>
                <w:b w:val="0"/>
                <w:bCs/>
                <w:color w:val="000000"/>
                <w:sz w:val="18"/>
                <w:szCs w:val="22"/>
                <w:lang w:eastAsia="zh-CN"/>
              </w:rPr>
              <w:t>P ＜</w:t>
            </w:r>
            <w:r>
              <w:rPr>
                <w:rFonts w:hint="default" w:ascii="Times New Roman" w:hAnsi="Times New Roman" w:eastAsia="Arial" w:cs="Times New Roman"/>
                <w:b w:val="0"/>
                <w:bCs/>
                <w:color w:val="000000"/>
                <w:sz w:val="18"/>
                <w:szCs w:val="22"/>
              </w:rPr>
              <w:t xml:space="preserve"> .001</w:t>
            </w:r>
          </w:p>
        </w:tc>
      </w:tr>
    </w:tbl>
    <w:p w14:paraId="7B3DFC69">
      <w:pPr>
        <w:pageBreakBefore w:val="0"/>
        <w:kinsoku/>
        <w:wordWrap/>
        <w:overflowPunct/>
        <w:topLinePunct w:val="0"/>
        <w:autoSpaceDE/>
        <w:autoSpaceDN/>
        <w:bidi w:val="0"/>
        <w:adjustRightInd/>
        <w:snapToGrid/>
        <w:spacing w:before="60" w:after="140" w:line="480" w:lineRule="auto"/>
        <w:ind w:firstLine="210" w:firstLineChars="100"/>
        <w:rPr>
          <w:rFonts w:hint="default" w:ascii="Times New Roman" w:hAnsi="Times New Roman" w:cs="Times New Roman"/>
          <w:b w:val="0"/>
          <w:bCs/>
          <w:sz w:val="21"/>
          <w:szCs w:val="22"/>
        </w:rPr>
      </w:pPr>
      <w:r>
        <w:rPr>
          <w:rFonts w:hint="default" w:ascii="Times New Roman" w:hAnsi="Times New Roman" w:cs="Times New Roman"/>
          <w:b w:val="0"/>
          <w:bCs/>
          <w:i/>
          <w:sz w:val="21"/>
          <w:szCs w:val="22"/>
        </w:rPr>
        <w:t xml:space="preserve">Note. </w:t>
      </w:r>
      <w:r>
        <w:rPr>
          <w:rFonts w:hint="default" w:ascii="Times New Roman" w:hAnsi="Times New Roman" w:cs="Times New Roman"/>
          <w:b w:val="0"/>
          <w:bCs/>
          <w:i/>
          <w:sz w:val="18"/>
          <w:szCs w:val="22"/>
        </w:rPr>
        <w:t>The Wald test evaluated equality of the relative contrasts among the three work-immersion dimensions across the four latent classes. A significant result rejects the hypothesis that the profiles are strictly parallel and differ only in overall level.</w:t>
      </w:r>
    </w:p>
    <w:p w14:paraId="20D8BF52">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S6. Class Size and Dimension-Level Means in the Original 13-Item Four-Class Solution</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694"/>
        <w:gridCol w:w="1694"/>
        <w:gridCol w:w="1694"/>
        <w:gridCol w:w="1694"/>
        <w:gridCol w:w="1694"/>
      </w:tblGrid>
      <w:tr w14:paraId="0E55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44"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53A2DEC1">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Profile</w:t>
            </w:r>
          </w:p>
        </w:tc>
        <w:tc>
          <w:tcPr>
            <w:tcW w:w="1512"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25FCA683">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Most likely n (%)</w:t>
            </w:r>
          </w:p>
        </w:tc>
        <w:tc>
          <w:tcPr>
            <w:tcW w:w="1757"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6AA150B0">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val="en-US" w:eastAsia="zh-CN"/>
              </w:rPr>
              <w:t>F</w:t>
            </w:r>
            <w:r>
              <w:rPr>
                <w:rFonts w:hint="default" w:ascii="Times New Roman" w:hAnsi="Times New Roman" w:eastAsia="Arial" w:cs="Times New Roman"/>
                <w:b w:val="0"/>
                <w:bCs/>
                <w:color w:val="000000"/>
                <w:sz w:val="18"/>
                <w:szCs w:val="22"/>
              </w:rPr>
              <w:t>ocus</w:t>
            </w:r>
          </w:p>
        </w:tc>
        <w:tc>
          <w:tcPr>
            <w:tcW w:w="161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15AE3AD5">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Work enjoyment</w:t>
            </w:r>
          </w:p>
        </w:tc>
        <w:tc>
          <w:tcPr>
            <w:tcW w:w="168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4C847346">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Intrinsic motivation</w:t>
            </w:r>
          </w:p>
        </w:tc>
        <w:tc>
          <w:tcPr>
            <w:tcW w:w="161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0385A168">
            <w:pPr>
              <w:pageBreakBefore w:val="0"/>
              <w:kinsoku/>
              <w:wordWrap/>
              <w:overflowPunct/>
              <w:topLinePunct w:val="0"/>
              <w:autoSpaceDE/>
              <w:autoSpaceDN/>
              <w:bidi w:val="0"/>
              <w:adjustRightInd/>
              <w:snapToGrid/>
              <w:spacing w:before="0" w:after="0" w:line="480" w:lineRule="auto"/>
              <w:ind w:firstLine="180" w:firstLineChars="100"/>
              <w:jc w:val="both"/>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Focus - Enjoyment</w:t>
            </w:r>
          </w:p>
        </w:tc>
      </w:tr>
      <w:tr w14:paraId="3C8D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9C654C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C1</w:t>
            </w:r>
          </w:p>
        </w:tc>
        <w:tc>
          <w:tcPr>
            <w:tcW w:w="1512"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6D1C5D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85 (15.1)</w:t>
            </w:r>
          </w:p>
        </w:tc>
        <w:tc>
          <w:tcPr>
            <w:tcW w:w="1757"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30F177A">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3.038</w:t>
            </w:r>
          </w:p>
        </w:tc>
        <w:tc>
          <w:tcPr>
            <w:tcW w:w="161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4CF7EA37">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1.973</w:t>
            </w:r>
          </w:p>
        </w:tc>
        <w:tc>
          <w:tcPr>
            <w:tcW w:w="168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EB457BE">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2.155</w:t>
            </w:r>
          </w:p>
        </w:tc>
        <w:tc>
          <w:tcPr>
            <w:tcW w:w="161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250BE6B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1.065</w:t>
            </w:r>
          </w:p>
        </w:tc>
      </w:tr>
      <w:tr w14:paraId="744A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4" w:type="dxa"/>
            <w:tcBorders>
              <w:top w:val="nil"/>
              <w:left w:val="nil"/>
              <w:bottom w:val="nil"/>
              <w:right w:val="nil"/>
            </w:tcBorders>
            <w:shd w:val="clear" w:color="auto" w:fill="FFFFFF"/>
            <w:tcMar>
              <w:top w:w="70" w:type="dxa"/>
              <w:left w:w="80" w:type="dxa"/>
              <w:bottom w:w="70" w:type="dxa"/>
              <w:right w:w="80" w:type="dxa"/>
            </w:tcMar>
            <w:vAlign w:val="center"/>
          </w:tcPr>
          <w:p w14:paraId="741793D5">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C2</w:t>
            </w:r>
          </w:p>
        </w:tc>
        <w:tc>
          <w:tcPr>
            <w:tcW w:w="1512" w:type="dxa"/>
            <w:tcBorders>
              <w:top w:val="nil"/>
              <w:left w:val="nil"/>
              <w:bottom w:val="nil"/>
              <w:right w:val="nil"/>
            </w:tcBorders>
            <w:shd w:val="clear" w:color="auto" w:fill="FFFFFF"/>
            <w:tcMar>
              <w:top w:w="70" w:type="dxa"/>
              <w:left w:w="80" w:type="dxa"/>
              <w:bottom w:w="70" w:type="dxa"/>
              <w:right w:w="80" w:type="dxa"/>
            </w:tcMar>
            <w:vAlign w:val="center"/>
          </w:tcPr>
          <w:p w14:paraId="6ADCD4B4">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173 (30.7)</w:t>
            </w:r>
          </w:p>
        </w:tc>
        <w:tc>
          <w:tcPr>
            <w:tcW w:w="1757" w:type="dxa"/>
            <w:tcBorders>
              <w:top w:val="nil"/>
              <w:left w:val="nil"/>
              <w:bottom w:val="nil"/>
              <w:right w:val="nil"/>
            </w:tcBorders>
            <w:shd w:val="clear" w:color="auto" w:fill="FFFFFF"/>
            <w:tcMar>
              <w:top w:w="70" w:type="dxa"/>
              <w:left w:w="80" w:type="dxa"/>
              <w:bottom w:w="70" w:type="dxa"/>
              <w:right w:w="80" w:type="dxa"/>
            </w:tcMar>
            <w:vAlign w:val="center"/>
          </w:tcPr>
          <w:p w14:paraId="3FB7FE5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3.602</w:t>
            </w:r>
          </w:p>
        </w:tc>
        <w:tc>
          <w:tcPr>
            <w:tcW w:w="1613" w:type="dxa"/>
            <w:tcBorders>
              <w:top w:val="nil"/>
              <w:left w:val="nil"/>
              <w:bottom w:val="nil"/>
              <w:right w:val="nil"/>
            </w:tcBorders>
            <w:shd w:val="clear" w:color="auto" w:fill="FFFFFF"/>
            <w:tcMar>
              <w:top w:w="70" w:type="dxa"/>
              <w:left w:w="80" w:type="dxa"/>
              <w:bottom w:w="70" w:type="dxa"/>
              <w:right w:w="80" w:type="dxa"/>
            </w:tcMar>
            <w:vAlign w:val="center"/>
          </w:tcPr>
          <w:p w14:paraId="0783832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3.048</w:t>
            </w:r>
          </w:p>
        </w:tc>
        <w:tc>
          <w:tcPr>
            <w:tcW w:w="1685" w:type="dxa"/>
            <w:tcBorders>
              <w:top w:val="nil"/>
              <w:left w:val="nil"/>
              <w:bottom w:val="nil"/>
              <w:right w:val="nil"/>
            </w:tcBorders>
            <w:shd w:val="clear" w:color="auto" w:fill="FFFFFF"/>
            <w:tcMar>
              <w:top w:w="70" w:type="dxa"/>
              <w:left w:w="80" w:type="dxa"/>
              <w:bottom w:w="70" w:type="dxa"/>
              <w:right w:w="80" w:type="dxa"/>
            </w:tcMar>
            <w:vAlign w:val="center"/>
          </w:tcPr>
          <w:p w14:paraId="7E40D9F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2.868</w:t>
            </w:r>
          </w:p>
        </w:tc>
        <w:tc>
          <w:tcPr>
            <w:tcW w:w="1613" w:type="dxa"/>
            <w:tcBorders>
              <w:top w:val="nil"/>
              <w:left w:val="nil"/>
              <w:bottom w:val="nil"/>
              <w:right w:val="nil"/>
            </w:tcBorders>
            <w:shd w:val="clear" w:color="auto" w:fill="FFFFFF"/>
            <w:tcMar>
              <w:top w:w="70" w:type="dxa"/>
              <w:left w:w="80" w:type="dxa"/>
              <w:bottom w:w="70" w:type="dxa"/>
              <w:right w:w="80" w:type="dxa"/>
            </w:tcMar>
            <w:vAlign w:val="center"/>
          </w:tcPr>
          <w:p w14:paraId="1BF1532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0.554</w:t>
            </w:r>
          </w:p>
        </w:tc>
      </w:tr>
      <w:tr w14:paraId="4E9E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4" w:type="dxa"/>
            <w:tcBorders>
              <w:top w:val="nil"/>
              <w:left w:val="nil"/>
              <w:bottom w:val="nil"/>
              <w:right w:val="nil"/>
            </w:tcBorders>
            <w:shd w:val="clear" w:color="auto" w:fill="FFFFFF"/>
            <w:tcMar>
              <w:top w:w="70" w:type="dxa"/>
              <w:left w:w="80" w:type="dxa"/>
              <w:bottom w:w="70" w:type="dxa"/>
              <w:right w:w="80" w:type="dxa"/>
            </w:tcMar>
            <w:vAlign w:val="center"/>
          </w:tcPr>
          <w:p w14:paraId="64B3D01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C3</w:t>
            </w:r>
          </w:p>
        </w:tc>
        <w:tc>
          <w:tcPr>
            <w:tcW w:w="1512" w:type="dxa"/>
            <w:tcBorders>
              <w:top w:val="nil"/>
              <w:left w:val="nil"/>
              <w:bottom w:val="nil"/>
              <w:right w:val="nil"/>
            </w:tcBorders>
            <w:shd w:val="clear" w:color="auto" w:fill="FFFFFF"/>
            <w:tcMar>
              <w:top w:w="70" w:type="dxa"/>
              <w:left w:w="80" w:type="dxa"/>
              <w:bottom w:w="70" w:type="dxa"/>
              <w:right w:w="80" w:type="dxa"/>
            </w:tcMar>
            <w:vAlign w:val="center"/>
          </w:tcPr>
          <w:p w14:paraId="162FE2A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243 (43.1)</w:t>
            </w:r>
          </w:p>
        </w:tc>
        <w:tc>
          <w:tcPr>
            <w:tcW w:w="1757" w:type="dxa"/>
            <w:tcBorders>
              <w:top w:val="nil"/>
              <w:left w:val="nil"/>
              <w:bottom w:val="nil"/>
              <w:right w:val="nil"/>
            </w:tcBorders>
            <w:shd w:val="clear" w:color="auto" w:fill="FFFFFF"/>
            <w:tcMar>
              <w:top w:w="70" w:type="dxa"/>
              <w:left w:w="80" w:type="dxa"/>
              <w:bottom w:w="70" w:type="dxa"/>
              <w:right w:w="80" w:type="dxa"/>
            </w:tcMar>
            <w:vAlign w:val="center"/>
          </w:tcPr>
          <w:p w14:paraId="70D1C817">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4.026</w:t>
            </w:r>
          </w:p>
        </w:tc>
        <w:tc>
          <w:tcPr>
            <w:tcW w:w="1613" w:type="dxa"/>
            <w:tcBorders>
              <w:top w:val="nil"/>
              <w:left w:val="nil"/>
              <w:bottom w:val="nil"/>
              <w:right w:val="nil"/>
            </w:tcBorders>
            <w:shd w:val="clear" w:color="auto" w:fill="FFFFFF"/>
            <w:tcMar>
              <w:top w:w="70" w:type="dxa"/>
              <w:left w:w="80" w:type="dxa"/>
              <w:bottom w:w="70" w:type="dxa"/>
              <w:right w:w="80" w:type="dxa"/>
            </w:tcMar>
            <w:vAlign w:val="center"/>
          </w:tcPr>
          <w:p w14:paraId="539958CF">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3.982</w:t>
            </w:r>
          </w:p>
        </w:tc>
        <w:tc>
          <w:tcPr>
            <w:tcW w:w="1685" w:type="dxa"/>
            <w:tcBorders>
              <w:top w:val="nil"/>
              <w:left w:val="nil"/>
              <w:bottom w:val="nil"/>
              <w:right w:val="nil"/>
            </w:tcBorders>
            <w:shd w:val="clear" w:color="auto" w:fill="FFFFFF"/>
            <w:tcMar>
              <w:top w:w="70" w:type="dxa"/>
              <w:left w:w="80" w:type="dxa"/>
              <w:bottom w:w="70" w:type="dxa"/>
              <w:right w:w="80" w:type="dxa"/>
            </w:tcMar>
            <w:vAlign w:val="center"/>
          </w:tcPr>
          <w:p w14:paraId="626E9524">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3.544</w:t>
            </w:r>
          </w:p>
        </w:tc>
        <w:tc>
          <w:tcPr>
            <w:tcW w:w="1613" w:type="dxa"/>
            <w:tcBorders>
              <w:top w:val="nil"/>
              <w:left w:val="nil"/>
              <w:bottom w:val="nil"/>
              <w:right w:val="nil"/>
            </w:tcBorders>
            <w:shd w:val="clear" w:color="auto" w:fill="FFFFFF"/>
            <w:tcMar>
              <w:top w:w="70" w:type="dxa"/>
              <w:left w:w="80" w:type="dxa"/>
              <w:bottom w:w="70" w:type="dxa"/>
              <w:right w:w="80" w:type="dxa"/>
            </w:tcMar>
            <w:vAlign w:val="center"/>
          </w:tcPr>
          <w:p w14:paraId="20DBE0A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0.044</w:t>
            </w:r>
          </w:p>
        </w:tc>
      </w:tr>
      <w:tr w14:paraId="4628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F9B7FA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C4</w:t>
            </w:r>
          </w:p>
        </w:tc>
        <w:tc>
          <w:tcPr>
            <w:tcW w:w="1512"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32BF95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63 (11.2)</w:t>
            </w:r>
          </w:p>
        </w:tc>
        <w:tc>
          <w:tcPr>
            <w:tcW w:w="1757"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00DE005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4.720</w:t>
            </w:r>
          </w:p>
        </w:tc>
        <w:tc>
          <w:tcPr>
            <w:tcW w:w="161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28840B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4.921</w:t>
            </w:r>
          </w:p>
        </w:tc>
        <w:tc>
          <w:tcPr>
            <w:tcW w:w="168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6D79EED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4.144</w:t>
            </w:r>
          </w:p>
        </w:tc>
        <w:tc>
          <w:tcPr>
            <w:tcW w:w="161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47CE2F03">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-0.201</w:t>
            </w:r>
          </w:p>
        </w:tc>
      </w:tr>
    </w:tbl>
    <w:p w14:paraId="22604CEC">
      <w:pPr>
        <w:pageBreakBefore w:val="0"/>
        <w:kinsoku/>
        <w:wordWrap/>
        <w:overflowPunct/>
        <w:topLinePunct w:val="0"/>
        <w:autoSpaceDE/>
        <w:autoSpaceDN/>
        <w:bidi w:val="0"/>
        <w:adjustRightInd/>
        <w:snapToGrid/>
        <w:spacing w:before="60" w:after="140" w:line="480" w:lineRule="auto"/>
        <w:ind w:firstLine="210" w:firstLineChars="100"/>
        <w:rPr>
          <w:rFonts w:hint="default" w:ascii="Times New Roman" w:hAnsi="Times New Roman" w:cs="Times New Roman"/>
          <w:b w:val="0"/>
          <w:bCs/>
          <w:sz w:val="21"/>
          <w:szCs w:val="22"/>
        </w:rPr>
      </w:pPr>
      <w:r>
        <w:rPr>
          <w:rFonts w:hint="default" w:ascii="Times New Roman" w:hAnsi="Times New Roman" w:cs="Times New Roman"/>
          <w:b w:val="0"/>
          <w:bCs/>
          <w:i/>
          <w:sz w:val="21"/>
          <w:szCs w:val="22"/>
        </w:rPr>
        <w:t xml:space="preserve">Note. </w:t>
      </w:r>
      <w:r>
        <w:rPr>
          <w:rFonts w:hint="default" w:ascii="Times New Roman" w:hAnsi="Times New Roman" w:cs="Times New Roman"/>
          <w:b w:val="0"/>
          <w:bCs/>
          <w:i/>
          <w:sz w:val="18"/>
          <w:szCs w:val="22"/>
        </w:rPr>
        <w:t>Dimension-level means were calculated from the item-level class-specific means:</w:t>
      </w:r>
      <w:r>
        <w:rPr>
          <w:rFonts w:hint="default" w:ascii="Times New Roman" w:hAnsi="Times New Roman" w:eastAsia="宋体" w:cs="Times New Roman"/>
          <w:b w:val="0"/>
          <w:bCs/>
          <w:i/>
          <w:sz w:val="18"/>
          <w:szCs w:val="22"/>
          <w:lang w:val="en-US" w:eastAsia="zh-CN"/>
        </w:rPr>
        <w:t xml:space="preserve"> f</w:t>
      </w:r>
      <w:r>
        <w:rPr>
          <w:rFonts w:hint="default" w:ascii="Times New Roman" w:hAnsi="Times New Roman" w:cs="Times New Roman"/>
          <w:b w:val="0"/>
          <w:bCs/>
          <w:i/>
          <w:sz w:val="18"/>
          <w:szCs w:val="22"/>
        </w:rPr>
        <w:t>ocus = A1-A4, work enjoyment = A5-A8, and intrinsic work motivation = A9-A13. The decreasing Focus - Enjoyment contrast illustrates a systematic change in profile shape from the low to the high profile.</w:t>
      </w:r>
    </w:p>
    <w:p w14:paraId="65C7BFD3">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S7. Three-Dimension Four-Class LPA Sensitivity Analysis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694"/>
        <w:gridCol w:w="1694"/>
        <w:gridCol w:w="1694"/>
        <w:gridCol w:w="1694"/>
        <w:gridCol w:w="1694"/>
      </w:tblGrid>
      <w:tr w14:paraId="10E5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4"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0E01FFF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Profile</w:t>
            </w:r>
          </w:p>
        </w:tc>
        <w:tc>
          <w:tcPr>
            <w:tcW w:w="1694"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2CB5BF4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Most likely n (%)</w:t>
            </w:r>
          </w:p>
        </w:tc>
        <w:tc>
          <w:tcPr>
            <w:tcW w:w="1694"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7D32A034">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宋体" w:cs="Times New Roman"/>
                <w:b w:val="0"/>
                <w:bCs/>
                <w:color w:val="000000"/>
                <w:sz w:val="18"/>
                <w:szCs w:val="22"/>
                <w:lang w:val="en-US" w:eastAsia="zh-CN"/>
              </w:rPr>
              <w:t>F</w:t>
            </w:r>
            <w:r>
              <w:rPr>
                <w:rFonts w:hint="default" w:ascii="Times New Roman" w:hAnsi="Times New Roman" w:eastAsia="Arial" w:cs="Times New Roman"/>
                <w:b w:val="0"/>
                <w:bCs/>
                <w:color w:val="000000"/>
                <w:sz w:val="18"/>
                <w:szCs w:val="22"/>
              </w:rPr>
              <w:t>ocus</w:t>
            </w:r>
          </w:p>
        </w:tc>
        <w:tc>
          <w:tcPr>
            <w:tcW w:w="1694"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B27F48A">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Work enjoyment</w:t>
            </w:r>
          </w:p>
        </w:tc>
        <w:tc>
          <w:tcPr>
            <w:tcW w:w="1694"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D3F2FD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Intrinsic motivation</w:t>
            </w:r>
          </w:p>
        </w:tc>
        <w:tc>
          <w:tcPr>
            <w:tcW w:w="1694"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0B13CB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Focus - Enjoyment</w:t>
            </w:r>
          </w:p>
        </w:tc>
      </w:tr>
      <w:tr w14:paraId="617D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14E1101">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C1</w:t>
            </w:r>
          </w:p>
        </w:tc>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06E17BD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78 (13.8)</w:t>
            </w:r>
          </w:p>
        </w:tc>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A6974F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3.029</w:t>
            </w:r>
          </w:p>
        </w:tc>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F729E0E">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1.919</w:t>
            </w:r>
          </w:p>
        </w:tc>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D7ABC1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2.131</w:t>
            </w:r>
          </w:p>
        </w:tc>
        <w:tc>
          <w:tcPr>
            <w:tcW w:w="169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B549C4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1.110</w:t>
            </w:r>
          </w:p>
        </w:tc>
      </w:tr>
      <w:tr w14:paraId="6538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1A9BC7E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 xml:space="preserve"> C2</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500CE66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259 (45.9)</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5E0DD22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4.030</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45898C6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3.964</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7C08A15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3.528</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066BE1E3">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0.066</w:t>
            </w:r>
          </w:p>
        </w:tc>
      </w:tr>
      <w:tr w14:paraId="1867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2A8B597F">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 xml:space="preserve"> C3</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63C9AAE5">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168 (29.8)</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2B268546">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3.553</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1E76A09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2.988</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48C2152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2.833</w:t>
            </w:r>
          </w:p>
        </w:tc>
        <w:tc>
          <w:tcPr>
            <w:tcW w:w="1694" w:type="dxa"/>
            <w:tcBorders>
              <w:top w:val="nil"/>
              <w:left w:val="nil"/>
              <w:bottom w:val="nil"/>
              <w:right w:val="nil"/>
            </w:tcBorders>
            <w:shd w:val="clear" w:color="auto" w:fill="FFFFFF"/>
            <w:tcMar>
              <w:top w:w="70" w:type="dxa"/>
              <w:left w:w="80" w:type="dxa"/>
              <w:bottom w:w="70" w:type="dxa"/>
              <w:right w:w="80" w:type="dxa"/>
            </w:tcMar>
            <w:vAlign w:val="center"/>
          </w:tcPr>
          <w:p w14:paraId="093AFA7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0.565</w:t>
            </w:r>
          </w:p>
        </w:tc>
      </w:tr>
      <w:tr w14:paraId="4981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6E532FF5">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C4</w:t>
            </w:r>
          </w:p>
        </w:tc>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AB6559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59 (10.5)</w:t>
            </w:r>
          </w:p>
        </w:tc>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BF76061">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4.722</w:t>
            </w:r>
          </w:p>
        </w:tc>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08B8B0A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4.947</w:t>
            </w:r>
          </w:p>
        </w:tc>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5102721">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4.141</w:t>
            </w:r>
          </w:p>
        </w:tc>
        <w:tc>
          <w:tcPr>
            <w:tcW w:w="169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4DD78F2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eastAsia="Arial" w:cs="Times New Roman"/>
                <w:b w:val="0"/>
                <w:bCs/>
                <w:color w:val="000000"/>
                <w:sz w:val="21"/>
                <w:szCs w:val="22"/>
                <w:lang w:val="en-US" w:eastAsia="en-US" w:bidi="ar-SA"/>
              </w:rPr>
            </w:pPr>
            <w:r>
              <w:rPr>
                <w:rFonts w:hint="default" w:ascii="Times New Roman" w:hAnsi="Times New Roman" w:eastAsia="Arial" w:cs="Times New Roman"/>
                <w:b w:val="0"/>
                <w:bCs/>
                <w:color w:val="000000"/>
                <w:sz w:val="18"/>
                <w:szCs w:val="22"/>
              </w:rPr>
              <w:t>-0.225</w:t>
            </w:r>
          </w:p>
        </w:tc>
      </w:tr>
    </w:tbl>
    <w:p w14:paraId="0C0B8DB4">
      <w:pPr>
        <w:pageBreakBefore w:val="0"/>
        <w:kinsoku/>
        <w:wordWrap/>
        <w:overflowPunct/>
        <w:topLinePunct w:val="0"/>
        <w:autoSpaceDE/>
        <w:autoSpaceDN/>
        <w:bidi w:val="0"/>
        <w:adjustRightInd/>
        <w:snapToGrid/>
        <w:spacing w:before="60" w:after="140" w:line="480" w:lineRule="auto"/>
        <w:ind w:firstLine="210" w:firstLineChars="100"/>
        <w:rPr>
          <w:rFonts w:hint="default" w:ascii="Times New Roman" w:hAnsi="Times New Roman" w:cs="Times New Roman"/>
          <w:b w:val="0"/>
          <w:bCs/>
          <w:sz w:val="21"/>
          <w:szCs w:val="22"/>
        </w:rPr>
      </w:pPr>
      <w:r>
        <w:rPr>
          <w:rFonts w:hint="default" w:ascii="Times New Roman" w:hAnsi="Times New Roman" w:cs="Times New Roman"/>
          <w:b w:val="0"/>
          <w:bCs/>
          <w:i/>
          <w:sz w:val="21"/>
          <w:szCs w:val="22"/>
        </w:rPr>
        <w:t xml:space="preserve">Note. </w:t>
      </w:r>
      <w:r>
        <w:rPr>
          <w:rFonts w:hint="default" w:ascii="Times New Roman" w:hAnsi="Times New Roman" w:cs="Times New Roman"/>
          <w:b w:val="0"/>
          <w:bCs/>
          <w:i/>
          <w:sz w:val="18"/>
          <w:szCs w:val="22"/>
        </w:rPr>
        <w:t xml:space="preserve">For interpretive clarity, the Mplus classes were reordered from low to high overall work immersion (C1, C2, C3, C4). Model fit: log-likelihood = -1603.292; AIC = 3242.584; BIC = 3320.615; sample-size adjusted BIC = 3263.473; entropy = .944. The joint Wald test again rejected parallel profile shapes, chi-square(6) = 252.391, </w:t>
      </w:r>
      <w:r>
        <w:rPr>
          <w:rFonts w:hint="default" w:ascii="Times New Roman" w:hAnsi="Times New Roman" w:eastAsia="宋体" w:cs="Times New Roman"/>
          <w:b w:val="0"/>
          <w:bCs/>
          <w:i/>
          <w:sz w:val="18"/>
          <w:szCs w:val="22"/>
          <w:lang w:eastAsia="zh-CN"/>
        </w:rPr>
        <w:t xml:space="preserve">P </w:t>
      </w:r>
      <w:r>
        <w:rPr>
          <w:rFonts w:hint="default" w:ascii="Times New Roman" w:hAnsi="Times New Roman" w:eastAsia="微软雅黑" w:cs="Times New Roman"/>
          <w:b w:val="0"/>
          <w:bCs/>
          <w:i w:val="0"/>
          <w:iCs/>
          <w:sz w:val="18"/>
          <w:szCs w:val="22"/>
          <w:lang w:eastAsia="zh-CN"/>
        </w:rPr>
        <w:t>&lt;</w:t>
      </w:r>
      <w:r>
        <w:rPr>
          <w:rFonts w:hint="default" w:ascii="Times New Roman" w:hAnsi="Times New Roman" w:cs="Times New Roman"/>
          <w:b w:val="0"/>
          <w:bCs/>
          <w:i/>
          <w:sz w:val="18"/>
          <w:szCs w:val="22"/>
        </w:rPr>
        <w:t xml:space="preserve"> .001.</w:t>
      </w:r>
    </w:p>
    <w:p w14:paraId="181C4B4E">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S8. Comparison of Unrestricted and Parallel-Profile Three-Dimension Models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694"/>
        <w:gridCol w:w="1694"/>
        <w:gridCol w:w="1694"/>
        <w:gridCol w:w="1694"/>
        <w:gridCol w:w="1694"/>
      </w:tblGrid>
      <w:tr w14:paraId="3470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84"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4DCCFD5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Model</w:t>
            </w:r>
          </w:p>
        </w:tc>
        <w:tc>
          <w:tcPr>
            <w:tcW w:w="155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1700281F">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Log-likelihood</w:t>
            </w:r>
          </w:p>
        </w:tc>
        <w:tc>
          <w:tcPr>
            <w:tcW w:w="119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41018BF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AIC</w:t>
            </w:r>
          </w:p>
        </w:tc>
        <w:tc>
          <w:tcPr>
            <w:tcW w:w="119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49238DF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BIC</w:t>
            </w:r>
          </w:p>
        </w:tc>
        <w:tc>
          <w:tcPr>
            <w:tcW w:w="148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7CB5A62F">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Adjusted BIC</w:t>
            </w:r>
          </w:p>
        </w:tc>
        <w:tc>
          <w:tcPr>
            <w:tcW w:w="1037"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71647DD0">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Entropy</w:t>
            </w:r>
          </w:p>
        </w:tc>
      </w:tr>
      <w:tr w14:paraId="115E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4"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BB2299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Unrestricted profile shape</w:t>
            </w:r>
          </w:p>
        </w:tc>
        <w:tc>
          <w:tcPr>
            <w:tcW w:w="155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40B31CCC">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-1603.292</w:t>
            </w:r>
          </w:p>
        </w:tc>
        <w:tc>
          <w:tcPr>
            <w:tcW w:w="119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423E55E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3242.584</w:t>
            </w:r>
          </w:p>
        </w:tc>
        <w:tc>
          <w:tcPr>
            <w:tcW w:w="119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F7FF4E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3320.615</w:t>
            </w:r>
          </w:p>
        </w:tc>
        <w:tc>
          <w:tcPr>
            <w:tcW w:w="148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D6EDBEB">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3263.473</w:t>
            </w:r>
          </w:p>
        </w:tc>
        <w:tc>
          <w:tcPr>
            <w:tcW w:w="1037"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0BC8758E">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.944</w:t>
            </w:r>
          </w:p>
        </w:tc>
      </w:tr>
      <w:tr w14:paraId="3D54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4" w:type="dxa"/>
            <w:tcBorders>
              <w:top w:val="nil"/>
              <w:left w:val="nil"/>
              <w:bottom w:val="nil"/>
              <w:right w:val="nil"/>
            </w:tcBorders>
            <w:shd w:val="clear" w:color="auto" w:fill="FFFFFF"/>
            <w:tcMar>
              <w:top w:w="70" w:type="dxa"/>
              <w:left w:w="80" w:type="dxa"/>
              <w:bottom w:w="70" w:type="dxa"/>
              <w:right w:w="80" w:type="dxa"/>
            </w:tcMar>
            <w:vAlign w:val="center"/>
          </w:tcPr>
          <w:p w14:paraId="26CF9948">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Parallel-profile constrained</w:t>
            </w:r>
          </w:p>
        </w:tc>
        <w:tc>
          <w:tcPr>
            <w:tcW w:w="1555" w:type="dxa"/>
            <w:tcBorders>
              <w:top w:val="nil"/>
              <w:left w:val="nil"/>
              <w:bottom w:val="nil"/>
              <w:right w:val="nil"/>
            </w:tcBorders>
            <w:shd w:val="clear" w:color="auto" w:fill="FFFFFF"/>
            <w:tcMar>
              <w:top w:w="70" w:type="dxa"/>
              <w:left w:w="80" w:type="dxa"/>
              <w:bottom w:w="70" w:type="dxa"/>
              <w:right w:w="80" w:type="dxa"/>
            </w:tcMar>
            <w:vAlign w:val="center"/>
          </w:tcPr>
          <w:p w14:paraId="45004C05">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-1700.509</w:t>
            </w:r>
          </w:p>
        </w:tc>
        <w:tc>
          <w:tcPr>
            <w:tcW w:w="1195" w:type="dxa"/>
            <w:tcBorders>
              <w:top w:val="nil"/>
              <w:left w:val="nil"/>
              <w:bottom w:val="nil"/>
              <w:right w:val="nil"/>
            </w:tcBorders>
            <w:shd w:val="clear" w:color="auto" w:fill="FFFFFF"/>
            <w:tcMar>
              <w:top w:w="70" w:type="dxa"/>
              <w:left w:w="80" w:type="dxa"/>
              <w:bottom w:w="70" w:type="dxa"/>
              <w:right w:w="80" w:type="dxa"/>
            </w:tcMar>
            <w:vAlign w:val="center"/>
          </w:tcPr>
          <w:p w14:paraId="45AD08E3">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3425.019</w:t>
            </w:r>
          </w:p>
        </w:tc>
        <w:tc>
          <w:tcPr>
            <w:tcW w:w="1195" w:type="dxa"/>
            <w:tcBorders>
              <w:top w:val="nil"/>
              <w:left w:val="nil"/>
              <w:bottom w:val="nil"/>
              <w:right w:val="nil"/>
            </w:tcBorders>
            <w:shd w:val="clear" w:color="auto" w:fill="FFFFFF"/>
            <w:tcMar>
              <w:top w:w="70" w:type="dxa"/>
              <w:left w:w="80" w:type="dxa"/>
              <w:bottom w:w="70" w:type="dxa"/>
              <w:right w:w="80" w:type="dxa"/>
            </w:tcMar>
            <w:vAlign w:val="center"/>
          </w:tcPr>
          <w:p w14:paraId="3CBCB4A1">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3477.040</w:t>
            </w:r>
          </w:p>
        </w:tc>
        <w:tc>
          <w:tcPr>
            <w:tcW w:w="1483" w:type="dxa"/>
            <w:tcBorders>
              <w:top w:val="nil"/>
              <w:left w:val="nil"/>
              <w:bottom w:val="nil"/>
              <w:right w:val="nil"/>
            </w:tcBorders>
            <w:shd w:val="clear" w:color="auto" w:fill="FFFFFF"/>
            <w:tcMar>
              <w:top w:w="70" w:type="dxa"/>
              <w:left w:w="80" w:type="dxa"/>
              <w:bottom w:w="70" w:type="dxa"/>
              <w:right w:w="80" w:type="dxa"/>
            </w:tcMar>
            <w:vAlign w:val="center"/>
          </w:tcPr>
          <w:p w14:paraId="2C789BB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3438.945</w:t>
            </w:r>
          </w:p>
        </w:tc>
        <w:tc>
          <w:tcPr>
            <w:tcW w:w="1037" w:type="dxa"/>
            <w:tcBorders>
              <w:top w:val="nil"/>
              <w:left w:val="nil"/>
              <w:bottom w:val="nil"/>
              <w:right w:val="nil"/>
            </w:tcBorders>
            <w:shd w:val="clear" w:color="auto" w:fill="FFFFFF"/>
            <w:tcMar>
              <w:top w:w="70" w:type="dxa"/>
              <w:left w:w="80" w:type="dxa"/>
              <w:bottom w:w="70" w:type="dxa"/>
              <w:right w:w="80" w:type="dxa"/>
            </w:tcMar>
            <w:vAlign w:val="center"/>
          </w:tcPr>
          <w:p w14:paraId="42A087E7">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.802</w:t>
            </w:r>
          </w:p>
        </w:tc>
      </w:tr>
      <w:tr w14:paraId="5620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4"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208043D">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Difference (constrained - unrestricted)</w:t>
            </w:r>
          </w:p>
        </w:tc>
        <w:tc>
          <w:tcPr>
            <w:tcW w:w="155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1276B8E">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-97.217</w:t>
            </w:r>
          </w:p>
        </w:tc>
        <w:tc>
          <w:tcPr>
            <w:tcW w:w="119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D51AAEA">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+182.435</w:t>
            </w:r>
          </w:p>
        </w:tc>
        <w:tc>
          <w:tcPr>
            <w:tcW w:w="119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E44B6B9">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+156.425</w:t>
            </w:r>
          </w:p>
        </w:tc>
        <w:tc>
          <w:tcPr>
            <w:tcW w:w="148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EAB4F95">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+175.472</w:t>
            </w:r>
          </w:p>
        </w:tc>
        <w:tc>
          <w:tcPr>
            <w:tcW w:w="1037"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B0DA062">
            <w:pPr>
              <w:pageBreakBefore w:val="0"/>
              <w:kinsoku/>
              <w:wordWrap/>
              <w:overflowPunct/>
              <w:topLinePunct w:val="0"/>
              <w:autoSpaceDE/>
              <w:autoSpaceDN/>
              <w:bidi w:val="0"/>
              <w:adjustRightInd/>
              <w:snapToGrid/>
              <w:spacing w:before="0" w:after="0" w:line="480" w:lineRule="auto"/>
              <w:ind w:firstLine="180" w:firstLineChars="100"/>
              <w:jc w:val="center"/>
              <w:rPr>
                <w:rFonts w:hint="default" w:ascii="Times New Roman" w:hAnsi="Times New Roman" w:cs="Times New Roman"/>
                <w:b w:val="0"/>
                <w:bCs/>
                <w:color w:val="000000"/>
                <w:sz w:val="21"/>
                <w:szCs w:val="22"/>
              </w:rPr>
            </w:pPr>
            <w:r>
              <w:rPr>
                <w:rFonts w:hint="default" w:ascii="Times New Roman" w:hAnsi="Times New Roman" w:eastAsia="Arial" w:cs="Times New Roman"/>
                <w:b w:val="0"/>
                <w:bCs/>
                <w:color w:val="000000"/>
                <w:sz w:val="18"/>
                <w:szCs w:val="22"/>
              </w:rPr>
              <w:t>-.142</w:t>
            </w:r>
          </w:p>
        </w:tc>
      </w:tr>
    </w:tbl>
    <w:p w14:paraId="257C9940">
      <w:pPr>
        <w:pageBreakBefore w:val="0"/>
        <w:kinsoku/>
        <w:wordWrap/>
        <w:overflowPunct/>
        <w:topLinePunct w:val="0"/>
        <w:autoSpaceDE/>
        <w:autoSpaceDN/>
        <w:bidi w:val="0"/>
        <w:adjustRightInd/>
        <w:snapToGrid/>
        <w:spacing w:before="60" w:after="140" w:line="480" w:lineRule="auto"/>
        <w:ind w:firstLine="210" w:firstLineChars="100"/>
        <w:rPr>
          <w:rFonts w:hint="default" w:ascii="Times New Roman" w:hAnsi="Times New Roman" w:cs="Times New Roman"/>
          <w:b w:val="0"/>
          <w:bCs/>
          <w:sz w:val="21"/>
          <w:szCs w:val="22"/>
        </w:rPr>
      </w:pPr>
      <w:r>
        <w:rPr>
          <w:rFonts w:hint="default" w:ascii="Times New Roman" w:hAnsi="Times New Roman" w:cs="Times New Roman"/>
          <w:b w:val="0"/>
          <w:bCs/>
          <w:i/>
          <w:sz w:val="21"/>
          <w:szCs w:val="22"/>
        </w:rPr>
        <w:t xml:space="preserve">Note. </w:t>
      </w:r>
      <w:r>
        <w:rPr>
          <w:rFonts w:hint="default" w:ascii="Times New Roman" w:hAnsi="Times New Roman" w:cs="Times New Roman"/>
          <w:b w:val="0"/>
          <w:bCs/>
          <w:i/>
          <w:sz w:val="18"/>
          <w:szCs w:val="22"/>
        </w:rPr>
        <w:t>The parallel-profile model constrained the four classes to have an identical shape and to differ only by an overall vertical shift. Lower AIC, BIC, and adjusted BIC indicate better fit. The unrestricted model fit substantially better, with Delta BIC = 156.425 in favor of allowing shape differences.</w:t>
      </w:r>
    </w:p>
    <w:p w14:paraId="2C28CE19">
      <w:pPr>
        <w:pStyle w:val="2"/>
        <w:pageBreakBefore w:val="0"/>
        <w:widowControl/>
        <w:kinsoku/>
        <w:wordWrap/>
        <w:overflowPunct/>
        <w:topLinePunct w:val="0"/>
        <w:autoSpaceDE/>
        <w:autoSpaceDN/>
        <w:bidi w:val="0"/>
        <w:adjustRightInd/>
        <w:snapToGrid/>
        <w:spacing w:line="480" w:lineRule="auto"/>
        <w:ind w:firstLine="240" w:firstLineChars="100"/>
        <w:textAlignment w:val="auto"/>
        <w:rPr>
          <w:rFonts w:hint="default" w:ascii="Times New Roman" w:hAnsi="Times New Roman" w:cs="Times New Roman"/>
          <w:b w:val="0"/>
          <w:bCs/>
          <w:sz w:val="24"/>
          <w:szCs w:val="28"/>
        </w:rPr>
      </w:pPr>
      <w:r>
        <w:rPr>
          <w:rFonts w:hint="default" w:ascii="Times New Roman" w:hAnsi="Times New Roman" w:cs="Times New Roman"/>
          <w:b w:val="0"/>
          <w:bCs/>
          <w:sz w:val="24"/>
          <w:szCs w:val="28"/>
        </w:rPr>
        <w:t>Supplementary Interpretation</w:t>
      </w:r>
    </w:p>
    <w:p w14:paraId="642DCA79">
      <w:pPr>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sz w:val="21"/>
          <w:szCs w:val="22"/>
        </w:rPr>
      </w:pPr>
      <w:r>
        <w:rPr>
          <w:rFonts w:hint="default" w:ascii="Times New Roman" w:hAnsi="Times New Roman" w:cs="Times New Roman"/>
          <w:b w:val="0"/>
          <w:bCs/>
          <w:sz w:val="21"/>
          <w:szCs w:val="22"/>
        </w:rPr>
        <w:t>Across both the original 13-item model and the three-dimension sensitivity analysis, the four profiles were clearly ordered in overall work-immersion level. However, the formal Wald tests rejected strict parallelism in both specifications, and imposing a parallel-profile structure substantially worsened model fit. The most visible shape change concerned the relative standing of</w:t>
      </w:r>
      <w:r>
        <w:rPr>
          <w:rFonts w:hint="default" w:ascii="Times New Roman" w:hAnsi="Times New Roman" w:eastAsia="宋体" w:cs="Times New Roman"/>
          <w:b w:val="0"/>
          <w:bCs/>
          <w:sz w:val="21"/>
          <w:szCs w:val="22"/>
          <w:lang w:val="en-US" w:eastAsia="zh-CN"/>
        </w:rPr>
        <w:t xml:space="preserve"> f</w:t>
      </w:r>
      <w:r>
        <w:rPr>
          <w:rFonts w:hint="default" w:ascii="Times New Roman" w:hAnsi="Times New Roman" w:cs="Times New Roman"/>
          <w:b w:val="0"/>
          <w:bCs/>
          <w:sz w:val="21"/>
          <w:szCs w:val="22"/>
        </w:rPr>
        <w:t>ocus</w:t>
      </w:r>
      <w:r>
        <w:rPr>
          <w:rFonts w:hint="default" w:ascii="Times New Roman" w:hAnsi="Times New Roman" w:eastAsia="宋体" w:cs="Times New Roman"/>
          <w:b w:val="0"/>
          <w:bCs/>
          <w:sz w:val="21"/>
          <w:szCs w:val="22"/>
          <w:lang w:val="en-US" w:eastAsia="zh-CN"/>
        </w:rPr>
        <w:t xml:space="preserve"> </w:t>
      </w:r>
      <w:r>
        <w:rPr>
          <w:rFonts w:hint="default" w:ascii="Times New Roman" w:hAnsi="Times New Roman" w:cs="Times New Roman"/>
          <w:b w:val="0"/>
          <w:bCs/>
          <w:sz w:val="21"/>
          <w:szCs w:val="22"/>
        </w:rPr>
        <w:t>and work enjoyment: the former was much higher than the latter in the low profile, whereas the difference progressively narrowed and reversed in the high profile. Taken together, these results support describing the solution as ordered profiles with substantial level differences accompanied by statistically significant shape differences, rather than as purely severity-based classes or wholly qualitatively distinct types.</w:t>
      </w:r>
    </w:p>
    <w:p w14:paraId="266CE1F1">
      <w:pPr>
        <w:pageBreakBefore w:val="0"/>
        <w:widowControl/>
        <w:kinsoku/>
        <w:wordWrap/>
        <w:overflowPunct/>
        <w:topLinePunct w:val="0"/>
        <w:autoSpaceDE/>
        <w:autoSpaceDN/>
        <w:bidi w:val="0"/>
        <w:adjustRightInd/>
        <w:snapToGrid/>
        <w:spacing w:before="160" w:line="480" w:lineRule="auto"/>
        <w:ind w:firstLine="210" w:firstLineChars="100"/>
        <w:textAlignment w:val="auto"/>
        <w:rPr>
          <w:rFonts w:hint="default" w:ascii="Times New Roman" w:hAnsi="Times New Roman" w:cs="Times New Roman"/>
          <w:b w:val="0"/>
          <w:bCs/>
          <w:sz w:val="21"/>
          <w:szCs w:val="22"/>
        </w:rPr>
      </w:pPr>
      <w:r>
        <w:rPr>
          <w:rFonts w:hint="default" w:ascii="Times New Roman" w:hAnsi="Times New Roman" w:cs="Times New Roman"/>
          <w:b w:val="0"/>
          <w:bCs/>
          <w:sz w:val="21"/>
          <w:szCs w:val="22"/>
        </w:rPr>
        <w:t>Abbreviations: AIC = Akaike information criterion; BIC = Bayesian information criterion; LPA = latent profile analysis.</w:t>
      </w:r>
    </w:p>
    <w:p w14:paraId="649EB8CD">
      <w:pPr>
        <w:pageBreakBefore w:val="0"/>
        <w:widowControl/>
        <w:kinsoku/>
        <w:wordWrap/>
        <w:overflowPunct/>
        <w:topLinePunct w:val="0"/>
        <w:autoSpaceDE/>
        <w:autoSpaceDN/>
        <w:bidi w:val="0"/>
        <w:adjustRightInd/>
        <w:snapToGrid/>
        <w:spacing w:before="160" w:line="480" w:lineRule="auto"/>
        <w:textAlignment w:val="auto"/>
        <w:rPr>
          <w:rFonts w:hint="default" w:ascii="Times New Roman" w:hAnsi="Times New Roman" w:cs="Times New Roman"/>
          <w:b w:val="0"/>
          <w:bCs w:val="0"/>
          <w:sz w:val="21"/>
          <w:szCs w:val="22"/>
          <w:highlight w:val="none"/>
          <w:lang w:val="en-US"/>
        </w:rPr>
      </w:pPr>
      <w:r>
        <w:rPr>
          <w:rFonts w:hint="default" w:ascii="Times New Roman" w:hAnsi="Times New Roman" w:cs="Times New Roman" w:eastAsiaTheme="majorEastAsia"/>
          <w:b w:val="0"/>
          <w:bCs w:val="0"/>
          <w:color w:val="2D3748"/>
          <w:sz w:val="24"/>
          <w:szCs w:val="28"/>
          <w:highlight w:val="none"/>
          <w:lang w:val="en-US" w:eastAsia="zh-CN" w:bidi="ar-SA"/>
        </w:rPr>
        <w:t>Supplementary Material</w:t>
      </w:r>
      <w:r>
        <w:rPr>
          <w:rFonts w:hint="eastAsia" w:ascii="Times New Roman" w:hAnsi="Times New Roman" w:cs="Times New Roman" w:eastAsiaTheme="majorEastAsia"/>
          <w:b w:val="0"/>
          <w:bCs w:val="0"/>
          <w:color w:val="2D3748"/>
          <w:sz w:val="24"/>
          <w:szCs w:val="28"/>
          <w:highlight w:val="none"/>
          <w:lang w:val="en-US" w:eastAsia="zh-CN" w:bidi="ar-SA"/>
        </w:rPr>
        <w:t xml:space="preserve"> 4: Direct pairwise Wald tests of regression-coefficient differences across latent profiles</w:t>
      </w:r>
    </w:p>
    <w:p w14:paraId="70635BC4">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S9. Direct pairwise Wald tests of regression-coefficient differences across latent profiles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976"/>
        <w:gridCol w:w="1563"/>
        <w:gridCol w:w="1563"/>
        <w:gridCol w:w="1563"/>
      </w:tblGrid>
      <w:tr w14:paraId="333E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86" w:type="dxa"/>
            <w:tcBorders>
              <w:top w:val="single" w:color="000000" w:sz="12" w:space="0"/>
              <w:left w:val="nil"/>
              <w:bottom w:val="single" w:color="000000" w:sz="4" w:space="0"/>
              <w:right w:val="nil"/>
              <w:tl2br w:val="nil"/>
            </w:tcBorders>
            <w:shd w:val="clear" w:color="auto" w:fill="FFFFFF"/>
            <w:vAlign w:val="center"/>
          </w:tcPr>
          <w:p w14:paraId="7758ECE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Variables</w:t>
            </w:r>
          </w:p>
        </w:tc>
        <w:tc>
          <w:tcPr>
            <w:tcW w:w="3186" w:type="dxa"/>
            <w:tcBorders>
              <w:top w:val="single" w:color="000000" w:sz="12" w:space="0"/>
              <w:left w:val="nil"/>
              <w:bottom w:val="single" w:color="000000" w:sz="4" w:space="0"/>
              <w:right w:val="nil"/>
            </w:tcBorders>
            <w:shd w:val="clear" w:color="auto" w:fill="FFFFFF"/>
            <w:vAlign w:val="center"/>
          </w:tcPr>
          <w:p w14:paraId="6149079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Category</w:t>
            </w:r>
          </w:p>
        </w:tc>
        <w:tc>
          <w:tcPr>
            <w:tcW w:w="3186" w:type="dxa"/>
            <w:tcBorders>
              <w:top w:val="single" w:color="000000" w:sz="12" w:space="0"/>
              <w:left w:val="nil"/>
              <w:bottom w:val="single" w:color="000000" w:sz="4" w:space="0"/>
              <w:right w:val="nil"/>
            </w:tcBorders>
            <w:shd w:val="clear" w:color="auto" w:fill="FFFFFF"/>
            <w:vAlign w:val="center"/>
          </w:tcPr>
          <w:p w14:paraId="401752A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C1 vs C2, P</w:t>
            </w:r>
          </w:p>
        </w:tc>
        <w:tc>
          <w:tcPr>
            <w:tcW w:w="3186" w:type="dxa"/>
            <w:tcBorders>
              <w:top w:val="single" w:color="000000" w:sz="12" w:space="0"/>
              <w:left w:val="nil"/>
              <w:bottom w:val="single" w:color="000000" w:sz="4" w:space="0"/>
              <w:right w:val="nil"/>
            </w:tcBorders>
            <w:shd w:val="clear" w:color="auto" w:fill="FFFFFF"/>
            <w:vAlign w:val="center"/>
          </w:tcPr>
          <w:p w14:paraId="36B6232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C1 vs C3, P</w:t>
            </w:r>
          </w:p>
        </w:tc>
        <w:tc>
          <w:tcPr>
            <w:tcW w:w="3186" w:type="dxa"/>
            <w:tcBorders>
              <w:top w:val="single" w:color="000000" w:sz="12" w:space="0"/>
              <w:left w:val="nil"/>
              <w:bottom w:val="single" w:color="000000" w:sz="4" w:space="0"/>
              <w:right w:val="nil"/>
            </w:tcBorders>
            <w:shd w:val="clear" w:color="auto" w:fill="FFFFFF"/>
            <w:vAlign w:val="center"/>
          </w:tcPr>
          <w:p w14:paraId="507E09B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C2 vs C3, P</w:t>
            </w:r>
          </w:p>
        </w:tc>
      </w:tr>
      <w:tr w14:paraId="7192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single" w:color="000000" w:sz="4" w:space="0"/>
              <w:left w:val="nil"/>
              <w:bottom w:val="nil"/>
              <w:right w:val="nil"/>
            </w:tcBorders>
            <w:shd w:val="clear" w:color="auto" w:fill="FFFFFF"/>
            <w:vAlign w:val="center"/>
          </w:tcPr>
          <w:p w14:paraId="2F801BD1">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Department (Reference: Internal medicine department)</w:t>
            </w:r>
          </w:p>
        </w:tc>
        <w:tc>
          <w:tcPr>
            <w:tcW w:w="3186" w:type="dxa"/>
            <w:tcBorders>
              <w:top w:val="single" w:color="000000" w:sz="4" w:space="0"/>
              <w:left w:val="nil"/>
              <w:bottom w:val="nil"/>
              <w:right w:val="nil"/>
            </w:tcBorders>
            <w:shd w:val="clear" w:color="auto" w:fill="FFFFFF"/>
            <w:vAlign w:val="center"/>
          </w:tcPr>
          <w:p w14:paraId="5B531D64">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Surgical department</w:t>
            </w:r>
          </w:p>
        </w:tc>
        <w:tc>
          <w:tcPr>
            <w:tcW w:w="3186" w:type="dxa"/>
            <w:tcBorders>
              <w:top w:val="single" w:color="000000" w:sz="4" w:space="0"/>
              <w:left w:val="nil"/>
              <w:bottom w:val="nil"/>
              <w:right w:val="nil"/>
            </w:tcBorders>
            <w:shd w:val="clear" w:color="auto" w:fill="FFFFFF"/>
            <w:vAlign w:val="center"/>
          </w:tcPr>
          <w:p w14:paraId="16368AF8">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0.759</w:t>
            </w:r>
          </w:p>
        </w:tc>
        <w:tc>
          <w:tcPr>
            <w:tcW w:w="3186" w:type="dxa"/>
            <w:tcBorders>
              <w:top w:val="single" w:color="000000" w:sz="4" w:space="0"/>
              <w:left w:val="nil"/>
              <w:bottom w:val="nil"/>
              <w:right w:val="nil"/>
            </w:tcBorders>
            <w:shd w:val="clear" w:color="auto" w:fill="FFFFFF"/>
            <w:vAlign w:val="center"/>
          </w:tcPr>
          <w:p w14:paraId="5E18826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0.880</w:t>
            </w:r>
          </w:p>
        </w:tc>
        <w:tc>
          <w:tcPr>
            <w:tcW w:w="3186" w:type="dxa"/>
            <w:tcBorders>
              <w:top w:val="single" w:color="000000" w:sz="4" w:space="0"/>
              <w:left w:val="nil"/>
              <w:bottom w:val="nil"/>
              <w:right w:val="nil"/>
            </w:tcBorders>
            <w:shd w:val="clear" w:color="auto" w:fill="FFFFFF"/>
            <w:vAlign w:val="center"/>
          </w:tcPr>
          <w:p w14:paraId="36A2C80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0.685</w:t>
            </w:r>
          </w:p>
        </w:tc>
      </w:tr>
      <w:tr w14:paraId="5C87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5BD9073A">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1FEFB4B7">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Obstetrics and gynecology department</w:t>
            </w:r>
          </w:p>
        </w:tc>
        <w:tc>
          <w:tcPr>
            <w:tcW w:w="3186" w:type="dxa"/>
            <w:tcBorders>
              <w:top w:val="nil"/>
              <w:left w:val="nil"/>
              <w:bottom w:val="nil"/>
              <w:right w:val="nil"/>
            </w:tcBorders>
            <w:shd w:val="clear" w:color="auto" w:fill="FFFFFF"/>
            <w:vAlign w:val="center"/>
          </w:tcPr>
          <w:p w14:paraId="48637DA9">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0.402</w:t>
            </w:r>
          </w:p>
        </w:tc>
        <w:tc>
          <w:tcPr>
            <w:tcW w:w="3186" w:type="dxa"/>
            <w:tcBorders>
              <w:top w:val="nil"/>
              <w:left w:val="nil"/>
              <w:bottom w:val="nil"/>
              <w:right w:val="nil"/>
            </w:tcBorders>
            <w:shd w:val="clear" w:color="auto" w:fill="FFFFFF"/>
            <w:vAlign w:val="center"/>
          </w:tcPr>
          <w:p w14:paraId="41D4D7E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0.713</w:t>
            </w:r>
          </w:p>
        </w:tc>
        <w:tc>
          <w:tcPr>
            <w:tcW w:w="3186" w:type="dxa"/>
            <w:tcBorders>
              <w:top w:val="nil"/>
              <w:left w:val="nil"/>
              <w:bottom w:val="nil"/>
              <w:right w:val="nil"/>
            </w:tcBorders>
            <w:shd w:val="clear" w:color="auto" w:fill="FFFFFF"/>
            <w:vAlign w:val="center"/>
          </w:tcPr>
          <w:p w14:paraId="656F0AE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0.402</w:t>
            </w:r>
          </w:p>
        </w:tc>
      </w:tr>
      <w:tr w14:paraId="0743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7BD64FC6">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4CDE4FFE">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Pediatrics department</w:t>
            </w:r>
          </w:p>
        </w:tc>
        <w:tc>
          <w:tcPr>
            <w:tcW w:w="3186" w:type="dxa"/>
            <w:tcBorders>
              <w:top w:val="nil"/>
              <w:left w:val="nil"/>
              <w:bottom w:val="nil"/>
              <w:right w:val="nil"/>
            </w:tcBorders>
            <w:shd w:val="clear" w:color="auto" w:fill="FFFFFF"/>
            <w:vAlign w:val="center"/>
          </w:tcPr>
          <w:p w14:paraId="6AA437C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0.306</w:t>
            </w:r>
          </w:p>
        </w:tc>
        <w:tc>
          <w:tcPr>
            <w:tcW w:w="3186" w:type="dxa"/>
            <w:tcBorders>
              <w:top w:val="nil"/>
              <w:left w:val="nil"/>
              <w:bottom w:val="nil"/>
              <w:right w:val="nil"/>
            </w:tcBorders>
            <w:shd w:val="clear" w:color="auto" w:fill="FFFFFF"/>
            <w:vAlign w:val="center"/>
          </w:tcPr>
          <w:p w14:paraId="2197A39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0.149</w:t>
            </w:r>
          </w:p>
        </w:tc>
        <w:tc>
          <w:tcPr>
            <w:tcW w:w="3186" w:type="dxa"/>
            <w:tcBorders>
              <w:top w:val="nil"/>
              <w:left w:val="nil"/>
              <w:bottom w:val="nil"/>
              <w:right w:val="nil"/>
            </w:tcBorders>
            <w:shd w:val="clear" w:color="auto" w:fill="FFFFFF"/>
            <w:vAlign w:val="center"/>
          </w:tcPr>
          <w:p w14:paraId="61CD48E0">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0.724</w:t>
            </w:r>
          </w:p>
        </w:tc>
      </w:tr>
      <w:tr w14:paraId="2D37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2EA95336">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003F4BC1">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Other departments</w:t>
            </w:r>
          </w:p>
        </w:tc>
        <w:tc>
          <w:tcPr>
            <w:tcW w:w="3186" w:type="dxa"/>
            <w:tcBorders>
              <w:top w:val="nil"/>
              <w:left w:val="nil"/>
              <w:bottom w:val="nil"/>
              <w:right w:val="nil"/>
            </w:tcBorders>
            <w:shd w:val="clear" w:color="auto" w:fill="FFFFFF"/>
            <w:vAlign w:val="center"/>
          </w:tcPr>
          <w:p w14:paraId="4FF59443">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0.465</w:t>
            </w:r>
          </w:p>
        </w:tc>
        <w:tc>
          <w:tcPr>
            <w:tcW w:w="3186" w:type="dxa"/>
            <w:tcBorders>
              <w:top w:val="nil"/>
              <w:left w:val="nil"/>
              <w:bottom w:val="nil"/>
              <w:right w:val="nil"/>
            </w:tcBorders>
            <w:shd w:val="clear" w:color="auto" w:fill="FFFFFF"/>
            <w:vAlign w:val="center"/>
          </w:tcPr>
          <w:p w14:paraId="4AE290A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0.571</w:t>
            </w:r>
          </w:p>
        </w:tc>
        <w:tc>
          <w:tcPr>
            <w:tcW w:w="3186" w:type="dxa"/>
            <w:tcBorders>
              <w:top w:val="nil"/>
              <w:left w:val="nil"/>
              <w:bottom w:val="nil"/>
              <w:right w:val="nil"/>
            </w:tcBorders>
            <w:shd w:val="clear" w:color="auto" w:fill="FFFFFF"/>
            <w:vAlign w:val="center"/>
          </w:tcPr>
          <w:p w14:paraId="2B48BE3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0.705</w:t>
            </w:r>
          </w:p>
        </w:tc>
      </w:tr>
      <w:tr w14:paraId="4B9F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6B5C3278">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Gender (Reference: Male)</w:t>
            </w:r>
          </w:p>
        </w:tc>
        <w:tc>
          <w:tcPr>
            <w:tcW w:w="3186" w:type="dxa"/>
            <w:tcBorders>
              <w:top w:val="nil"/>
              <w:left w:val="nil"/>
              <w:bottom w:val="nil"/>
              <w:right w:val="nil"/>
            </w:tcBorders>
            <w:shd w:val="clear" w:color="auto" w:fill="FFFFFF"/>
            <w:vAlign w:val="center"/>
          </w:tcPr>
          <w:p w14:paraId="0698047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Female</w:t>
            </w:r>
          </w:p>
        </w:tc>
        <w:tc>
          <w:tcPr>
            <w:tcW w:w="3186" w:type="dxa"/>
            <w:tcBorders>
              <w:top w:val="nil"/>
              <w:left w:val="nil"/>
              <w:bottom w:val="nil"/>
              <w:right w:val="nil"/>
            </w:tcBorders>
            <w:shd w:val="clear" w:color="auto" w:fill="FFFFFF"/>
            <w:vAlign w:val="center"/>
          </w:tcPr>
          <w:p w14:paraId="3DD3945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0.003</w:t>
            </w:r>
          </w:p>
        </w:tc>
        <w:tc>
          <w:tcPr>
            <w:tcW w:w="3186" w:type="dxa"/>
            <w:tcBorders>
              <w:top w:val="nil"/>
              <w:left w:val="nil"/>
              <w:bottom w:val="nil"/>
              <w:right w:val="nil"/>
            </w:tcBorders>
            <w:shd w:val="clear" w:color="auto" w:fill="FFFFFF"/>
            <w:vAlign w:val="center"/>
          </w:tcPr>
          <w:p w14:paraId="25A547C6">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0.178</w:t>
            </w:r>
          </w:p>
        </w:tc>
        <w:tc>
          <w:tcPr>
            <w:tcW w:w="3186" w:type="dxa"/>
            <w:tcBorders>
              <w:top w:val="nil"/>
              <w:left w:val="nil"/>
              <w:bottom w:val="nil"/>
              <w:right w:val="nil"/>
            </w:tcBorders>
            <w:shd w:val="clear" w:color="auto" w:fill="FFFFFF"/>
            <w:vAlign w:val="center"/>
          </w:tcPr>
          <w:p w14:paraId="677B6CDF">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r>
      <w:tr w14:paraId="2F74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583C28B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Age (Reference: ≤ 30 years)</w:t>
            </w:r>
          </w:p>
        </w:tc>
        <w:tc>
          <w:tcPr>
            <w:tcW w:w="3186" w:type="dxa"/>
            <w:tcBorders>
              <w:top w:val="nil"/>
              <w:left w:val="nil"/>
              <w:bottom w:val="nil"/>
              <w:right w:val="nil"/>
            </w:tcBorders>
            <w:shd w:val="clear" w:color="auto" w:fill="FFFFFF"/>
            <w:vAlign w:val="center"/>
          </w:tcPr>
          <w:p w14:paraId="53B3EC8F">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31–35 years</w:t>
            </w:r>
          </w:p>
        </w:tc>
        <w:tc>
          <w:tcPr>
            <w:tcW w:w="3186" w:type="dxa"/>
            <w:tcBorders>
              <w:top w:val="nil"/>
              <w:left w:val="nil"/>
              <w:bottom w:val="nil"/>
              <w:right w:val="nil"/>
            </w:tcBorders>
            <w:shd w:val="clear" w:color="auto" w:fill="FFFFFF"/>
            <w:vAlign w:val="center"/>
          </w:tcPr>
          <w:p w14:paraId="6FC9D3E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0.756</w:t>
            </w:r>
          </w:p>
        </w:tc>
        <w:tc>
          <w:tcPr>
            <w:tcW w:w="3186" w:type="dxa"/>
            <w:tcBorders>
              <w:top w:val="nil"/>
              <w:left w:val="nil"/>
              <w:bottom w:val="nil"/>
              <w:right w:val="nil"/>
            </w:tcBorders>
            <w:shd w:val="clear" w:color="auto" w:fill="FFFFFF"/>
            <w:vAlign w:val="center"/>
          </w:tcPr>
          <w:p w14:paraId="15CC3A8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0.283</w:t>
            </w:r>
          </w:p>
        </w:tc>
        <w:tc>
          <w:tcPr>
            <w:tcW w:w="3186" w:type="dxa"/>
            <w:tcBorders>
              <w:top w:val="nil"/>
              <w:left w:val="nil"/>
              <w:bottom w:val="nil"/>
              <w:right w:val="nil"/>
            </w:tcBorders>
            <w:shd w:val="clear" w:color="auto" w:fill="FFFFFF"/>
            <w:vAlign w:val="center"/>
          </w:tcPr>
          <w:p w14:paraId="495C9500">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0.271</w:t>
            </w:r>
          </w:p>
        </w:tc>
      </w:tr>
      <w:tr w14:paraId="1E5B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511C4F6E">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0981B075">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36–40 years</w:t>
            </w:r>
          </w:p>
        </w:tc>
        <w:tc>
          <w:tcPr>
            <w:tcW w:w="3186" w:type="dxa"/>
            <w:tcBorders>
              <w:top w:val="nil"/>
              <w:left w:val="nil"/>
              <w:bottom w:val="nil"/>
              <w:right w:val="nil"/>
            </w:tcBorders>
            <w:shd w:val="clear" w:color="auto" w:fill="FFFFFF"/>
            <w:vAlign w:val="center"/>
          </w:tcPr>
          <w:p w14:paraId="276A5D5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0.964</w:t>
            </w:r>
          </w:p>
        </w:tc>
        <w:tc>
          <w:tcPr>
            <w:tcW w:w="3186" w:type="dxa"/>
            <w:tcBorders>
              <w:top w:val="nil"/>
              <w:left w:val="nil"/>
              <w:bottom w:val="nil"/>
              <w:right w:val="nil"/>
            </w:tcBorders>
            <w:shd w:val="clear" w:color="auto" w:fill="FFFFFF"/>
            <w:vAlign w:val="center"/>
          </w:tcPr>
          <w:p w14:paraId="63D642B6">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0.861</w:t>
            </w:r>
          </w:p>
        </w:tc>
        <w:tc>
          <w:tcPr>
            <w:tcW w:w="3186" w:type="dxa"/>
            <w:tcBorders>
              <w:top w:val="nil"/>
              <w:left w:val="nil"/>
              <w:bottom w:val="nil"/>
              <w:right w:val="nil"/>
            </w:tcBorders>
            <w:shd w:val="clear" w:color="auto" w:fill="FFFFFF"/>
            <w:vAlign w:val="center"/>
          </w:tcPr>
          <w:p w14:paraId="7BA1400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0.726</w:t>
            </w:r>
          </w:p>
        </w:tc>
      </w:tr>
      <w:tr w14:paraId="16E4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00391BCC">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02EEB21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&gt; 40 years</w:t>
            </w:r>
          </w:p>
        </w:tc>
        <w:tc>
          <w:tcPr>
            <w:tcW w:w="3186" w:type="dxa"/>
            <w:tcBorders>
              <w:top w:val="nil"/>
              <w:left w:val="nil"/>
              <w:bottom w:val="nil"/>
              <w:right w:val="nil"/>
            </w:tcBorders>
            <w:shd w:val="clear" w:color="auto" w:fill="FFFFFF"/>
            <w:vAlign w:val="center"/>
          </w:tcPr>
          <w:p w14:paraId="0CC0FB9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0.988</w:t>
            </w:r>
          </w:p>
        </w:tc>
        <w:tc>
          <w:tcPr>
            <w:tcW w:w="3186" w:type="dxa"/>
            <w:tcBorders>
              <w:top w:val="nil"/>
              <w:left w:val="nil"/>
              <w:bottom w:val="nil"/>
              <w:right w:val="nil"/>
            </w:tcBorders>
            <w:shd w:val="clear" w:color="auto" w:fill="FFFFFF"/>
            <w:vAlign w:val="center"/>
          </w:tcPr>
          <w:p w14:paraId="2920922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0.759</w:t>
            </w:r>
          </w:p>
        </w:tc>
        <w:tc>
          <w:tcPr>
            <w:tcW w:w="3186" w:type="dxa"/>
            <w:tcBorders>
              <w:top w:val="nil"/>
              <w:left w:val="nil"/>
              <w:bottom w:val="nil"/>
              <w:right w:val="nil"/>
            </w:tcBorders>
            <w:shd w:val="clear" w:color="auto" w:fill="FFFFFF"/>
            <w:vAlign w:val="center"/>
          </w:tcPr>
          <w:p w14:paraId="28BE008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0.677</w:t>
            </w:r>
          </w:p>
        </w:tc>
      </w:tr>
      <w:tr w14:paraId="65CB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30126EA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Years of nursing experience (Reference: ≤ 5 years)</w:t>
            </w:r>
          </w:p>
        </w:tc>
        <w:tc>
          <w:tcPr>
            <w:tcW w:w="3186" w:type="dxa"/>
            <w:tcBorders>
              <w:top w:val="nil"/>
              <w:left w:val="nil"/>
              <w:bottom w:val="nil"/>
              <w:right w:val="nil"/>
            </w:tcBorders>
            <w:shd w:val="clear" w:color="auto" w:fill="FFFFFF"/>
            <w:vAlign w:val="center"/>
          </w:tcPr>
          <w:p w14:paraId="56C5DD9E">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6–10 years</w:t>
            </w:r>
          </w:p>
        </w:tc>
        <w:tc>
          <w:tcPr>
            <w:tcW w:w="3186" w:type="dxa"/>
            <w:tcBorders>
              <w:top w:val="nil"/>
              <w:left w:val="nil"/>
              <w:bottom w:val="nil"/>
              <w:right w:val="nil"/>
            </w:tcBorders>
            <w:shd w:val="clear" w:color="auto" w:fill="FFFFFF"/>
            <w:vAlign w:val="center"/>
          </w:tcPr>
          <w:p w14:paraId="14454846">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0.572</w:t>
            </w:r>
          </w:p>
        </w:tc>
        <w:tc>
          <w:tcPr>
            <w:tcW w:w="3186" w:type="dxa"/>
            <w:tcBorders>
              <w:top w:val="nil"/>
              <w:left w:val="nil"/>
              <w:bottom w:val="nil"/>
              <w:right w:val="nil"/>
            </w:tcBorders>
            <w:shd w:val="clear" w:color="auto" w:fill="FFFFFF"/>
            <w:vAlign w:val="center"/>
          </w:tcPr>
          <w:p w14:paraId="07F0410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0.270</w:t>
            </w:r>
          </w:p>
        </w:tc>
        <w:tc>
          <w:tcPr>
            <w:tcW w:w="3186" w:type="dxa"/>
            <w:tcBorders>
              <w:top w:val="nil"/>
              <w:left w:val="nil"/>
              <w:bottom w:val="nil"/>
              <w:right w:val="nil"/>
            </w:tcBorders>
            <w:shd w:val="clear" w:color="auto" w:fill="FFFFFF"/>
            <w:vAlign w:val="center"/>
          </w:tcPr>
          <w:p w14:paraId="7F5B626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0.439</w:t>
            </w:r>
          </w:p>
        </w:tc>
      </w:tr>
      <w:tr w14:paraId="4FF5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0CEC37C7">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7D4286A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 10 years</w:t>
            </w:r>
          </w:p>
        </w:tc>
        <w:tc>
          <w:tcPr>
            <w:tcW w:w="3186" w:type="dxa"/>
            <w:tcBorders>
              <w:top w:val="nil"/>
              <w:left w:val="nil"/>
              <w:bottom w:val="nil"/>
              <w:right w:val="nil"/>
            </w:tcBorders>
            <w:shd w:val="clear" w:color="auto" w:fill="FFFFFF"/>
            <w:vAlign w:val="center"/>
          </w:tcPr>
          <w:p w14:paraId="1A255AB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0.895</w:t>
            </w:r>
          </w:p>
        </w:tc>
        <w:tc>
          <w:tcPr>
            <w:tcW w:w="3186" w:type="dxa"/>
            <w:tcBorders>
              <w:top w:val="nil"/>
              <w:left w:val="nil"/>
              <w:bottom w:val="nil"/>
              <w:right w:val="nil"/>
            </w:tcBorders>
            <w:shd w:val="clear" w:color="auto" w:fill="FFFFFF"/>
            <w:vAlign w:val="center"/>
          </w:tcPr>
          <w:p w14:paraId="5F37C346">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0.346</w:t>
            </w:r>
          </w:p>
        </w:tc>
        <w:tc>
          <w:tcPr>
            <w:tcW w:w="3186" w:type="dxa"/>
            <w:tcBorders>
              <w:top w:val="nil"/>
              <w:left w:val="nil"/>
              <w:bottom w:val="nil"/>
              <w:right w:val="nil"/>
            </w:tcBorders>
            <w:shd w:val="clear" w:color="auto" w:fill="FFFFFF"/>
            <w:vAlign w:val="center"/>
          </w:tcPr>
          <w:p w14:paraId="05F5186F">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0.061</w:t>
            </w:r>
          </w:p>
        </w:tc>
      </w:tr>
      <w:tr w14:paraId="419F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47581FD0">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Education level (Reference: Associate degree or below)</w:t>
            </w:r>
          </w:p>
        </w:tc>
        <w:tc>
          <w:tcPr>
            <w:tcW w:w="3186" w:type="dxa"/>
            <w:tcBorders>
              <w:top w:val="nil"/>
              <w:left w:val="nil"/>
              <w:bottom w:val="nil"/>
              <w:right w:val="nil"/>
            </w:tcBorders>
            <w:shd w:val="clear" w:color="auto" w:fill="FFFFFF"/>
            <w:vAlign w:val="center"/>
          </w:tcPr>
          <w:p w14:paraId="790D5A6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Bachelor's degree</w:t>
            </w:r>
          </w:p>
        </w:tc>
        <w:tc>
          <w:tcPr>
            <w:tcW w:w="3186" w:type="dxa"/>
            <w:tcBorders>
              <w:top w:val="nil"/>
              <w:left w:val="nil"/>
              <w:bottom w:val="nil"/>
              <w:right w:val="nil"/>
            </w:tcBorders>
            <w:shd w:val="clear" w:color="auto" w:fill="FFFFFF"/>
            <w:vAlign w:val="center"/>
          </w:tcPr>
          <w:p w14:paraId="1BEF7A0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nil"/>
              <w:right w:val="nil"/>
            </w:tcBorders>
            <w:shd w:val="clear" w:color="auto" w:fill="FFFFFF"/>
            <w:vAlign w:val="center"/>
          </w:tcPr>
          <w:p w14:paraId="7CE271E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nil"/>
              <w:right w:val="nil"/>
            </w:tcBorders>
            <w:shd w:val="clear" w:color="auto" w:fill="FFFFFF"/>
            <w:vAlign w:val="center"/>
          </w:tcPr>
          <w:p w14:paraId="71BDF92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r>
      <w:tr w14:paraId="3F5D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5144B221">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1591B9C8">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Master's degree or above</w:t>
            </w:r>
          </w:p>
        </w:tc>
        <w:tc>
          <w:tcPr>
            <w:tcW w:w="3186" w:type="dxa"/>
            <w:tcBorders>
              <w:top w:val="nil"/>
              <w:left w:val="nil"/>
              <w:bottom w:val="nil"/>
              <w:right w:val="nil"/>
            </w:tcBorders>
            <w:shd w:val="clear" w:color="auto" w:fill="FFFFFF"/>
            <w:vAlign w:val="center"/>
          </w:tcPr>
          <w:p w14:paraId="1617EC1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nil"/>
              <w:right w:val="nil"/>
            </w:tcBorders>
            <w:shd w:val="clear" w:color="auto" w:fill="FFFFFF"/>
            <w:vAlign w:val="center"/>
          </w:tcPr>
          <w:p w14:paraId="15F3819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0.373</w:t>
            </w:r>
          </w:p>
        </w:tc>
        <w:tc>
          <w:tcPr>
            <w:tcW w:w="3186" w:type="dxa"/>
            <w:tcBorders>
              <w:top w:val="nil"/>
              <w:left w:val="nil"/>
              <w:bottom w:val="nil"/>
              <w:right w:val="nil"/>
            </w:tcBorders>
            <w:shd w:val="clear" w:color="auto" w:fill="FFFFFF"/>
            <w:vAlign w:val="center"/>
          </w:tcPr>
          <w:p w14:paraId="1B978F0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r>
      <w:tr w14:paraId="760D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331DE3C0">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Professional title (Reference: Nurse)</w:t>
            </w:r>
          </w:p>
        </w:tc>
        <w:tc>
          <w:tcPr>
            <w:tcW w:w="3186" w:type="dxa"/>
            <w:tcBorders>
              <w:top w:val="nil"/>
              <w:left w:val="nil"/>
              <w:bottom w:val="nil"/>
              <w:right w:val="nil"/>
            </w:tcBorders>
            <w:shd w:val="clear" w:color="auto" w:fill="FFFFFF"/>
            <w:vAlign w:val="center"/>
          </w:tcPr>
          <w:p w14:paraId="69D6C02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Senior nurse</w:t>
            </w:r>
          </w:p>
        </w:tc>
        <w:tc>
          <w:tcPr>
            <w:tcW w:w="3186" w:type="dxa"/>
            <w:tcBorders>
              <w:top w:val="nil"/>
              <w:left w:val="nil"/>
              <w:bottom w:val="nil"/>
              <w:right w:val="nil"/>
            </w:tcBorders>
            <w:shd w:val="clear" w:color="auto" w:fill="FFFFFF"/>
            <w:vAlign w:val="center"/>
          </w:tcPr>
          <w:p w14:paraId="20939EE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0.490</w:t>
            </w:r>
          </w:p>
        </w:tc>
        <w:tc>
          <w:tcPr>
            <w:tcW w:w="3186" w:type="dxa"/>
            <w:tcBorders>
              <w:top w:val="nil"/>
              <w:left w:val="nil"/>
              <w:bottom w:val="nil"/>
              <w:right w:val="nil"/>
            </w:tcBorders>
            <w:shd w:val="clear" w:color="auto" w:fill="FFFFFF"/>
            <w:vAlign w:val="center"/>
          </w:tcPr>
          <w:p w14:paraId="66E62BB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0.808</w:t>
            </w:r>
          </w:p>
        </w:tc>
        <w:tc>
          <w:tcPr>
            <w:tcW w:w="3186" w:type="dxa"/>
            <w:tcBorders>
              <w:top w:val="nil"/>
              <w:left w:val="nil"/>
              <w:bottom w:val="nil"/>
              <w:right w:val="nil"/>
            </w:tcBorders>
            <w:shd w:val="clear" w:color="auto" w:fill="FFFFFF"/>
            <w:vAlign w:val="center"/>
          </w:tcPr>
          <w:p w14:paraId="69A712CF">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0.395</w:t>
            </w:r>
          </w:p>
        </w:tc>
      </w:tr>
      <w:tr w14:paraId="6F90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10722DF3">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232E8194">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Nurse-in-charge</w:t>
            </w:r>
          </w:p>
        </w:tc>
        <w:tc>
          <w:tcPr>
            <w:tcW w:w="3186" w:type="dxa"/>
            <w:tcBorders>
              <w:top w:val="nil"/>
              <w:left w:val="nil"/>
              <w:bottom w:val="nil"/>
              <w:right w:val="nil"/>
            </w:tcBorders>
            <w:shd w:val="clear" w:color="auto" w:fill="FFFFFF"/>
            <w:vAlign w:val="center"/>
          </w:tcPr>
          <w:p w14:paraId="5D7CFB47">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0.938</w:t>
            </w:r>
          </w:p>
        </w:tc>
        <w:tc>
          <w:tcPr>
            <w:tcW w:w="3186" w:type="dxa"/>
            <w:tcBorders>
              <w:top w:val="nil"/>
              <w:left w:val="nil"/>
              <w:bottom w:val="nil"/>
              <w:right w:val="nil"/>
            </w:tcBorders>
            <w:shd w:val="clear" w:color="auto" w:fill="FFFFFF"/>
            <w:vAlign w:val="center"/>
          </w:tcPr>
          <w:p w14:paraId="2647E827">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0.972</w:t>
            </w:r>
          </w:p>
        </w:tc>
        <w:tc>
          <w:tcPr>
            <w:tcW w:w="3186" w:type="dxa"/>
            <w:tcBorders>
              <w:top w:val="nil"/>
              <w:left w:val="nil"/>
              <w:bottom w:val="nil"/>
              <w:right w:val="nil"/>
            </w:tcBorders>
            <w:shd w:val="clear" w:color="auto" w:fill="FFFFFF"/>
            <w:vAlign w:val="center"/>
          </w:tcPr>
          <w:p w14:paraId="3F8834E5">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0.938</w:t>
            </w:r>
          </w:p>
        </w:tc>
      </w:tr>
      <w:tr w14:paraId="36C9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431F2378">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5FA378BA">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Associate professor of nursing or above</w:t>
            </w:r>
          </w:p>
        </w:tc>
        <w:tc>
          <w:tcPr>
            <w:tcW w:w="3186" w:type="dxa"/>
            <w:tcBorders>
              <w:top w:val="nil"/>
              <w:left w:val="nil"/>
              <w:bottom w:val="nil"/>
              <w:right w:val="nil"/>
            </w:tcBorders>
            <w:shd w:val="clear" w:color="auto" w:fill="FFFFFF"/>
            <w:vAlign w:val="center"/>
          </w:tcPr>
          <w:p w14:paraId="60DAC51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0.668</w:t>
            </w:r>
          </w:p>
        </w:tc>
        <w:tc>
          <w:tcPr>
            <w:tcW w:w="3186" w:type="dxa"/>
            <w:tcBorders>
              <w:top w:val="nil"/>
              <w:left w:val="nil"/>
              <w:bottom w:val="nil"/>
              <w:right w:val="nil"/>
            </w:tcBorders>
            <w:shd w:val="clear" w:color="auto" w:fill="FFFFFF"/>
            <w:vAlign w:val="center"/>
          </w:tcPr>
          <w:p w14:paraId="5C69D9D8">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0.384</w:t>
            </w:r>
          </w:p>
        </w:tc>
        <w:tc>
          <w:tcPr>
            <w:tcW w:w="3186" w:type="dxa"/>
            <w:tcBorders>
              <w:top w:val="nil"/>
              <w:left w:val="nil"/>
              <w:bottom w:val="nil"/>
              <w:right w:val="nil"/>
            </w:tcBorders>
            <w:shd w:val="clear" w:color="auto" w:fill="FFFFFF"/>
            <w:vAlign w:val="center"/>
          </w:tcPr>
          <w:p w14:paraId="739506A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0.616</w:t>
            </w:r>
          </w:p>
        </w:tc>
      </w:tr>
      <w:tr w14:paraId="0354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1F74F3DB">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Marital status (Reference: Unmarried)</w:t>
            </w:r>
          </w:p>
        </w:tc>
        <w:tc>
          <w:tcPr>
            <w:tcW w:w="3186" w:type="dxa"/>
            <w:tcBorders>
              <w:top w:val="nil"/>
              <w:left w:val="nil"/>
              <w:bottom w:val="nil"/>
              <w:right w:val="nil"/>
            </w:tcBorders>
            <w:shd w:val="clear" w:color="auto" w:fill="FFFFFF"/>
            <w:vAlign w:val="center"/>
          </w:tcPr>
          <w:p w14:paraId="3CA49F66">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Married</w:t>
            </w:r>
          </w:p>
        </w:tc>
        <w:tc>
          <w:tcPr>
            <w:tcW w:w="3186" w:type="dxa"/>
            <w:tcBorders>
              <w:top w:val="nil"/>
              <w:left w:val="nil"/>
              <w:bottom w:val="nil"/>
              <w:right w:val="nil"/>
            </w:tcBorders>
            <w:shd w:val="clear" w:color="auto" w:fill="FFFFFF"/>
            <w:vAlign w:val="center"/>
          </w:tcPr>
          <w:p w14:paraId="0CE40FA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0.610</w:t>
            </w:r>
          </w:p>
        </w:tc>
        <w:tc>
          <w:tcPr>
            <w:tcW w:w="3186" w:type="dxa"/>
            <w:tcBorders>
              <w:top w:val="nil"/>
              <w:left w:val="nil"/>
              <w:bottom w:val="nil"/>
              <w:right w:val="nil"/>
            </w:tcBorders>
            <w:shd w:val="clear" w:color="auto" w:fill="FFFFFF"/>
            <w:vAlign w:val="center"/>
          </w:tcPr>
          <w:p w14:paraId="14C3CC4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0.776</w:t>
            </w:r>
          </w:p>
        </w:tc>
        <w:tc>
          <w:tcPr>
            <w:tcW w:w="3186" w:type="dxa"/>
            <w:tcBorders>
              <w:top w:val="nil"/>
              <w:left w:val="nil"/>
              <w:bottom w:val="nil"/>
              <w:right w:val="nil"/>
            </w:tcBorders>
            <w:shd w:val="clear" w:color="auto" w:fill="FFFFFF"/>
            <w:vAlign w:val="center"/>
          </w:tcPr>
          <w:p w14:paraId="2A771847">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0.639</w:t>
            </w:r>
          </w:p>
        </w:tc>
      </w:tr>
      <w:tr w14:paraId="1D48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7D9430D4">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Monthly income (Reference: ≤ 6000 CNY)</w:t>
            </w:r>
          </w:p>
        </w:tc>
        <w:tc>
          <w:tcPr>
            <w:tcW w:w="3186" w:type="dxa"/>
            <w:tcBorders>
              <w:top w:val="nil"/>
              <w:left w:val="nil"/>
              <w:bottom w:val="nil"/>
              <w:right w:val="nil"/>
            </w:tcBorders>
            <w:shd w:val="clear" w:color="auto" w:fill="FFFFFF"/>
            <w:vAlign w:val="center"/>
          </w:tcPr>
          <w:p w14:paraId="7C1621C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6,001–10,000 CNY</w:t>
            </w:r>
          </w:p>
        </w:tc>
        <w:tc>
          <w:tcPr>
            <w:tcW w:w="3186" w:type="dxa"/>
            <w:tcBorders>
              <w:top w:val="nil"/>
              <w:left w:val="nil"/>
              <w:bottom w:val="nil"/>
              <w:right w:val="nil"/>
            </w:tcBorders>
            <w:shd w:val="clear" w:color="auto" w:fill="FFFFFF"/>
            <w:vAlign w:val="center"/>
          </w:tcPr>
          <w:p w14:paraId="16F575E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0.645</w:t>
            </w:r>
          </w:p>
        </w:tc>
        <w:tc>
          <w:tcPr>
            <w:tcW w:w="3186" w:type="dxa"/>
            <w:tcBorders>
              <w:top w:val="nil"/>
              <w:left w:val="nil"/>
              <w:bottom w:val="nil"/>
              <w:right w:val="nil"/>
            </w:tcBorders>
            <w:shd w:val="clear" w:color="auto" w:fill="FFFFFF"/>
            <w:vAlign w:val="center"/>
          </w:tcPr>
          <w:p w14:paraId="3AD47272">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0.255</w:t>
            </w:r>
          </w:p>
        </w:tc>
        <w:tc>
          <w:tcPr>
            <w:tcW w:w="3186" w:type="dxa"/>
            <w:tcBorders>
              <w:top w:val="nil"/>
              <w:left w:val="nil"/>
              <w:bottom w:val="nil"/>
              <w:right w:val="nil"/>
            </w:tcBorders>
            <w:shd w:val="clear" w:color="auto" w:fill="FFFFFF"/>
            <w:vAlign w:val="center"/>
          </w:tcPr>
          <w:p w14:paraId="4FCA05C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0.009</w:t>
            </w:r>
          </w:p>
        </w:tc>
      </w:tr>
      <w:tr w14:paraId="3F79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36E447DD">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36C9F98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 10,000 CNY</w:t>
            </w:r>
          </w:p>
        </w:tc>
        <w:tc>
          <w:tcPr>
            <w:tcW w:w="3186" w:type="dxa"/>
            <w:tcBorders>
              <w:top w:val="nil"/>
              <w:left w:val="nil"/>
              <w:bottom w:val="nil"/>
              <w:right w:val="nil"/>
            </w:tcBorders>
            <w:shd w:val="clear" w:color="auto" w:fill="FFFFFF"/>
            <w:vAlign w:val="center"/>
          </w:tcPr>
          <w:p w14:paraId="513EB56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0.867</w:t>
            </w:r>
          </w:p>
        </w:tc>
        <w:tc>
          <w:tcPr>
            <w:tcW w:w="3186" w:type="dxa"/>
            <w:tcBorders>
              <w:top w:val="nil"/>
              <w:left w:val="nil"/>
              <w:bottom w:val="nil"/>
              <w:right w:val="nil"/>
            </w:tcBorders>
            <w:shd w:val="clear" w:color="auto" w:fill="FFFFFF"/>
            <w:vAlign w:val="center"/>
          </w:tcPr>
          <w:p w14:paraId="5692A697">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0.791</w:t>
            </w:r>
          </w:p>
        </w:tc>
        <w:tc>
          <w:tcPr>
            <w:tcW w:w="3186" w:type="dxa"/>
            <w:tcBorders>
              <w:top w:val="nil"/>
              <w:left w:val="nil"/>
              <w:bottom w:val="nil"/>
              <w:right w:val="nil"/>
            </w:tcBorders>
            <w:shd w:val="clear" w:color="auto" w:fill="FFFFFF"/>
            <w:vAlign w:val="center"/>
          </w:tcPr>
          <w:p w14:paraId="582B8F03">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0.929</w:t>
            </w:r>
          </w:p>
        </w:tc>
      </w:tr>
      <w:tr w14:paraId="2CCD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3CAAFD77">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Salary satisfaction (Reference: Very satisfied)</w:t>
            </w:r>
          </w:p>
        </w:tc>
        <w:tc>
          <w:tcPr>
            <w:tcW w:w="3186" w:type="dxa"/>
            <w:tcBorders>
              <w:top w:val="nil"/>
              <w:left w:val="nil"/>
              <w:bottom w:val="nil"/>
              <w:right w:val="nil"/>
            </w:tcBorders>
            <w:shd w:val="clear" w:color="auto" w:fill="FFFFFF"/>
            <w:vAlign w:val="center"/>
          </w:tcPr>
          <w:p w14:paraId="315C03F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Satisfied</w:t>
            </w:r>
          </w:p>
        </w:tc>
        <w:tc>
          <w:tcPr>
            <w:tcW w:w="3186" w:type="dxa"/>
            <w:tcBorders>
              <w:top w:val="nil"/>
              <w:left w:val="nil"/>
              <w:bottom w:val="nil"/>
              <w:right w:val="nil"/>
            </w:tcBorders>
            <w:shd w:val="clear" w:color="auto" w:fill="FFFFFF"/>
            <w:vAlign w:val="center"/>
          </w:tcPr>
          <w:p w14:paraId="1F9A51A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0.385</w:t>
            </w:r>
          </w:p>
        </w:tc>
        <w:tc>
          <w:tcPr>
            <w:tcW w:w="3186" w:type="dxa"/>
            <w:tcBorders>
              <w:top w:val="nil"/>
              <w:left w:val="nil"/>
              <w:bottom w:val="nil"/>
              <w:right w:val="nil"/>
            </w:tcBorders>
            <w:shd w:val="clear" w:color="auto" w:fill="FFFFFF"/>
            <w:vAlign w:val="center"/>
          </w:tcPr>
          <w:p w14:paraId="5BD8B2E0">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0.005</w:t>
            </w:r>
          </w:p>
        </w:tc>
        <w:tc>
          <w:tcPr>
            <w:tcW w:w="3186" w:type="dxa"/>
            <w:tcBorders>
              <w:top w:val="nil"/>
              <w:left w:val="nil"/>
              <w:bottom w:val="nil"/>
              <w:right w:val="nil"/>
            </w:tcBorders>
            <w:shd w:val="clear" w:color="auto" w:fill="FFFFFF"/>
            <w:vAlign w:val="center"/>
          </w:tcPr>
          <w:p w14:paraId="522C308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0.004</w:t>
            </w:r>
          </w:p>
        </w:tc>
      </w:tr>
      <w:tr w14:paraId="3A2E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4DC823BB">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607F5CF1">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Dissatisfied</w:t>
            </w:r>
          </w:p>
        </w:tc>
        <w:tc>
          <w:tcPr>
            <w:tcW w:w="3186" w:type="dxa"/>
            <w:tcBorders>
              <w:top w:val="nil"/>
              <w:left w:val="nil"/>
              <w:bottom w:val="nil"/>
              <w:right w:val="nil"/>
            </w:tcBorders>
            <w:shd w:val="clear" w:color="auto" w:fill="FFFFFF"/>
            <w:vAlign w:val="center"/>
          </w:tcPr>
          <w:p w14:paraId="1E477C9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0.454</w:t>
            </w:r>
          </w:p>
        </w:tc>
        <w:tc>
          <w:tcPr>
            <w:tcW w:w="3186" w:type="dxa"/>
            <w:tcBorders>
              <w:top w:val="nil"/>
              <w:left w:val="nil"/>
              <w:bottom w:val="nil"/>
              <w:right w:val="nil"/>
            </w:tcBorders>
            <w:shd w:val="clear" w:color="auto" w:fill="FFFFFF"/>
            <w:vAlign w:val="center"/>
          </w:tcPr>
          <w:p w14:paraId="4056DD94">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0.736</w:t>
            </w:r>
          </w:p>
        </w:tc>
        <w:tc>
          <w:tcPr>
            <w:tcW w:w="3186" w:type="dxa"/>
            <w:tcBorders>
              <w:top w:val="nil"/>
              <w:left w:val="nil"/>
              <w:bottom w:val="nil"/>
              <w:right w:val="nil"/>
            </w:tcBorders>
            <w:shd w:val="clear" w:color="auto" w:fill="FFFFFF"/>
            <w:vAlign w:val="center"/>
          </w:tcPr>
          <w:p w14:paraId="7D07BE2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0.369</w:t>
            </w:r>
          </w:p>
        </w:tc>
      </w:tr>
      <w:tr w14:paraId="691D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432F0EA7">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Departmental work satisfaction (Reference: Very satisfied)</w:t>
            </w:r>
          </w:p>
        </w:tc>
        <w:tc>
          <w:tcPr>
            <w:tcW w:w="3186" w:type="dxa"/>
            <w:tcBorders>
              <w:top w:val="nil"/>
              <w:left w:val="nil"/>
              <w:bottom w:val="nil"/>
              <w:right w:val="nil"/>
            </w:tcBorders>
            <w:shd w:val="clear" w:color="auto" w:fill="FFFFFF"/>
            <w:vAlign w:val="center"/>
          </w:tcPr>
          <w:p w14:paraId="4A1EC25A">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Satisfied</w:t>
            </w:r>
          </w:p>
        </w:tc>
        <w:tc>
          <w:tcPr>
            <w:tcW w:w="3186" w:type="dxa"/>
            <w:tcBorders>
              <w:top w:val="nil"/>
              <w:left w:val="nil"/>
              <w:bottom w:val="nil"/>
              <w:right w:val="nil"/>
            </w:tcBorders>
            <w:shd w:val="clear" w:color="auto" w:fill="FFFFFF"/>
            <w:vAlign w:val="center"/>
          </w:tcPr>
          <w:p w14:paraId="56EDD23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0.602</w:t>
            </w:r>
          </w:p>
        </w:tc>
        <w:tc>
          <w:tcPr>
            <w:tcW w:w="3186" w:type="dxa"/>
            <w:tcBorders>
              <w:top w:val="nil"/>
              <w:left w:val="nil"/>
              <w:bottom w:val="nil"/>
              <w:right w:val="nil"/>
            </w:tcBorders>
            <w:shd w:val="clear" w:color="auto" w:fill="FFFFFF"/>
            <w:vAlign w:val="center"/>
          </w:tcPr>
          <w:p w14:paraId="6089122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0.530</w:t>
            </w:r>
          </w:p>
        </w:tc>
        <w:tc>
          <w:tcPr>
            <w:tcW w:w="3186" w:type="dxa"/>
            <w:tcBorders>
              <w:top w:val="nil"/>
              <w:left w:val="nil"/>
              <w:bottom w:val="nil"/>
              <w:right w:val="nil"/>
            </w:tcBorders>
            <w:shd w:val="clear" w:color="auto" w:fill="FFFFFF"/>
            <w:vAlign w:val="center"/>
          </w:tcPr>
          <w:p w14:paraId="7F6171B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0.051</w:t>
            </w:r>
          </w:p>
        </w:tc>
      </w:tr>
      <w:tr w14:paraId="4909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6258BBA3">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165C864E">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Dissatisfied</w:t>
            </w:r>
          </w:p>
        </w:tc>
        <w:tc>
          <w:tcPr>
            <w:tcW w:w="3186" w:type="dxa"/>
            <w:tcBorders>
              <w:top w:val="nil"/>
              <w:left w:val="nil"/>
              <w:bottom w:val="nil"/>
              <w:right w:val="nil"/>
            </w:tcBorders>
            <w:shd w:val="clear" w:color="auto" w:fill="FFFFFF"/>
            <w:vAlign w:val="center"/>
          </w:tcPr>
          <w:p w14:paraId="670070FA">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0.343</w:t>
            </w:r>
          </w:p>
        </w:tc>
        <w:tc>
          <w:tcPr>
            <w:tcW w:w="3186" w:type="dxa"/>
            <w:tcBorders>
              <w:top w:val="nil"/>
              <w:left w:val="nil"/>
              <w:bottom w:val="nil"/>
              <w:right w:val="nil"/>
            </w:tcBorders>
            <w:shd w:val="clear" w:color="auto" w:fill="FFFFFF"/>
            <w:vAlign w:val="center"/>
          </w:tcPr>
          <w:p w14:paraId="6215970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0.218</w:t>
            </w:r>
          </w:p>
        </w:tc>
        <w:tc>
          <w:tcPr>
            <w:tcW w:w="3186" w:type="dxa"/>
            <w:tcBorders>
              <w:top w:val="nil"/>
              <w:left w:val="nil"/>
              <w:bottom w:val="nil"/>
              <w:right w:val="nil"/>
            </w:tcBorders>
            <w:shd w:val="clear" w:color="auto" w:fill="FFFFFF"/>
            <w:vAlign w:val="center"/>
          </w:tcPr>
          <w:p w14:paraId="2D20593B">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0.894</w:t>
            </w:r>
          </w:p>
        </w:tc>
      </w:tr>
      <w:tr w14:paraId="3B3C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33990588">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Family support availability (Reference: Yes)</w:t>
            </w:r>
          </w:p>
        </w:tc>
        <w:tc>
          <w:tcPr>
            <w:tcW w:w="3186" w:type="dxa"/>
            <w:tcBorders>
              <w:top w:val="nil"/>
              <w:left w:val="nil"/>
              <w:bottom w:val="nil"/>
              <w:right w:val="nil"/>
            </w:tcBorders>
            <w:shd w:val="clear" w:color="auto" w:fill="FFFFFF"/>
            <w:vAlign w:val="center"/>
          </w:tcPr>
          <w:p w14:paraId="5958B9F2">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No</w:t>
            </w:r>
          </w:p>
        </w:tc>
        <w:tc>
          <w:tcPr>
            <w:tcW w:w="3186" w:type="dxa"/>
            <w:tcBorders>
              <w:top w:val="nil"/>
              <w:left w:val="nil"/>
              <w:bottom w:val="nil"/>
              <w:right w:val="nil"/>
            </w:tcBorders>
            <w:shd w:val="clear" w:color="auto" w:fill="FFFFFF"/>
            <w:vAlign w:val="center"/>
          </w:tcPr>
          <w:p w14:paraId="223DB669">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0.214</w:t>
            </w:r>
          </w:p>
        </w:tc>
        <w:tc>
          <w:tcPr>
            <w:tcW w:w="3186" w:type="dxa"/>
            <w:tcBorders>
              <w:top w:val="nil"/>
              <w:left w:val="nil"/>
              <w:bottom w:val="nil"/>
              <w:right w:val="nil"/>
            </w:tcBorders>
            <w:shd w:val="clear" w:color="auto" w:fill="FFFFFF"/>
            <w:vAlign w:val="center"/>
          </w:tcPr>
          <w:p w14:paraId="0AF0AE40">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0.893</w:t>
            </w:r>
          </w:p>
        </w:tc>
        <w:tc>
          <w:tcPr>
            <w:tcW w:w="3186" w:type="dxa"/>
            <w:tcBorders>
              <w:top w:val="nil"/>
              <w:left w:val="nil"/>
              <w:bottom w:val="nil"/>
              <w:right w:val="nil"/>
            </w:tcBorders>
            <w:shd w:val="clear" w:color="auto" w:fill="FFFFFF"/>
            <w:vAlign w:val="center"/>
          </w:tcPr>
          <w:p w14:paraId="1EF93057">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0.024</w:t>
            </w:r>
          </w:p>
        </w:tc>
      </w:tr>
      <w:tr w14:paraId="2327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03AAE565">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Practice environment</w:t>
            </w:r>
          </w:p>
        </w:tc>
        <w:tc>
          <w:tcPr>
            <w:tcW w:w="3186" w:type="dxa"/>
            <w:tcBorders>
              <w:top w:val="nil"/>
              <w:left w:val="nil"/>
              <w:bottom w:val="nil"/>
              <w:right w:val="nil"/>
            </w:tcBorders>
            <w:shd w:val="clear" w:color="auto" w:fill="FFFFFF"/>
            <w:vAlign w:val="center"/>
          </w:tcPr>
          <w:p w14:paraId="6D032060">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5CFBDEC8">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nil"/>
              <w:right w:val="nil"/>
            </w:tcBorders>
            <w:shd w:val="clear" w:color="auto" w:fill="FFFFFF"/>
            <w:vAlign w:val="center"/>
          </w:tcPr>
          <w:p w14:paraId="269DDA8C">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nil"/>
              <w:right w:val="nil"/>
            </w:tcBorders>
            <w:shd w:val="clear" w:color="auto" w:fill="FFFFFF"/>
            <w:vAlign w:val="center"/>
          </w:tcPr>
          <w:p w14:paraId="33097661">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0.279</w:t>
            </w:r>
          </w:p>
        </w:tc>
      </w:tr>
      <w:tr w14:paraId="449A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7F7FCA68">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Job resources</w:t>
            </w:r>
          </w:p>
        </w:tc>
        <w:tc>
          <w:tcPr>
            <w:tcW w:w="3186" w:type="dxa"/>
            <w:tcBorders>
              <w:top w:val="nil"/>
              <w:left w:val="nil"/>
              <w:bottom w:val="nil"/>
              <w:right w:val="nil"/>
            </w:tcBorders>
            <w:shd w:val="clear" w:color="auto" w:fill="FFFFFF"/>
            <w:vAlign w:val="center"/>
          </w:tcPr>
          <w:p w14:paraId="5DFA747C">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25F13E76">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0.095</w:t>
            </w:r>
          </w:p>
        </w:tc>
        <w:tc>
          <w:tcPr>
            <w:tcW w:w="3186" w:type="dxa"/>
            <w:tcBorders>
              <w:top w:val="nil"/>
              <w:left w:val="nil"/>
              <w:bottom w:val="nil"/>
              <w:right w:val="nil"/>
            </w:tcBorders>
            <w:shd w:val="clear" w:color="auto" w:fill="FFFFFF"/>
            <w:vAlign w:val="center"/>
          </w:tcPr>
          <w:p w14:paraId="5F8ED4C3">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0.020</w:t>
            </w:r>
          </w:p>
        </w:tc>
        <w:tc>
          <w:tcPr>
            <w:tcW w:w="3186" w:type="dxa"/>
            <w:tcBorders>
              <w:top w:val="nil"/>
              <w:left w:val="nil"/>
              <w:bottom w:val="nil"/>
              <w:right w:val="nil"/>
            </w:tcBorders>
            <w:shd w:val="clear" w:color="auto" w:fill="FFFFFF"/>
            <w:vAlign w:val="center"/>
          </w:tcPr>
          <w:p w14:paraId="1C5AC203">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0.696</w:t>
            </w:r>
          </w:p>
        </w:tc>
      </w:tr>
      <w:tr w14:paraId="6668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nil"/>
              <w:right w:val="nil"/>
            </w:tcBorders>
            <w:shd w:val="clear" w:color="auto" w:fill="FFFFFF"/>
            <w:vAlign w:val="center"/>
          </w:tcPr>
          <w:p w14:paraId="032EDB03">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Job demands</w:t>
            </w:r>
          </w:p>
        </w:tc>
        <w:tc>
          <w:tcPr>
            <w:tcW w:w="3186" w:type="dxa"/>
            <w:tcBorders>
              <w:top w:val="nil"/>
              <w:left w:val="nil"/>
              <w:bottom w:val="nil"/>
              <w:right w:val="nil"/>
            </w:tcBorders>
            <w:shd w:val="clear" w:color="auto" w:fill="FFFFFF"/>
            <w:vAlign w:val="center"/>
          </w:tcPr>
          <w:p w14:paraId="02551B76">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nil"/>
              <w:right w:val="nil"/>
            </w:tcBorders>
            <w:shd w:val="clear" w:color="auto" w:fill="FFFFFF"/>
            <w:vAlign w:val="center"/>
          </w:tcPr>
          <w:p w14:paraId="78B49BA2">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0.753</w:t>
            </w:r>
          </w:p>
        </w:tc>
        <w:tc>
          <w:tcPr>
            <w:tcW w:w="3186" w:type="dxa"/>
            <w:tcBorders>
              <w:top w:val="nil"/>
              <w:left w:val="nil"/>
              <w:bottom w:val="nil"/>
              <w:right w:val="nil"/>
            </w:tcBorders>
            <w:shd w:val="clear" w:color="auto" w:fill="FFFFFF"/>
            <w:vAlign w:val="center"/>
          </w:tcPr>
          <w:p w14:paraId="21B2E985">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0.018</w:t>
            </w:r>
          </w:p>
        </w:tc>
        <w:tc>
          <w:tcPr>
            <w:tcW w:w="3186" w:type="dxa"/>
            <w:tcBorders>
              <w:top w:val="nil"/>
              <w:left w:val="nil"/>
              <w:bottom w:val="nil"/>
              <w:right w:val="nil"/>
            </w:tcBorders>
            <w:shd w:val="clear" w:color="auto" w:fill="FFFFFF"/>
            <w:vAlign w:val="center"/>
          </w:tcPr>
          <w:p w14:paraId="7FCAA20E">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r>
      <w:tr w14:paraId="22F9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6" w:type="dxa"/>
            <w:tcBorders>
              <w:top w:val="nil"/>
              <w:left w:val="nil"/>
              <w:bottom w:val="single" w:color="000000" w:sz="12" w:space="0"/>
              <w:right w:val="nil"/>
            </w:tcBorders>
            <w:shd w:val="clear" w:color="auto" w:fill="FFFFFF"/>
            <w:vAlign w:val="center"/>
          </w:tcPr>
          <w:p w14:paraId="075D4318">
            <w:pPr>
              <w:pageBreakBefore w:val="0"/>
              <w:kinsoku/>
              <w:wordWrap/>
              <w:overflowPunct/>
              <w:topLinePunct w:val="0"/>
              <w:autoSpaceDE/>
              <w:autoSpaceDN/>
              <w:bidi w:val="0"/>
              <w:adjustRightInd/>
              <w:snapToGrid/>
              <w:spacing w:after="0" w:line="240" w:lineRule="auto"/>
              <w:ind w:firstLine="160" w:firstLineChars="100"/>
              <w:jc w:val="left"/>
              <w:rPr>
                <w:b w:val="0"/>
                <w:color w:val="000000"/>
              </w:rPr>
            </w:pPr>
            <w:r>
              <w:rPr>
                <w:rFonts w:ascii="Times New Roman" w:hAnsi="Times New Roman"/>
                <w:b w:val="0"/>
                <w:color w:val="000000"/>
                <w:sz w:val="16"/>
              </w:rPr>
              <w:t>Perceived professional benefits</w:t>
            </w:r>
          </w:p>
        </w:tc>
        <w:tc>
          <w:tcPr>
            <w:tcW w:w="3186" w:type="dxa"/>
            <w:tcBorders>
              <w:top w:val="nil"/>
              <w:left w:val="nil"/>
              <w:bottom w:val="single" w:color="000000" w:sz="12" w:space="0"/>
              <w:right w:val="nil"/>
            </w:tcBorders>
            <w:shd w:val="clear" w:color="auto" w:fill="FFFFFF"/>
            <w:vAlign w:val="center"/>
          </w:tcPr>
          <w:p w14:paraId="5AB09829">
            <w:pPr>
              <w:pageBreakBefore w:val="0"/>
              <w:kinsoku/>
              <w:wordWrap/>
              <w:overflowPunct/>
              <w:topLinePunct w:val="0"/>
              <w:autoSpaceDE/>
              <w:autoSpaceDN/>
              <w:bidi w:val="0"/>
              <w:adjustRightInd/>
              <w:snapToGrid/>
              <w:spacing w:after="0" w:line="240" w:lineRule="auto"/>
              <w:ind w:firstLine="210" w:firstLineChars="100"/>
              <w:jc w:val="left"/>
              <w:rPr>
                <w:b w:val="0"/>
                <w:color w:val="000000"/>
              </w:rPr>
            </w:pPr>
          </w:p>
        </w:tc>
        <w:tc>
          <w:tcPr>
            <w:tcW w:w="3186" w:type="dxa"/>
            <w:tcBorders>
              <w:top w:val="nil"/>
              <w:left w:val="nil"/>
              <w:bottom w:val="single" w:color="000000" w:sz="12" w:space="0"/>
              <w:right w:val="nil"/>
            </w:tcBorders>
            <w:shd w:val="clear" w:color="auto" w:fill="FFFFFF"/>
            <w:vAlign w:val="center"/>
          </w:tcPr>
          <w:p w14:paraId="0ABBD39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0.002</w:t>
            </w:r>
          </w:p>
        </w:tc>
        <w:tc>
          <w:tcPr>
            <w:tcW w:w="3186" w:type="dxa"/>
            <w:tcBorders>
              <w:top w:val="nil"/>
              <w:left w:val="nil"/>
              <w:bottom w:val="single" w:color="000000" w:sz="12" w:space="0"/>
              <w:right w:val="nil"/>
            </w:tcBorders>
            <w:shd w:val="clear" w:color="auto" w:fill="FFFFFF"/>
            <w:vAlign w:val="center"/>
          </w:tcPr>
          <w:p w14:paraId="3AD1FB7D">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&lt;0.001</w:t>
            </w:r>
          </w:p>
        </w:tc>
        <w:tc>
          <w:tcPr>
            <w:tcW w:w="3186" w:type="dxa"/>
            <w:tcBorders>
              <w:top w:val="nil"/>
              <w:left w:val="nil"/>
              <w:bottom w:val="single" w:color="000000" w:sz="12" w:space="0"/>
              <w:right w:val="nil"/>
            </w:tcBorders>
            <w:shd w:val="clear" w:color="auto" w:fill="FFFFFF"/>
            <w:vAlign w:val="center"/>
          </w:tcPr>
          <w:p w14:paraId="10DBD280">
            <w:pPr>
              <w:pageBreakBefore w:val="0"/>
              <w:kinsoku/>
              <w:wordWrap/>
              <w:overflowPunct/>
              <w:topLinePunct w:val="0"/>
              <w:autoSpaceDE/>
              <w:autoSpaceDN/>
              <w:bidi w:val="0"/>
              <w:adjustRightInd/>
              <w:snapToGrid/>
              <w:spacing w:after="0" w:line="240" w:lineRule="auto"/>
              <w:ind w:firstLine="160" w:firstLineChars="100"/>
              <w:jc w:val="center"/>
              <w:rPr>
                <w:b w:val="0"/>
                <w:color w:val="000000"/>
              </w:rPr>
            </w:pPr>
            <w:r>
              <w:rPr>
                <w:rFonts w:ascii="Times New Roman" w:hAnsi="Times New Roman"/>
                <w:b w:val="0"/>
                <w:color w:val="000000"/>
                <w:sz w:val="16"/>
              </w:rPr>
              <w:t>0.327</w:t>
            </w:r>
          </w:p>
        </w:tc>
      </w:tr>
    </w:tbl>
    <w:p w14:paraId="4468B8AA">
      <w:pPr>
        <w:pageBreakBefore w:val="0"/>
        <w:kinsoku/>
        <w:wordWrap/>
        <w:overflowPunct/>
        <w:topLinePunct w:val="0"/>
        <w:autoSpaceDE/>
        <w:autoSpaceDN/>
        <w:bidi w:val="0"/>
        <w:adjustRightInd/>
        <w:snapToGrid/>
        <w:spacing w:before="80"/>
        <w:ind w:firstLine="160" w:firstLineChars="100"/>
        <w:rPr>
          <w:rFonts w:hint="eastAsia" w:eastAsia="宋体"/>
          <w:lang w:eastAsia="zh-CN"/>
        </w:rPr>
      </w:pPr>
      <w:r>
        <w:rPr>
          <w:sz w:val="16"/>
        </w:rPr>
        <w:t>Note. These P values are direct Wald tests obtained by reparameterizing the same Mplus R3STEP multinomial model with alternative reference classes. They test whether the regression coefficients for the two profiles differ</w:t>
      </w:r>
      <w:r>
        <w:rPr>
          <w:rFonts w:hint="eastAsia" w:eastAsia="宋体"/>
          <w:sz w:val="16"/>
          <w:lang w:val="en-US" w:eastAsia="zh-CN"/>
        </w:rPr>
        <w:t>.</w:t>
      </w:r>
    </w:p>
    <w:p w14:paraId="6DB008DF">
      <w:pPr>
        <w:pageBreakBefore w:val="0"/>
        <w:kinsoku/>
        <w:wordWrap/>
        <w:overflowPunct/>
        <w:topLinePunct w:val="0"/>
        <w:autoSpaceDE/>
        <w:autoSpaceDN/>
        <w:bidi w:val="0"/>
        <w:adjustRightInd/>
        <w:snapToGrid/>
        <w:spacing w:line="480" w:lineRule="auto"/>
        <w:rPr>
          <w:rFonts w:hint="default" w:ascii="Times New Roman" w:hAnsi="Times New Roman" w:eastAsia="Times New Roman" w:cs="Times New Roman"/>
          <w:b w:val="0"/>
          <w:bCs/>
          <w:color w:val="auto"/>
          <w:sz w:val="22"/>
          <w:szCs w:val="22"/>
          <w:highlight w:val="none"/>
        </w:rPr>
      </w:pPr>
      <w:bookmarkStart w:id="0" w:name="_GoBack"/>
      <w:r>
        <w:rPr>
          <w:rFonts w:hint="default" w:ascii="Times New Roman" w:hAnsi="Times New Roman" w:eastAsia="Times New Roman" w:cs="Times New Roman"/>
          <w:b w:val="0"/>
          <w:bCs/>
          <w:color w:val="auto"/>
          <w:sz w:val="22"/>
          <w:szCs w:val="22"/>
          <w:highlight w:val="none"/>
        </w:rPr>
        <w:t xml:space="preserve">Supplementary Material </w:t>
      </w:r>
      <w:r>
        <w:rPr>
          <w:rFonts w:hint="eastAsia" w:ascii="Times New Roman" w:hAnsi="Times New Roman" w:eastAsia="宋体" w:cs="Times New Roman"/>
          <w:b w:val="0"/>
          <w:bCs/>
          <w:color w:val="auto"/>
          <w:sz w:val="22"/>
          <w:szCs w:val="22"/>
          <w:highlight w:val="none"/>
          <w:lang w:val="en-US" w:eastAsia="zh-CN"/>
        </w:rPr>
        <w:t>5</w:t>
      </w:r>
      <w:r>
        <w:rPr>
          <w:rFonts w:hint="default" w:ascii="Times New Roman" w:hAnsi="Times New Roman" w:eastAsia="Times New Roman" w:cs="Times New Roman"/>
          <w:b w:val="0"/>
          <w:bCs/>
          <w:color w:val="auto"/>
          <w:sz w:val="22"/>
          <w:szCs w:val="22"/>
          <w:highlight w:val="none"/>
        </w:rPr>
        <w:t>: Supplementary Analyses Addressing Conceptual Overlap Among Predictors</w:t>
      </w:r>
    </w:p>
    <w:bookmarkEnd w:id="0"/>
    <w:p w14:paraId="04585300">
      <w:pPr>
        <w:keepNext w:val="0"/>
        <w:keepLines w:val="0"/>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eastAsia="Times New Roman" w:cs="Times New Roman"/>
          <w:b w:val="0"/>
          <w:bCs/>
          <w:color w:val="auto"/>
          <w:sz w:val="21"/>
          <w:szCs w:val="22"/>
          <w:lang w:val="en-US" w:eastAsia="en-US" w:bidi="ar-SA"/>
        </w:rPr>
      </w:pPr>
      <w:r>
        <w:rPr>
          <w:rFonts w:hint="default" w:ascii="Times New Roman" w:hAnsi="Times New Roman" w:eastAsia="Times New Roman" w:cs="Times New Roman"/>
          <w:b w:val="0"/>
          <w:bCs/>
          <w:color w:val="auto"/>
          <w:sz w:val="21"/>
          <w:szCs w:val="22"/>
          <w:lang w:val="en-US" w:eastAsia="en-US" w:bidi="ar-SA"/>
        </w:rPr>
        <w:t>Pearson correlations were calculated among nursing practice environment, job demands, job resources, and perceived professional benefits. Tolerance and variance inflation factor (VIF) statistics were obtained from a linear-regression collinearity diagnostic model containing the four continuous predictors. To assess robustness to conceptual overlap, a series of conventional multinomial logistic sensitivity models were fitted using assigned four-category profile membership as the dependent variable and C4 as the reference category. All sensitivity models included the same sociodemographic covariates. The models were: Model 0, sociodemographic covariates only; Model 1, Model 0 plus nursing practice environment; Model 2, Model 0 plus job demands and job resources; Model 3, Model 0 plus perceived professional benefits; and Model 4, Model 0 plus all four constructs. These conventional multinomial models are complementary sensitivity analyses and do not replace the primary R3STEP analyses, which account for classification uncertainty.</w:t>
      </w:r>
    </w:p>
    <w:p w14:paraId="2A925A9F">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S10. Empirical overlap and collinearity diagnostics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2"/>
        <w:gridCol w:w="1475"/>
        <w:gridCol w:w="992"/>
        <w:gridCol w:w="1114"/>
        <w:gridCol w:w="1257"/>
        <w:gridCol w:w="1108"/>
        <w:gridCol w:w="864"/>
      </w:tblGrid>
      <w:tr w14:paraId="3E8A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6" w:type="dxa"/>
            <w:tcBorders>
              <w:top w:val="single" w:color="000000" w:sz="12" w:space="0"/>
              <w:left w:val="nil"/>
              <w:bottom w:val="single" w:color="000000" w:sz="4" w:space="0"/>
              <w:right w:val="nil"/>
              <w:tl2br w:val="nil"/>
            </w:tcBorders>
            <w:shd w:val="clear" w:color="auto" w:fill="FFFFFF"/>
            <w:vAlign w:val="center"/>
          </w:tcPr>
          <w:p w14:paraId="117CDAB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Predictor</w:t>
            </w:r>
          </w:p>
        </w:tc>
        <w:tc>
          <w:tcPr>
            <w:tcW w:w="1911" w:type="dxa"/>
            <w:tcBorders>
              <w:top w:val="single" w:color="000000" w:sz="12" w:space="0"/>
              <w:left w:val="nil"/>
              <w:bottom w:val="single" w:color="000000" w:sz="4" w:space="0"/>
              <w:right w:val="nil"/>
            </w:tcBorders>
            <w:shd w:val="clear" w:color="auto" w:fill="FFFFFF"/>
            <w:vAlign w:val="center"/>
          </w:tcPr>
          <w:p w14:paraId="099796F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Practice</w:t>
            </w:r>
            <w:r>
              <w:rPr>
                <w:rFonts w:hint="default" w:ascii="Times New Roman" w:hAnsi="Times New Roman" w:cs="Times New Roman"/>
                <w:b w:val="0"/>
                <w:color w:val="000000"/>
                <w:sz w:val="16"/>
                <w:szCs w:val="22"/>
              </w:rPr>
              <w:br w:type="textWrapping"/>
            </w:r>
            <w:r>
              <w:rPr>
                <w:rFonts w:hint="default" w:ascii="Times New Roman" w:hAnsi="Times New Roman" w:cs="Times New Roman"/>
                <w:b w:val="0"/>
                <w:color w:val="000000"/>
                <w:sz w:val="16"/>
                <w:szCs w:val="22"/>
              </w:rPr>
              <w:t>environment</w:t>
            </w:r>
          </w:p>
        </w:tc>
        <w:tc>
          <w:tcPr>
            <w:tcW w:w="1191" w:type="dxa"/>
            <w:tcBorders>
              <w:top w:val="single" w:color="000000" w:sz="12" w:space="0"/>
              <w:left w:val="nil"/>
              <w:bottom w:val="single" w:color="000000" w:sz="4" w:space="0"/>
              <w:right w:val="nil"/>
            </w:tcBorders>
            <w:shd w:val="clear" w:color="auto" w:fill="FFFFFF"/>
            <w:vAlign w:val="center"/>
          </w:tcPr>
          <w:p w14:paraId="37B270B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Job</w:t>
            </w:r>
            <w:r>
              <w:rPr>
                <w:rFonts w:hint="default" w:ascii="Times New Roman" w:hAnsi="Times New Roman" w:cs="Times New Roman"/>
                <w:b w:val="0"/>
                <w:color w:val="000000"/>
                <w:sz w:val="16"/>
                <w:szCs w:val="22"/>
              </w:rPr>
              <w:br w:type="textWrapping"/>
            </w:r>
            <w:r>
              <w:rPr>
                <w:rFonts w:hint="default" w:ascii="Times New Roman" w:hAnsi="Times New Roman" w:cs="Times New Roman"/>
                <w:b w:val="0"/>
                <w:color w:val="000000"/>
                <w:sz w:val="16"/>
                <w:szCs w:val="22"/>
              </w:rPr>
              <w:t>demands</w:t>
            </w:r>
          </w:p>
        </w:tc>
        <w:tc>
          <w:tcPr>
            <w:tcW w:w="1398" w:type="dxa"/>
            <w:tcBorders>
              <w:top w:val="single" w:color="000000" w:sz="12" w:space="0"/>
              <w:left w:val="nil"/>
              <w:bottom w:val="single" w:color="000000" w:sz="4" w:space="0"/>
              <w:right w:val="nil"/>
            </w:tcBorders>
            <w:shd w:val="clear" w:color="auto" w:fill="FFFFFF"/>
            <w:vAlign w:val="center"/>
          </w:tcPr>
          <w:p w14:paraId="260F8F6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Job</w:t>
            </w:r>
            <w:r>
              <w:rPr>
                <w:rFonts w:hint="default" w:ascii="Times New Roman" w:hAnsi="Times New Roman" w:cs="Times New Roman"/>
                <w:b w:val="0"/>
                <w:color w:val="000000"/>
                <w:sz w:val="16"/>
                <w:szCs w:val="22"/>
              </w:rPr>
              <w:br w:type="textWrapping"/>
            </w:r>
            <w:r>
              <w:rPr>
                <w:rFonts w:hint="default" w:ascii="Times New Roman" w:hAnsi="Times New Roman" w:cs="Times New Roman"/>
                <w:b w:val="0"/>
                <w:color w:val="000000"/>
                <w:sz w:val="16"/>
                <w:szCs w:val="22"/>
              </w:rPr>
              <w:t>resources</w:t>
            </w:r>
          </w:p>
        </w:tc>
        <w:tc>
          <w:tcPr>
            <w:tcW w:w="1294" w:type="dxa"/>
            <w:tcBorders>
              <w:top w:val="single" w:color="000000" w:sz="12" w:space="0"/>
              <w:left w:val="nil"/>
              <w:bottom w:val="single" w:color="000000" w:sz="4" w:space="0"/>
              <w:right w:val="nil"/>
            </w:tcBorders>
            <w:shd w:val="clear" w:color="auto" w:fill="FFFFFF"/>
            <w:vAlign w:val="center"/>
          </w:tcPr>
          <w:p w14:paraId="1BB1C33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Professional</w:t>
            </w:r>
            <w:r>
              <w:rPr>
                <w:rFonts w:hint="default" w:ascii="Times New Roman" w:hAnsi="Times New Roman" w:cs="Times New Roman"/>
                <w:b w:val="0"/>
                <w:color w:val="000000"/>
                <w:sz w:val="16"/>
                <w:szCs w:val="22"/>
              </w:rPr>
              <w:br w:type="textWrapping"/>
            </w:r>
            <w:r>
              <w:rPr>
                <w:rFonts w:hint="default" w:ascii="Times New Roman" w:hAnsi="Times New Roman" w:cs="Times New Roman"/>
                <w:b w:val="0"/>
                <w:color w:val="000000"/>
                <w:sz w:val="16"/>
                <w:szCs w:val="22"/>
              </w:rPr>
              <w:t>benefits</w:t>
            </w:r>
          </w:p>
        </w:tc>
        <w:tc>
          <w:tcPr>
            <w:tcW w:w="1148" w:type="dxa"/>
            <w:tcBorders>
              <w:top w:val="single" w:color="000000" w:sz="12" w:space="0"/>
              <w:left w:val="nil"/>
              <w:bottom w:val="single" w:color="000000" w:sz="4" w:space="0"/>
              <w:right w:val="nil"/>
            </w:tcBorders>
            <w:shd w:val="clear" w:color="auto" w:fill="FFFFFF"/>
            <w:vAlign w:val="center"/>
          </w:tcPr>
          <w:p w14:paraId="7C3AC98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Tolerance</w:t>
            </w:r>
          </w:p>
        </w:tc>
        <w:tc>
          <w:tcPr>
            <w:tcW w:w="939" w:type="dxa"/>
            <w:tcBorders>
              <w:top w:val="single" w:color="000000" w:sz="12" w:space="0"/>
              <w:left w:val="nil"/>
              <w:bottom w:val="single" w:color="000000" w:sz="4" w:space="0"/>
              <w:right w:val="nil"/>
            </w:tcBorders>
            <w:shd w:val="clear" w:color="auto" w:fill="FFFFFF"/>
            <w:vAlign w:val="center"/>
          </w:tcPr>
          <w:p w14:paraId="1AAFF83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VIF</w:t>
            </w:r>
          </w:p>
        </w:tc>
      </w:tr>
      <w:tr w14:paraId="154D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6" w:type="dxa"/>
            <w:tcBorders>
              <w:top w:val="single" w:color="000000" w:sz="4" w:space="0"/>
              <w:left w:val="nil"/>
              <w:bottom w:val="nil"/>
              <w:right w:val="nil"/>
            </w:tcBorders>
            <w:shd w:val="clear" w:color="auto" w:fill="FFFFFF"/>
            <w:vAlign w:val="center"/>
          </w:tcPr>
          <w:p w14:paraId="7BBA5EE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Practice environment</w:t>
            </w:r>
          </w:p>
        </w:tc>
        <w:tc>
          <w:tcPr>
            <w:tcW w:w="1911" w:type="dxa"/>
            <w:tcBorders>
              <w:top w:val="single" w:color="000000" w:sz="4" w:space="0"/>
              <w:left w:val="nil"/>
              <w:bottom w:val="nil"/>
              <w:right w:val="nil"/>
            </w:tcBorders>
            <w:shd w:val="clear" w:color="auto" w:fill="FFFFFF"/>
            <w:vAlign w:val="center"/>
          </w:tcPr>
          <w:p w14:paraId="641C5FB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1.000</w:t>
            </w:r>
          </w:p>
        </w:tc>
        <w:tc>
          <w:tcPr>
            <w:tcW w:w="1191" w:type="dxa"/>
            <w:tcBorders>
              <w:top w:val="single" w:color="000000" w:sz="4" w:space="0"/>
              <w:left w:val="nil"/>
              <w:bottom w:val="nil"/>
              <w:right w:val="nil"/>
            </w:tcBorders>
            <w:shd w:val="clear" w:color="auto" w:fill="FFFFFF"/>
            <w:vAlign w:val="center"/>
          </w:tcPr>
          <w:p w14:paraId="0DF8DEF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0.380</w:t>
            </w:r>
          </w:p>
        </w:tc>
        <w:tc>
          <w:tcPr>
            <w:tcW w:w="1398" w:type="dxa"/>
            <w:tcBorders>
              <w:top w:val="single" w:color="000000" w:sz="4" w:space="0"/>
              <w:left w:val="nil"/>
              <w:bottom w:val="nil"/>
              <w:right w:val="nil"/>
            </w:tcBorders>
            <w:shd w:val="clear" w:color="auto" w:fill="FFFFFF"/>
            <w:vAlign w:val="center"/>
          </w:tcPr>
          <w:p w14:paraId="3507CAC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0.307</w:t>
            </w:r>
          </w:p>
        </w:tc>
        <w:tc>
          <w:tcPr>
            <w:tcW w:w="1294" w:type="dxa"/>
            <w:tcBorders>
              <w:top w:val="single" w:color="000000" w:sz="4" w:space="0"/>
              <w:left w:val="nil"/>
              <w:bottom w:val="nil"/>
              <w:right w:val="nil"/>
            </w:tcBorders>
            <w:shd w:val="clear" w:color="auto" w:fill="FFFFFF"/>
            <w:vAlign w:val="center"/>
          </w:tcPr>
          <w:p w14:paraId="4C591F3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0.413</w:t>
            </w:r>
          </w:p>
        </w:tc>
        <w:tc>
          <w:tcPr>
            <w:tcW w:w="1148" w:type="dxa"/>
            <w:tcBorders>
              <w:top w:val="single" w:color="000000" w:sz="4" w:space="0"/>
              <w:left w:val="nil"/>
              <w:bottom w:val="nil"/>
              <w:right w:val="nil"/>
            </w:tcBorders>
            <w:shd w:val="clear" w:color="auto" w:fill="FFFFFF"/>
            <w:vAlign w:val="center"/>
          </w:tcPr>
          <w:p w14:paraId="0E059AB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0.755</w:t>
            </w:r>
          </w:p>
        </w:tc>
        <w:tc>
          <w:tcPr>
            <w:tcW w:w="939" w:type="dxa"/>
            <w:tcBorders>
              <w:top w:val="single" w:color="000000" w:sz="4" w:space="0"/>
              <w:left w:val="nil"/>
              <w:bottom w:val="nil"/>
              <w:right w:val="nil"/>
            </w:tcBorders>
            <w:shd w:val="clear" w:color="auto" w:fill="FFFFFF"/>
            <w:vAlign w:val="center"/>
          </w:tcPr>
          <w:p w14:paraId="4DAE71C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1.325</w:t>
            </w:r>
          </w:p>
        </w:tc>
      </w:tr>
      <w:tr w14:paraId="6A06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6" w:type="dxa"/>
            <w:tcBorders>
              <w:top w:val="nil"/>
              <w:left w:val="nil"/>
              <w:bottom w:val="nil"/>
              <w:right w:val="nil"/>
            </w:tcBorders>
            <w:shd w:val="clear" w:color="auto" w:fill="FFFFFF"/>
            <w:vAlign w:val="center"/>
          </w:tcPr>
          <w:p w14:paraId="3963B60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Job demands</w:t>
            </w:r>
          </w:p>
        </w:tc>
        <w:tc>
          <w:tcPr>
            <w:tcW w:w="1911" w:type="dxa"/>
            <w:tcBorders>
              <w:top w:val="nil"/>
              <w:left w:val="nil"/>
              <w:bottom w:val="nil"/>
              <w:right w:val="nil"/>
            </w:tcBorders>
            <w:shd w:val="clear" w:color="auto" w:fill="FFFFFF"/>
            <w:vAlign w:val="center"/>
          </w:tcPr>
          <w:p w14:paraId="32DE955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0.380</w:t>
            </w:r>
          </w:p>
        </w:tc>
        <w:tc>
          <w:tcPr>
            <w:tcW w:w="1191" w:type="dxa"/>
            <w:tcBorders>
              <w:top w:val="nil"/>
              <w:left w:val="nil"/>
              <w:bottom w:val="nil"/>
              <w:right w:val="nil"/>
            </w:tcBorders>
            <w:shd w:val="clear" w:color="auto" w:fill="FFFFFF"/>
            <w:vAlign w:val="center"/>
          </w:tcPr>
          <w:p w14:paraId="44750AD7">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1.000</w:t>
            </w:r>
          </w:p>
        </w:tc>
        <w:tc>
          <w:tcPr>
            <w:tcW w:w="1398" w:type="dxa"/>
            <w:tcBorders>
              <w:top w:val="nil"/>
              <w:left w:val="nil"/>
              <w:bottom w:val="nil"/>
              <w:right w:val="nil"/>
            </w:tcBorders>
            <w:shd w:val="clear" w:color="auto" w:fill="FFFFFF"/>
            <w:vAlign w:val="center"/>
          </w:tcPr>
          <w:p w14:paraId="14E92DB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0.438</w:t>
            </w:r>
          </w:p>
        </w:tc>
        <w:tc>
          <w:tcPr>
            <w:tcW w:w="1294" w:type="dxa"/>
            <w:tcBorders>
              <w:top w:val="nil"/>
              <w:left w:val="nil"/>
              <w:bottom w:val="nil"/>
              <w:right w:val="nil"/>
            </w:tcBorders>
            <w:shd w:val="clear" w:color="auto" w:fill="FFFFFF"/>
            <w:vAlign w:val="center"/>
          </w:tcPr>
          <w:p w14:paraId="47A9E2C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0.333</w:t>
            </w:r>
          </w:p>
        </w:tc>
        <w:tc>
          <w:tcPr>
            <w:tcW w:w="1148" w:type="dxa"/>
            <w:tcBorders>
              <w:top w:val="nil"/>
              <w:left w:val="nil"/>
              <w:bottom w:val="nil"/>
              <w:right w:val="nil"/>
            </w:tcBorders>
            <w:shd w:val="clear" w:color="auto" w:fill="FFFFFF"/>
            <w:vAlign w:val="center"/>
          </w:tcPr>
          <w:p w14:paraId="368B26D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0.728</w:t>
            </w:r>
          </w:p>
        </w:tc>
        <w:tc>
          <w:tcPr>
            <w:tcW w:w="939" w:type="dxa"/>
            <w:tcBorders>
              <w:top w:val="nil"/>
              <w:left w:val="nil"/>
              <w:bottom w:val="nil"/>
              <w:right w:val="nil"/>
            </w:tcBorders>
            <w:shd w:val="clear" w:color="auto" w:fill="FFFFFF"/>
            <w:vAlign w:val="center"/>
          </w:tcPr>
          <w:p w14:paraId="5556CA6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1.373</w:t>
            </w:r>
          </w:p>
        </w:tc>
      </w:tr>
      <w:tr w14:paraId="2F02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6" w:type="dxa"/>
            <w:tcBorders>
              <w:top w:val="nil"/>
              <w:left w:val="nil"/>
              <w:bottom w:val="nil"/>
              <w:right w:val="nil"/>
            </w:tcBorders>
            <w:shd w:val="clear" w:color="auto" w:fill="FFFFFF"/>
            <w:vAlign w:val="center"/>
          </w:tcPr>
          <w:p w14:paraId="5C69725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Job resources</w:t>
            </w:r>
          </w:p>
        </w:tc>
        <w:tc>
          <w:tcPr>
            <w:tcW w:w="1911" w:type="dxa"/>
            <w:tcBorders>
              <w:top w:val="nil"/>
              <w:left w:val="nil"/>
              <w:bottom w:val="nil"/>
              <w:right w:val="nil"/>
            </w:tcBorders>
            <w:shd w:val="clear" w:color="auto" w:fill="FFFFFF"/>
            <w:vAlign w:val="center"/>
          </w:tcPr>
          <w:p w14:paraId="009FB79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0.307</w:t>
            </w:r>
          </w:p>
        </w:tc>
        <w:tc>
          <w:tcPr>
            <w:tcW w:w="1191" w:type="dxa"/>
            <w:tcBorders>
              <w:top w:val="nil"/>
              <w:left w:val="nil"/>
              <w:bottom w:val="nil"/>
              <w:right w:val="nil"/>
            </w:tcBorders>
            <w:shd w:val="clear" w:color="auto" w:fill="FFFFFF"/>
            <w:vAlign w:val="center"/>
          </w:tcPr>
          <w:p w14:paraId="123E3C9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0.438</w:t>
            </w:r>
          </w:p>
        </w:tc>
        <w:tc>
          <w:tcPr>
            <w:tcW w:w="1398" w:type="dxa"/>
            <w:tcBorders>
              <w:top w:val="nil"/>
              <w:left w:val="nil"/>
              <w:bottom w:val="nil"/>
              <w:right w:val="nil"/>
            </w:tcBorders>
            <w:shd w:val="clear" w:color="auto" w:fill="FFFFFF"/>
            <w:vAlign w:val="center"/>
          </w:tcPr>
          <w:p w14:paraId="05E21FD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1.000</w:t>
            </w:r>
          </w:p>
        </w:tc>
        <w:tc>
          <w:tcPr>
            <w:tcW w:w="1294" w:type="dxa"/>
            <w:tcBorders>
              <w:top w:val="nil"/>
              <w:left w:val="nil"/>
              <w:bottom w:val="nil"/>
              <w:right w:val="nil"/>
            </w:tcBorders>
            <w:shd w:val="clear" w:color="auto" w:fill="FFFFFF"/>
            <w:vAlign w:val="center"/>
          </w:tcPr>
          <w:p w14:paraId="42C13F6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0.332</w:t>
            </w:r>
          </w:p>
        </w:tc>
        <w:tc>
          <w:tcPr>
            <w:tcW w:w="1148" w:type="dxa"/>
            <w:tcBorders>
              <w:top w:val="nil"/>
              <w:left w:val="nil"/>
              <w:bottom w:val="nil"/>
              <w:right w:val="nil"/>
            </w:tcBorders>
            <w:shd w:val="clear" w:color="auto" w:fill="FFFFFF"/>
            <w:vAlign w:val="center"/>
          </w:tcPr>
          <w:p w14:paraId="000C16E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0.761</w:t>
            </w:r>
          </w:p>
        </w:tc>
        <w:tc>
          <w:tcPr>
            <w:tcW w:w="939" w:type="dxa"/>
            <w:tcBorders>
              <w:top w:val="nil"/>
              <w:left w:val="nil"/>
              <w:bottom w:val="nil"/>
              <w:right w:val="nil"/>
            </w:tcBorders>
            <w:shd w:val="clear" w:color="auto" w:fill="FFFFFF"/>
            <w:vAlign w:val="center"/>
          </w:tcPr>
          <w:p w14:paraId="32AD1A7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1.314</w:t>
            </w:r>
          </w:p>
        </w:tc>
      </w:tr>
      <w:tr w14:paraId="128F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6" w:type="dxa"/>
            <w:tcBorders>
              <w:top w:val="nil"/>
              <w:left w:val="nil"/>
              <w:bottom w:val="single" w:color="000000" w:sz="12" w:space="0"/>
              <w:right w:val="nil"/>
            </w:tcBorders>
            <w:shd w:val="clear" w:color="auto" w:fill="FFFFFF"/>
            <w:vAlign w:val="center"/>
          </w:tcPr>
          <w:p w14:paraId="7B788C9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Perceived professional benefits</w:t>
            </w:r>
          </w:p>
        </w:tc>
        <w:tc>
          <w:tcPr>
            <w:tcW w:w="1911" w:type="dxa"/>
            <w:tcBorders>
              <w:top w:val="nil"/>
              <w:left w:val="nil"/>
              <w:bottom w:val="single" w:color="000000" w:sz="12" w:space="0"/>
              <w:right w:val="nil"/>
            </w:tcBorders>
            <w:shd w:val="clear" w:color="auto" w:fill="FFFFFF"/>
            <w:vAlign w:val="center"/>
          </w:tcPr>
          <w:p w14:paraId="5B21A6F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0.413</w:t>
            </w:r>
          </w:p>
        </w:tc>
        <w:tc>
          <w:tcPr>
            <w:tcW w:w="1191" w:type="dxa"/>
            <w:tcBorders>
              <w:top w:val="nil"/>
              <w:left w:val="nil"/>
              <w:bottom w:val="single" w:color="000000" w:sz="12" w:space="0"/>
              <w:right w:val="nil"/>
            </w:tcBorders>
            <w:shd w:val="clear" w:color="auto" w:fill="FFFFFF"/>
            <w:vAlign w:val="center"/>
          </w:tcPr>
          <w:p w14:paraId="0987555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0.333</w:t>
            </w:r>
          </w:p>
        </w:tc>
        <w:tc>
          <w:tcPr>
            <w:tcW w:w="1398" w:type="dxa"/>
            <w:tcBorders>
              <w:top w:val="nil"/>
              <w:left w:val="nil"/>
              <w:bottom w:val="single" w:color="000000" w:sz="12" w:space="0"/>
              <w:right w:val="nil"/>
            </w:tcBorders>
            <w:shd w:val="clear" w:color="auto" w:fill="FFFFFF"/>
            <w:vAlign w:val="center"/>
          </w:tcPr>
          <w:p w14:paraId="035BF26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0.332</w:t>
            </w:r>
          </w:p>
        </w:tc>
        <w:tc>
          <w:tcPr>
            <w:tcW w:w="1294" w:type="dxa"/>
            <w:tcBorders>
              <w:top w:val="nil"/>
              <w:left w:val="nil"/>
              <w:bottom w:val="single" w:color="000000" w:sz="12" w:space="0"/>
              <w:right w:val="nil"/>
            </w:tcBorders>
            <w:shd w:val="clear" w:color="auto" w:fill="FFFFFF"/>
            <w:vAlign w:val="center"/>
          </w:tcPr>
          <w:p w14:paraId="711F24E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1.000</w:t>
            </w:r>
          </w:p>
        </w:tc>
        <w:tc>
          <w:tcPr>
            <w:tcW w:w="1148" w:type="dxa"/>
            <w:tcBorders>
              <w:top w:val="nil"/>
              <w:left w:val="nil"/>
              <w:bottom w:val="single" w:color="000000" w:sz="12" w:space="0"/>
              <w:right w:val="nil"/>
            </w:tcBorders>
            <w:shd w:val="clear" w:color="auto" w:fill="FFFFFF"/>
            <w:vAlign w:val="center"/>
          </w:tcPr>
          <w:p w14:paraId="6B9E817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0.769</w:t>
            </w:r>
          </w:p>
        </w:tc>
        <w:tc>
          <w:tcPr>
            <w:tcW w:w="939" w:type="dxa"/>
            <w:tcBorders>
              <w:top w:val="nil"/>
              <w:left w:val="nil"/>
              <w:bottom w:val="single" w:color="000000" w:sz="12" w:space="0"/>
              <w:right w:val="nil"/>
            </w:tcBorders>
            <w:shd w:val="clear" w:color="auto" w:fill="FFFFFF"/>
            <w:vAlign w:val="center"/>
          </w:tcPr>
          <w:p w14:paraId="19A6EE3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21"/>
                <w:szCs w:val="22"/>
              </w:rPr>
            </w:pPr>
            <w:r>
              <w:rPr>
                <w:rFonts w:hint="default" w:ascii="Times New Roman" w:hAnsi="Times New Roman" w:cs="Times New Roman"/>
                <w:b w:val="0"/>
                <w:color w:val="000000"/>
                <w:sz w:val="16"/>
                <w:szCs w:val="22"/>
              </w:rPr>
              <w:t>1.301</w:t>
            </w:r>
          </w:p>
        </w:tc>
      </w:tr>
    </w:tbl>
    <w:p w14:paraId="5CBE0C83">
      <w:pPr>
        <w:pageBreakBefore w:val="0"/>
        <w:kinsoku/>
        <w:wordWrap/>
        <w:overflowPunct/>
        <w:topLinePunct w:val="0"/>
        <w:autoSpaceDE/>
        <w:autoSpaceDN/>
        <w:bidi w:val="0"/>
        <w:adjustRightInd/>
        <w:snapToGrid/>
        <w:spacing w:line="480" w:lineRule="auto"/>
        <w:ind w:firstLine="210" w:firstLineChars="100"/>
        <w:rPr>
          <w:rFonts w:hint="default" w:ascii="Times New Roman" w:hAnsi="Times New Roman" w:cs="Times New Roman"/>
          <w:sz w:val="21"/>
          <w:szCs w:val="22"/>
        </w:rPr>
      </w:pPr>
      <w:r>
        <w:rPr>
          <w:rFonts w:hint="default" w:ascii="Times New Roman" w:hAnsi="Times New Roman" w:cs="Times New Roman"/>
          <w:sz w:val="21"/>
          <w:szCs w:val="22"/>
        </w:rPr>
        <w:t>Note. N = 564. All six pairwise correlations were positive and statistically significant (two-tailed P &lt; 0.001). The largest pairwise correlation was r = 0.438.</w:t>
      </w:r>
    </w:p>
    <w:p w14:paraId="6AC213EB">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S11. Hierarchical sensitivity models</w:t>
      </w:r>
    </w:p>
    <w:tbl>
      <w:tblPr>
        <w:tblStyle w:val="4"/>
        <w:tblW w:w="10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543"/>
        <w:gridCol w:w="1278"/>
        <w:gridCol w:w="1482"/>
        <w:gridCol w:w="1389"/>
        <w:gridCol w:w="1150"/>
      </w:tblGrid>
      <w:tr w14:paraId="15DF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blHeader/>
          <w:jc w:val="center"/>
        </w:trPr>
        <w:tc>
          <w:tcPr>
            <w:tcW w:w="1704" w:type="dxa"/>
            <w:tcBorders>
              <w:top w:val="single" w:color="000000" w:sz="12" w:space="0"/>
              <w:left w:val="nil"/>
              <w:bottom w:val="single" w:color="000000" w:sz="4" w:space="0"/>
              <w:right w:val="nil"/>
              <w:tl2br w:val="nil"/>
            </w:tcBorders>
            <w:shd w:val="clear" w:color="auto" w:fill="FFFFFF"/>
            <w:vAlign w:val="center"/>
          </w:tcPr>
          <w:p w14:paraId="4764DE2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w:t>
            </w:r>
          </w:p>
        </w:tc>
        <w:tc>
          <w:tcPr>
            <w:tcW w:w="3543" w:type="dxa"/>
            <w:tcBorders>
              <w:top w:val="single" w:color="000000" w:sz="12" w:space="0"/>
              <w:left w:val="nil"/>
              <w:bottom w:val="single" w:color="000000" w:sz="4" w:space="0"/>
              <w:right w:val="nil"/>
            </w:tcBorders>
            <w:shd w:val="clear" w:color="auto" w:fill="FFFFFF"/>
            <w:vAlign w:val="center"/>
          </w:tcPr>
          <w:p w14:paraId="4D7FEFA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Continuous constructs added</w:t>
            </w:r>
          </w:p>
        </w:tc>
        <w:tc>
          <w:tcPr>
            <w:tcW w:w="1278" w:type="dxa"/>
            <w:tcBorders>
              <w:top w:val="single" w:color="000000" w:sz="12" w:space="0"/>
              <w:left w:val="nil"/>
              <w:bottom w:val="single" w:color="000000" w:sz="4" w:space="0"/>
              <w:right w:val="nil"/>
            </w:tcBorders>
            <w:shd w:val="clear" w:color="auto" w:fill="FFFFFF"/>
            <w:vAlign w:val="center"/>
          </w:tcPr>
          <w:p w14:paraId="3172BCE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Final −2LL</w:t>
            </w:r>
          </w:p>
        </w:tc>
        <w:tc>
          <w:tcPr>
            <w:tcW w:w="1482" w:type="dxa"/>
            <w:tcBorders>
              <w:top w:val="single" w:color="000000" w:sz="12" w:space="0"/>
              <w:left w:val="nil"/>
              <w:bottom w:val="single" w:color="000000" w:sz="4" w:space="0"/>
              <w:right w:val="nil"/>
            </w:tcBorders>
            <w:shd w:val="clear" w:color="auto" w:fill="FFFFFF"/>
            <w:vAlign w:val="center"/>
          </w:tcPr>
          <w:p w14:paraId="73467E0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Cox–Snell R²</w:t>
            </w:r>
          </w:p>
        </w:tc>
        <w:tc>
          <w:tcPr>
            <w:tcW w:w="1389" w:type="dxa"/>
            <w:tcBorders>
              <w:top w:val="single" w:color="000000" w:sz="12" w:space="0"/>
              <w:left w:val="nil"/>
              <w:bottom w:val="single" w:color="000000" w:sz="4" w:space="0"/>
              <w:right w:val="nil"/>
            </w:tcBorders>
            <w:shd w:val="clear" w:color="auto" w:fill="FFFFFF"/>
            <w:vAlign w:val="center"/>
          </w:tcPr>
          <w:p w14:paraId="497DBDD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Nagelkerke R²</w:t>
            </w:r>
          </w:p>
        </w:tc>
        <w:tc>
          <w:tcPr>
            <w:tcW w:w="1150" w:type="dxa"/>
            <w:tcBorders>
              <w:top w:val="single" w:color="000000" w:sz="12" w:space="0"/>
              <w:left w:val="nil"/>
              <w:bottom w:val="single" w:color="000000" w:sz="4" w:space="0"/>
              <w:right w:val="nil"/>
            </w:tcBorders>
            <w:shd w:val="clear" w:color="auto" w:fill="FFFFFF"/>
            <w:vAlign w:val="center"/>
          </w:tcPr>
          <w:p w14:paraId="079EEC8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McFadden R²</w:t>
            </w:r>
          </w:p>
        </w:tc>
      </w:tr>
      <w:tr w14:paraId="2FCA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000000" w:sz="4" w:space="0"/>
              <w:left w:val="nil"/>
              <w:bottom w:val="nil"/>
              <w:right w:val="nil"/>
            </w:tcBorders>
            <w:shd w:val="clear" w:color="auto" w:fill="FFFFFF"/>
            <w:vAlign w:val="center"/>
          </w:tcPr>
          <w:p w14:paraId="7194CC3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 0</w:t>
            </w:r>
          </w:p>
        </w:tc>
        <w:tc>
          <w:tcPr>
            <w:tcW w:w="3543" w:type="dxa"/>
            <w:tcBorders>
              <w:top w:val="single" w:color="000000" w:sz="4" w:space="0"/>
              <w:left w:val="nil"/>
              <w:bottom w:val="nil"/>
              <w:right w:val="nil"/>
            </w:tcBorders>
            <w:shd w:val="clear" w:color="auto" w:fill="FFFFFF"/>
            <w:vAlign w:val="center"/>
          </w:tcPr>
          <w:p w14:paraId="324EF89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None (sociodemographic covariates only)</w:t>
            </w:r>
          </w:p>
        </w:tc>
        <w:tc>
          <w:tcPr>
            <w:tcW w:w="1278" w:type="dxa"/>
            <w:tcBorders>
              <w:top w:val="single" w:color="000000" w:sz="4" w:space="0"/>
              <w:left w:val="nil"/>
              <w:bottom w:val="nil"/>
              <w:right w:val="nil"/>
            </w:tcBorders>
            <w:shd w:val="clear" w:color="auto" w:fill="FFFFFF"/>
            <w:vAlign w:val="center"/>
          </w:tcPr>
          <w:p w14:paraId="387373E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979.731</w:t>
            </w:r>
          </w:p>
        </w:tc>
        <w:tc>
          <w:tcPr>
            <w:tcW w:w="1482" w:type="dxa"/>
            <w:tcBorders>
              <w:top w:val="single" w:color="000000" w:sz="4" w:space="0"/>
              <w:left w:val="nil"/>
              <w:bottom w:val="nil"/>
              <w:right w:val="nil"/>
            </w:tcBorders>
            <w:shd w:val="clear" w:color="auto" w:fill="FFFFFF"/>
            <w:vAlign w:val="center"/>
          </w:tcPr>
          <w:p w14:paraId="206987F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0.539</w:t>
            </w:r>
          </w:p>
        </w:tc>
        <w:tc>
          <w:tcPr>
            <w:tcW w:w="1389" w:type="dxa"/>
            <w:tcBorders>
              <w:top w:val="single" w:color="000000" w:sz="4" w:space="0"/>
              <w:left w:val="nil"/>
              <w:bottom w:val="nil"/>
              <w:right w:val="nil"/>
            </w:tcBorders>
            <w:shd w:val="clear" w:color="auto" w:fill="FFFFFF"/>
            <w:vAlign w:val="center"/>
          </w:tcPr>
          <w:p w14:paraId="18BE7F4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0.586</w:t>
            </w:r>
          </w:p>
        </w:tc>
        <w:tc>
          <w:tcPr>
            <w:tcW w:w="1150" w:type="dxa"/>
            <w:tcBorders>
              <w:top w:val="single" w:color="000000" w:sz="4" w:space="0"/>
              <w:left w:val="nil"/>
              <w:bottom w:val="nil"/>
              <w:right w:val="nil"/>
            </w:tcBorders>
            <w:shd w:val="clear" w:color="auto" w:fill="FFFFFF"/>
            <w:vAlign w:val="center"/>
          </w:tcPr>
          <w:p w14:paraId="789A4EF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0.308</w:t>
            </w:r>
          </w:p>
        </w:tc>
      </w:tr>
      <w:tr w14:paraId="4DE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6F393FA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 1</w:t>
            </w:r>
          </w:p>
        </w:tc>
        <w:tc>
          <w:tcPr>
            <w:tcW w:w="3543" w:type="dxa"/>
            <w:tcBorders>
              <w:top w:val="nil"/>
              <w:left w:val="nil"/>
              <w:bottom w:val="nil"/>
              <w:right w:val="nil"/>
            </w:tcBorders>
            <w:shd w:val="clear" w:color="auto" w:fill="FFFFFF"/>
            <w:vAlign w:val="center"/>
          </w:tcPr>
          <w:p w14:paraId="68803D6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Practice environment</w:t>
            </w:r>
          </w:p>
        </w:tc>
        <w:tc>
          <w:tcPr>
            <w:tcW w:w="1278" w:type="dxa"/>
            <w:tcBorders>
              <w:top w:val="nil"/>
              <w:left w:val="nil"/>
              <w:bottom w:val="nil"/>
              <w:right w:val="nil"/>
            </w:tcBorders>
            <w:shd w:val="clear" w:color="auto" w:fill="FFFFFF"/>
            <w:vAlign w:val="center"/>
          </w:tcPr>
          <w:p w14:paraId="136A55A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850.581</w:t>
            </w:r>
          </w:p>
        </w:tc>
        <w:tc>
          <w:tcPr>
            <w:tcW w:w="1482" w:type="dxa"/>
            <w:tcBorders>
              <w:top w:val="nil"/>
              <w:left w:val="nil"/>
              <w:bottom w:val="nil"/>
              <w:right w:val="nil"/>
            </w:tcBorders>
            <w:shd w:val="clear" w:color="auto" w:fill="FFFFFF"/>
            <w:vAlign w:val="center"/>
          </w:tcPr>
          <w:p w14:paraId="388334D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0.633</w:t>
            </w:r>
          </w:p>
        </w:tc>
        <w:tc>
          <w:tcPr>
            <w:tcW w:w="1389" w:type="dxa"/>
            <w:tcBorders>
              <w:top w:val="nil"/>
              <w:left w:val="nil"/>
              <w:bottom w:val="nil"/>
              <w:right w:val="nil"/>
            </w:tcBorders>
            <w:shd w:val="clear" w:color="auto" w:fill="FFFFFF"/>
            <w:vAlign w:val="center"/>
          </w:tcPr>
          <w:p w14:paraId="03B53F5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0.689</w:t>
            </w:r>
          </w:p>
        </w:tc>
        <w:tc>
          <w:tcPr>
            <w:tcW w:w="1150" w:type="dxa"/>
            <w:tcBorders>
              <w:top w:val="nil"/>
              <w:left w:val="nil"/>
              <w:bottom w:val="nil"/>
              <w:right w:val="nil"/>
            </w:tcBorders>
            <w:shd w:val="clear" w:color="auto" w:fill="FFFFFF"/>
            <w:vAlign w:val="center"/>
          </w:tcPr>
          <w:p w14:paraId="28382FA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0.399</w:t>
            </w:r>
          </w:p>
        </w:tc>
      </w:tr>
      <w:tr w14:paraId="7552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34EAA61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 2</w:t>
            </w:r>
          </w:p>
        </w:tc>
        <w:tc>
          <w:tcPr>
            <w:tcW w:w="3543" w:type="dxa"/>
            <w:tcBorders>
              <w:top w:val="nil"/>
              <w:left w:val="nil"/>
              <w:bottom w:val="nil"/>
              <w:right w:val="nil"/>
            </w:tcBorders>
            <w:shd w:val="clear" w:color="auto" w:fill="FFFFFF"/>
            <w:vAlign w:val="center"/>
          </w:tcPr>
          <w:p w14:paraId="05DC5EE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Job demands + job resources</w:t>
            </w:r>
          </w:p>
        </w:tc>
        <w:tc>
          <w:tcPr>
            <w:tcW w:w="1278" w:type="dxa"/>
            <w:tcBorders>
              <w:top w:val="nil"/>
              <w:left w:val="nil"/>
              <w:bottom w:val="nil"/>
              <w:right w:val="nil"/>
            </w:tcBorders>
            <w:shd w:val="clear" w:color="auto" w:fill="FFFFFF"/>
            <w:vAlign w:val="center"/>
          </w:tcPr>
          <w:p w14:paraId="4ABBB6E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837.709</w:t>
            </w:r>
          </w:p>
        </w:tc>
        <w:tc>
          <w:tcPr>
            <w:tcW w:w="1482" w:type="dxa"/>
            <w:tcBorders>
              <w:top w:val="nil"/>
              <w:left w:val="nil"/>
              <w:bottom w:val="nil"/>
              <w:right w:val="nil"/>
            </w:tcBorders>
            <w:shd w:val="clear" w:color="auto" w:fill="FFFFFF"/>
            <w:vAlign w:val="center"/>
          </w:tcPr>
          <w:p w14:paraId="7100610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0.641</w:t>
            </w:r>
          </w:p>
        </w:tc>
        <w:tc>
          <w:tcPr>
            <w:tcW w:w="1389" w:type="dxa"/>
            <w:tcBorders>
              <w:top w:val="nil"/>
              <w:left w:val="nil"/>
              <w:bottom w:val="nil"/>
              <w:right w:val="nil"/>
            </w:tcBorders>
            <w:shd w:val="clear" w:color="auto" w:fill="FFFFFF"/>
            <w:vAlign w:val="center"/>
          </w:tcPr>
          <w:p w14:paraId="2B4B27B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0.698</w:t>
            </w:r>
          </w:p>
        </w:tc>
        <w:tc>
          <w:tcPr>
            <w:tcW w:w="1150" w:type="dxa"/>
            <w:tcBorders>
              <w:top w:val="nil"/>
              <w:left w:val="nil"/>
              <w:bottom w:val="nil"/>
              <w:right w:val="nil"/>
            </w:tcBorders>
            <w:shd w:val="clear" w:color="auto" w:fill="FFFFFF"/>
            <w:vAlign w:val="center"/>
          </w:tcPr>
          <w:p w14:paraId="645EA0D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0.408</w:t>
            </w:r>
          </w:p>
        </w:tc>
      </w:tr>
      <w:tr w14:paraId="21E7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637816D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 3</w:t>
            </w:r>
          </w:p>
        </w:tc>
        <w:tc>
          <w:tcPr>
            <w:tcW w:w="3543" w:type="dxa"/>
            <w:tcBorders>
              <w:top w:val="nil"/>
              <w:left w:val="nil"/>
              <w:bottom w:val="nil"/>
              <w:right w:val="nil"/>
            </w:tcBorders>
            <w:shd w:val="clear" w:color="auto" w:fill="FFFFFF"/>
            <w:vAlign w:val="center"/>
          </w:tcPr>
          <w:p w14:paraId="4B0C601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Perceived professional benefits</w:t>
            </w:r>
          </w:p>
        </w:tc>
        <w:tc>
          <w:tcPr>
            <w:tcW w:w="1278" w:type="dxa"/>
            <w:tcBorders>
              <w:top w:val="nil"/>
              <w:left w:val="nil"/>
              <w:bottom w:val="nil"/>
              <w:right w:val="nil"/>
            </w:tcBorders>
            <w:shd w:val="clear" w:color="auto" w:fill="FFFFFF"/>
            <w:vAlign w:val="center"/>
          </w:tcPr>
          <w:p w14:paraId="22F14AD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843.222</w:t>
            </w:r>
          </w:p>
        </w:tc>
        <w:tc>
          <w:tcPr>
            <w:tcW w:w="1482" w:type="dxa"/>
            <w:tcBorders>
              <w:top w:val="nil"/>
              <w:left w:val="nil"/>
              <w:bottom w:val="nil"/>
              <w:right w:val="nil"/>
            </w:tcBorders>
            <w:shd w:val="clear" w:color="auto" w:fill="FFFFFF"/>
            <w:vAlign w:val="center"/>
          </w:tcPr>
          <w:p w14:paraId="3F6985A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0.638</w:t>
            </w:r>
          </w:p>
        </w:tc>
        <w:tc>
          <w:tcPr>
            <w:tcW w:w="1389" w:type="dxa"/>
            <w:tcBorders>
              <w:top w:val="nil"/>
              <w:left w:val="nil"/>
              <w:bottom w:val="nil"/>
              <w:right w:val="nil"/>
            </w:tcBorders>
            <w:shd w:val="clear" w:color="auto" w:fill="FFFFFF"/>
            <w:vAlign w:val="center"/>
          </w:tcPr>
          <w:p w14:paraId="1F5B938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0.694</w:t>
            </w:r>
          </w:p>
        </w:tc>
        <w:tc>
          <w:tcPr>
            <w:tcW w:w="1150" w:type="dxa"/>
            <w:tcBorders>
              <w:top w:val="nil"/>
              <w:left w:val="nil"/>
              <w:bottom w:val="nil"/>
              <w:right w:val="nil"/>
            </w:tcBorders>
            <w:shd w:val="clear" w:color="auto" w:fill="FFFFFF"/>
            <w:vAlign w:val="center"/>
          </w:tcPr>
          <w:p w14:paraId="3C8A092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0.404</w:t>
            </w:r>
          </w:p>
        </w:tc>
      </w:tr>
      <w:tr w14:paraId="2C8C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single" w:color="000000" w:sz="12" w:space="0"/>
              <w:right w:val="nil"/>
            </w:tcBorders>
            <w:shd w:val="clear" w:color="auto" w:fill="FFFFFF"/>
            <w:vAlign w:val="center"/>
          </w:tcPr>
          <w:p w14:paraId="5D526AF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Model 4</w:t>
            </w:r>
          </w:p>
        </w:tc>
        <w:tc>
          <w:tcPr>
            <w:tcW w:w="3543" w:type="dxa"/>
            <w:tcBorders>
              <w:top w:val="nil"/>
              <w:left w:val="nil"/>
              <w:bottom w:val="single" w:color="000000" w:sz="12" w:space="0"/>
              <w:right w:val="nil"/>
            </w:tcBorders>
            <w:shd w:val="clear" w:color="auto" w:fill="FFFFFF"/>
            <w:vAlign w:val="center"/>
          </w:tcPr>
          <w:p w14:paraId="65134E3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All four constructs</w:t>
            </w:r>
          </w:p>
        </w:tc>
        <w:tc>
          <w:tcPr>
            <w:tcW w:w="1278" w:type="dxa"/>
            <w:tcBorders>
              <w:top w:val="nil"/>
              <w:left w:val="nil"/>
              <w:bottom w:val="single" w:color="000000" w:sz="12" w:space="0"/>
              <w:right w:val="nil"/>
            </w:tcBorders>
            <w:shd w:val="clear" w:color="auto" w:fill="FFFFFF"/>
            <w:vAlign w:val="center"/>
          </w:tcPr>
          <w:p w14:paraId="529BF83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721.069</w:t>
            </w:r>
          </w:p>
        </w:tc>
        <w:tc>
          <w:tcPr>
            <w:tcW w:w="1482" w:type="dxa"/>
            <w:tcBorders>
              <w:top w:val="nil"/>
              <w:left w:val="nil"/>
              <w:bottom w:val="single" w:color="000000" w:sz="12" w:space="0"/>
              <w:right w:val="nil"/>
            </w:tcBorders>
            <w:shd w:val="clear" w:color="auto" w:fill="FFFFFF"/>
            <w:vAlign w:val="center"/>
          </w:tcPr>
          <w:p w14:paraId="094623A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0.708</w:t>
            </w:r>
          </w:p>
        </w:tc>
        <w:tc>
          <w:tcPr>
            <w:tcW w:w="1389" w:type="dxa"/>
            <w:tcBorders>
              <w:top w:val="nil"/>
              <w:left w:val="nil"/>
              <w:bottom w:val="single" w:color="000000" w:sz="12" w:space="0"/>
              <w:right w:val="nil"/>
            </w:tcBorders>
            <w:shd w:val="clear" w:color="auto" w:fill="FFFFFF"/>
            <w:vAlign w:val="center"/>
          </w:tcPr>
          <w:p w14:paraId="2486564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0.771</w:t>
            </w:r>
          </w:p>
        </w:tc>
        <w:tc>
          <w:tcPr>
            <w:tcW w:w="1150" w:type="dxa"/>
            <w:tcBorders>
              <w:top w:val="nil"/>
              <w:left w:val="nil"/>
              <w:bottom w:val="single" w:color="000000" w:sz="12" w:space="0"/>
              <w:right w:val="nil"/>
            </w:tcBorders>
            <w:shd w:val="clear" w:color="auto" w:fill="FFFFFF"/>
            <w:vAlign w:val="center"/>
          </w:tcPr>
          <w:p w14:paraId="55D42F6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0.491</w:t>
            </w:r>
          </w:p>
        </w:tc>
      </w:tr>
    </w:tbl>
    <w:p w14:paraId="2B3329F9">
      <w:pPr>
        <w:pageBreakBefore w:val="0"/>
        <w:kinsoku/>
        <w:wordWrap/>
        <w:overflowPunct/>
        <w:topLinePunct w:val="0"/>
        <w:autoSpaceDE/>
        <w:autoSpaceDN/>
        <w:bidi w:val="0"/>
        <w:adjustRightInd/>
        <w:snapToGrid/>
        <w:spacing w:line="480" w:lineRule="auto"/>
        <w:ind w:firstLine="210" w:firstLineChars="100"/>
        <w:rPr>
          <w:rFonts w:hint="default" w:ascii="Times New Roman" w:hAnsi="Times New Roman" w:cs="Times New Roman"/>
          <w:sz w:val="21"/>
          <w:szCs w:val="22"/>
        </w:rPr>
      </w:pPr>
      <w:r>
        <w:rPr>
          <w:rFonts w:hint="default" w:ascii="Times New Roman" w:hAnsi="Times New Roman" w:cs="Times New Roman"/>
          <w:sz w:val="21"/>
          <w:szCs w:val="22"/>
        </w:rPr>
        <w:t>Note. The intercept-only −2 log likelihood was 1415.989 for each model. Model 4 likelihood-ratio tests for the four continuous constructs were: practice environment χ² = 47.185, P &lt; 0.001; job demands χ² = 15.638, P = 0.001; job resources χ² = 26.143, P &lt; 0.001; perceived professional benefits χ² = 48.170, P &lt; 0.001 (all df = 3).</w:t>
      </w:r>
    </w:p>
    <w:p w14:paraId="44886585">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r>
        <w:rPr>
          <w:rFonts w:hint="default" w:ascii="Times New Roman" w:hAnsi="Times New Roman" w:eastAsia="Times New Roman" w:cs="Times New Roman"/>
          <w:b w:val="0"/>
          <w:bCs/>
          <w:color w:val="auto"/>
          <w:sz w:val="21"/>
          <w:szCs w:val="22"/>
        </w:rPr>
        <w:t>Supplementary Table S12. Stability of construct-specific associations in reduced and fully adjusted models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1398"/>
        <w:gridCol w:w="1462"/>
        <w:gridCol w:w="1405"/>
        <w:gridCol w:w="1462"/>
        <w:gridCol w:w="1360"/>
      </w:tblGrid>
      <w:tr w14:paraId="2633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4" w:type="dxa"/>
            <w:tcBorders>
              <w:top w:val="single" w:color="000000" w:sz="12" w:space="0"/>
              <w:left w:val="nil"/>
              <w:bottom w:val="single" w:color="000000" w:sz="4" w:space="0"/>
              <w:right w:val="nil"/>
              <w:tl2br w:val="nil"/>
            </w:tcBorders>
            <w:shd w:val="clear" w:color="auto" w:fill="FFFFFF"/>
            <w:vAlign w:val="center"/>
          </w:tcPr>
          <w:p w14:paraId="2636A7A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Predictor</w:t>
            </w:r>
          </w:p>
        </w:tc>
        <w:tc>
          <w:tcPr>
            <w:tcW w:w="1704" w:type="dxa"/>
            <w:tcBorders>
              <w:top w:val="single" w:color="000000" w:sz="12" w:space="0"/>
              <w:left w:val="nil"/>
              <w:bottom w:val="single" w:color="000000" w:sz="4" w:space="0"/>
              <w:right w:val="nil"/>
            </w:tcBorders>
            <w:shd w:val="clear" w:color="auto" w:fill="FFFFFF"/>
            <w:vAlign w:val="center"/>
          </w:tcPr>
          <w:p w14:paraId="214C2AA7">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Contrast</w:t>
            </w:r>
          </w:p>
        </w:tc>
        <w:tc>
          <w:tcPr>
            <w:tcW w:w="1704" w:type="dxa"/>
            <w:tcBorders>
              <w:top w:val="single" w:color="000000" w:sz="12" w:space="0"/>
              <w:left w:val="nil"/>
              <w:bottom w:val="single" w:color="000000" w:sz="4" w:space="0"/>
              <w:right w:val="nil"/>
            </w:tcBorders>
            <w:shd w:val="clear" w:color="auto" w:fill="FFFFFF"/>
            <w:vAlign w:val="center"/>
          </w:tcPr>
          <w:p w14:paraId="5BB6E38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Reduced model OR (95% CI)</w:t>
            </w:r>
          </w:p>
        </w:tc>
        <w:tc>
          <w:tcPr>
            <w:tcW w:w="1704" w:type="dxa"/>
            <w:tcBorders>
              <w:top w:val="single" w:color="000000" w:sz="12" w:space="0"/>
              <w:left w:val="nil"/>
              <w:bottom w:val="single" w:color="000000" w:sz="4" w:space="0"/>
              <w:right w:val="nil"/>
            </w:tcBorders>
            <w:shd w:val="clear" w:color="auto" w:fill="FFFFFF"/>
            <w:vAlign w:val="center"/>
          </w:tcPr>
          <w:p w14:paraId="36C4804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Reduced P</w:t>
            </w:r>
          </w:p>
        </w:tc>
        <w:tc>
          <w:tcPr>
            <w:tcW w:w="1704" w:type="dxa"/>
            <w:tcBorders>
              <w:top w:val="single" w:color="000000" w:sz="12" w:space="0"/>
              <w:left w:val="nil"/>
              <w:bottom w:val="single" w:color="000000" w:sz="4" w:space="0"/>
              <w:right w:val="nil"/>
            </w:tcBorders>
            <w:shd w:val="clear" w:color="auto" w:fill="FFFFFF"/>
            <w:vAlign w:val="center"/>
          </w:tcPr>
          <w:p w14:paraId="33E4C0F7">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Full model OR (95% CI)</w:t>
            </w:r>
          </w:p>
        </w:tc>
        <w:tc>
          <w:tcPr>
            <w:tcW w:w="1704" w:type="dxa"/>
            <w:tcBorders>
              <w:top w:val="single" w:color="000000" w:sz="12" w:space="0"/>
              <w:left w:val="nil"/>
              <w:bottom w:val="single" w:color="000000" w:sz="4" w:space="0"/>
              <w:right w:val="nil"/>
            </w:tcBorders>
            <w:shd w:val="clear" w:color="auto" w:fill="FFFFFF"/>
            <w:vAlign w:val="center"/>
          </w:tcPr>
          <w:p w14:paraId="2BD1D30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Full P</w:t>
            </w:r>
          </w:p>
        </w:tc>
      </w:tr>
      <w:tr w14:paraId="4218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000000" w:sz="4" w:space="0"/>
              <w:left w:val="nil"/>
              <w:bottom w:val="nil"/>
              <w:right w:val="nil"/>
            </w:tcBorders>
            <w:shd w:val="clear" w:color="auto" w:fill="FFFFFF"/>
            <w:vAlign w:val="center"/>
          </w:tcPr>
          <w:p w14:paraId="2E62343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Practice environment</w:t>
            </w:r>
          </w:p>
        </w:tc>
        <w:tc>
          <w:tcPr>
            <w:tcW w:w="1704" w:type="dxa"/>
            <w:tcBorders>
              <w:top w:val="single" w:color="000000" w:sz="4" w:space="0"/>
              <w:left w:val="nil"/>
              <w:bottom w:val="nil"/>
              <w:right w:val="nil"/>
            </w:tcBorders>
            <w:shd w:val="clear" w:color="auto" w:fill="FFFFFF"/>
            <w:vAlign w:val="center"/>
          </w:tcPr>
          <w:p w14:paraId="11C53CB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C1 vs C4</w:t>
            </w:r>
          </w:p>
        </w:tc>
        <w:tc>
          <w:tcPr>
            <w:tcW w:w="1704" w:type="dxa"/>
            <w:tcBorders>
              <w:top w:val="single" w:color="000000" w:sz="4" w:space="0"/>
              <w:left w:val="nil"/>
              <w:bottom w:val="nil"/>
              <w:right w:val="nil"/>
            </w:tcBorders>
            <w:shd w:val="clear" w:color="auto" w:fill="FFFFFF"/>
            <w:vAlign w:val="center"/>
          </w:tcPr>
          <w:p w14:paraId="3B24F6C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0.690 (0.635–0.750)</w:t>
            </w:r>
          </w:p>
        </w:tc>
        <w:tc>
          <w:tcPr>
            <w:tcW w:w="1704" w:type="dxa"/>
            <w:tcBorders>
              <w:top w:val="single" w:color="000000" w:sz="4" w:space="0"/>
              <w:left w:val="nil"/>
              <w:bottom w:val="nil"/>
              <w:right w:val="nil"/>
            </w:tcBorders>
            <w:shd w:val="clear" w:color="auto" w:fill="FFFFFF"/>
            <w:vAlign w:val="center"/>
          </w:tcPr>
          <w:p w14:paraId="67A204E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single" w:color="000000" w:sz="4" w:space="0"/>
              <w:left w:val="nil"/>
              <w:bottom w:val="nil"/>
              <w:right w:val="nil"/>
            </w:tcBorders>
            <w:shd w:val="clear" w:color="auto" w:fill="FFFFFF"/>
            <w:vAlign w:val="center"/>
          </w:tcPr>
          <w:p w14:paraId="0FF32E2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0.754 (0.687–0.828)</w:t>
            </w:r>
          </w:p>
        </w:tc>
        <w:tc>
          <w:tcPr>
            <w:tcW w:w="1704" w:type="dxa"/>
            <w:tcBorders>
              <w:top w:val="single" w:color="000000" w:sz="4" w:space="0"/>
              <w:left w:val="nil"/>
              <w:bottom w:val="nil"/>
              <w:right w:val="nil"/>
            </w:tcBorders>
            <w:shd w:val="clear" w:color="auto" w:fill="FFFFFF"/>
            <w:vAlign w:val="center"/>
          </w:tcPr>
          <w:p w14:paraId="36A1896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5BCE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2CC3E6B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610F251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C2 vs C4</w:t>
            </w:r>
          </w:p>
        </w:tc>
        <w:tc>
          <w:tcPr>
            <w:tcW w:w="1704" w:type="dxa"/>
            <w:tcBorders>
              <w:top w:val="nil"/>
              <w:left w:val="nil"/>
              <w:bottom w:val="nil"/>
              <w:right w:val="nil"/>
            </w:tcBorders>
            <w:shd w:val="clear" w:color="auto" w:fill="FFFFFF"/>
            <w:vAlign w:val="center"/>
          </w:tcPr>
          <w:p w14:paraId="1ED784F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0.786 (0.733–0.843)</w:t>
            </w:r>
          </w:p>
        </w:tc>
        <w:tc>
          <w:tcPr>
            <w:tcW w:w="1704" w:type="dxa"/>
            <w:tcBorders>
              <w:top w:val="nil"/>
              <w:left w:val="nil"/>
              <w:bottom w:val="nil"/>
              <w:right w:val="nil"/>
            </w:tcBorders>
            <w:shd w:val="clear" w:color="auto" w:fill="FFFFFF"/>
            <w:vAlign w:val="center"/>
          </w:tcPr>
          <w:p w14:paraId="0966F0C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29B0E99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0.848 (0.785–0.915)</w:t>
            </w:r>
          </w:p>
        </w:tc>
        <w:tc>
          <w:tcPr>
            <w:tcW w:w="1704" w:type="dxa"/>
            <w:tcBorders>
              <w:top w:val="nil"/>
              <w:left w:val="nil"/>
              <w:bottom w:val="nil"/>
              <w:right w:val="nil"/>
            </w:tcBorders>
            <w:shd w:val="clear" w:color="auto" w:fill="FFFFFF"/>
            <w:vAlign w:val="center"/>
          </w:tcPr>
          <w:p w14:paraId="422F9E7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1DCE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5B9FF8E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69CE3A2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C3 vs C4</w:t>
            </w:r>
          </w:p>
        </w:tc>
        <w:tc>
          <w:tcPr>
            <w:tcW w:w="1704" w:type="dxa"/>
            <w:tcBorders>
              <w:top w:val="nil"/>
              <w:left w:val="nil"/>
              <w:bottom w:val="nil"/>
              <w:right w:val="nil"/>
            </w:tcBorders>
            <w:shd w:val="clear" w:color="auto" w:fill="FFFFFF"/>
            <w:vAlign w:val="center"/>
          </w:tcPr>
          <w:p w14:paraId="3883945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0.791 (0.739–0.847)</w:t>
            </w:r>
          </w:p>
        </w:tc>
        <w:tc>
          <w:tcPr>
            <w:tcW w:w="1704" w:type="dxa"/>
            <w:tcBorders>
              <w:top w:val="nil"/>
              <w:left w:val="nil"/>
              <w:bottom w:val="nil"/>
              <w:right w:val="nil"/>
            </w:tcBorders>
            <w:shd w:val="clear" w:color="auto" w:fill="FFFFFF"/>
            <w:vAlign w:val="center"/>
          </w:tcPr>
          <w:p w14:paraId="5FD2EC7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0B1FD7E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0.832 (0.774–0.895)</w:t>
            </w:r>
          </w:p>
        </w:tc>
        <w:tc>
          <w:tcPr>
            <w:tcW w:w="1704" w:type="dxa"/>
            <w:tcBorders>
              <w:top w:val="nil"/>
              <w:left w:val="nil"/>
              <w:bottom w:val="nil"/>
              <w:right w:val="nil"/>
            </w:tcBorders>
            <w:shd w:val="clear" w:color="auto" w:fill="FFFFFF"/>
            <w:vAlign w:val="center"/>
          </w:tcPr>
          <w:p w14:paraId="39E5C52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38AE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3D28258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Job demands</w:t>
            </w:r>
          </w:p>
        </w:tc>
        <w:tc>
          <w:tcPr>
            <w:tcW w:w="1704" w:type="dxa"/>
            <w:tcBorders>
              <w:top w:val="nil"/>
              <w:left w:val="nil"/>
              <w:bottom w:val="nil"/>
              <w:right w:val="nil"/>
            </w:tcBorders>
            <w:shd w:val="clear" w:color="auto" w:fill="FFFFFF"/>
            <w:vAlign w:val="center"/>
          </w:tcPr>
          <w:p w14:paraId="12DC701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C1 vs C4</w:t>
            </w:r>
          </w:p>
        </w:tc>
        <w:tc>
          <w:tcPr>
            <w:tcW w:w="1704" w:type="dxa"/>
            <w:tcBorders>
              <w:top w:val="nil"/>
              <w:left w:val="nil"/>
              <w:bottom w:val="nil"/>
              <w:right w:val="nil"/>
            </w:tcBorders>
            <w:shd w:val="clear" w:color="auto" w:fill="FFFFFF"/>
            <w:vAlign w:val="center"/>
          </w:tcPr>
          <w:p w14:paraId="2A0B793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0.825 (0.778–0.875)</w:t>
            </w:r>
          </w:p>
        </w:tc>
        <w:tc>
          <w:tcPr>
            <w:tcW w:w="1704" w:type="dxa"/>
            <w:tcBorders>
              <w:top w:val="nil"/>
              <w:left w:val="nil"/>
              <w:bottom w:val="nil"/>
              <w:right w:val="nil"/>
            </w:tcBorders>
            <w:shd w:val="clear" w:color="auto" w:fill="FFFFFF"/>
            <w:vAlign w:val="center"/>
          </w:tcPr>
          <w:p w14:paraId="0463441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5BBC4E7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0.882 (0.823–0.945)</w:t>
            </w:r>
          </w:p>
        </w:tc>
        <w:tc>
          <w:tcPr>
            <w:tcW w:w="1704" w:type="dxa"/>
            <w:tcBorders>
              <w:top w:val="nil"/>
              <w:left w:val="nil"/>
              <w:bottom w:val="nil"/>
              <w:right w:val="nil"/>
            </w:tcBorders>
            <w:shd w:val="clear" w:color="auto" w:fill="FFFFFF"/>
            <w:vAlign w:val="center"/>
          </w:tcPr>
          <w:p w14:paraId="322A4C4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1FC9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53F6104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4F1F1E7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C2 vs C4</w:t>
            </w:r>
          </w:p>
        </w:tc>
        <w:tc>
          <w:tcPr>
            <w:tcW w:w="1704" w:type="dxa"/>
            <w:tcBorders>
              <w:top w:val="nil"/>
              <w:left w:val="nil"/>
              <w:bottom w:val="nil"/>
              <w:right w:val="nil"/>
            </w:tcBorders>
            <w:shd w:val="clear" w:color="auto" w:fill="FFFFFF"/>
            <w:vAlign w:val="center"/>
          </w:tcPr>
          <w:p w14:paraId="024CC65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0.885 (0.841–0.932)</w:t>
            </w:r>
          </w:p>
        </w:tc>
        <w:tc>
          <w:tcPr>
            <w:tcW w:w="1704" w:type="dxa"/>
            <w:tcBorders>
              <w:top w:val="nil"/>
              <w:left w:val="nil"/>
              <w:bottom w:val="nil"/>
              <w:right w:val="nil"/>
            </w:tcBorders>
            <w:shd w:val="clear" w:color="auto" w:fill="FFFFFF"/>
            <w:vAlign w:val="center"/>
          </w:tcPr>
          <w:p w14:paraId="50EAB1C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6C92C5D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0.932 (0.878–0.989)</w:t>
            </w:r>
          </w:p>
        </w:tc>
        <w:tc>
          <w:tcPr>
            <w:tcW w:w="1704" w:type="dxa"/>
            <w:tcBorders>
              <w:top w:val="nil"/>
              <w:left w:val="nil"/>
              <w:bottom w:val="nil"/>
              <w:right w:val="nil"/>
            </w:tcBorders>
            <w:shd w:val="clear" w:color="auto" w:fill="FFFFFF"/>
            <w:vAlign w:val="center"/>
          </w:tcPr>
          <w:p w14:paraId="42CA838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0.020</w:t>
            </w:r>
          </w:p>
        </w:tc>
      </w:tr>
      <w:tr w14:paraId="7242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2D165AB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398EF82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C3 vs C4</w:t>
            </w:r>
          </w:p>
        </w:tc>
        <w:tc>
          <w:tcPr>
            <w:tcW w:w="1704" w:type="dxa"/>
            <w:tcBorders>
              <w:top w:val="nil"/>
              <w:left w:val="nil"/>
              <w:bottom w:val="nil"/>
              <w:right w:val="nil"/>
            </w:tcBorders>
            <w:shd w:val="clear" w:color="auto" w:fill="FFFFFF"/>
            <w:vAlign w:val="center"/>
          </w:tcPr>
          <w:p w14:paraId="27CB3F0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0.898 (0.856–0.943)</w:t>
            </w:r>
          </w:p>
        </w:tc>
        <w:tc>
          <w:tcPr>
            <w:tcW w:w="1704" w:type="dxa"/>
            <w:tcBorders>
              <w:top w:val="nil"/>
              <w:left w:val="nil"/>
              <w:bottom w:val="nil"/>
              <w:right w:val="nil"/>
            </w:tcBorders>
            <w:shd w:val="clear" w:color="auto" w:fill="FFFFFF"/>
            <w:vAlign w:val="center"/>
          </w:tcPr>
          <w:p w14:paraId="3739760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029B563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0.943 (0.892–0.997)</w:t>
            </w:r>
          </w:p>
        </w:tc>
        <w:tc>
          <w:tcPr>
            <w:tcW w:w="1704" w:type="dxa"/>
            <w:tcBorders>
              <w:top w:val="nil"/>
              <w:left w:val="nil"/>
              <w:bottom w:val="nil"/>
              <w:right w:val="nil"/>
            </w:tcBorders>
            <w:shd w:val="clear" w:color="auto" w:fill="FFFFFF"/>
            <w:vAlign w:val="center"/>
          </w:tcPr>
          <w:p w14:paraId="614397E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0.040</w:t>
            </w:r>
          </w:p>
        </w:tc>
      </w:tr>
      <w:tr w14:paraId="4E7D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6B0BFE4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Job resources</w:t>
            </w:r>
          </w:p>
        </w:tc>
        <w:tc>
          <w:tcPr>
            <w:tcW w:w="1704" w:type="dxa"/>
            <w:tcBorders>
              <w:top w:val="nil"/>
              <w:left w:val="nil"/>
              <w:bottom w:val="nil"/>
              <w:right w:val="nil"/>
            </w:tcBorders>
            <w:shd w:val="clear" w:color="auto" w:fill="FFFFFF"/>
            <w:vAlign w:val="center"/>
          </w:tcPr>
          <w:p w14:paraId="1B5AF54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C1 vs C4</w:t>
            </w:r>
          </w:p>
        </w:tc>
        <w:tc>
          <w:tcPr>
            <w:tcW w:w="1704" w:type="dxa"/>
            <w:tcBorders>
              <w:top w:val="nil"/>
              <w:left w:val="nil"/>
              <w:bottom w:val="nil"/>
              <w:right w:val="nil"/>
            </w:tcBorders>
            <w:shd w:val="clear" w:color="auto" w:fill="FFFFFF"/>
            <w:vAlign w:val="center"/>
          </w:tcPr>
          <w:p w14:paraId="607334C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0.814 (0.742–0.893)</w:t>
            </w:r>
          </w:p>
        </w:tc>
        <w:tc>
          <w:tcPr>
            <w:tcW w:w="1704" w:type="dxa"/>
            <w:tcBorders>
              <w:top w:val="nil"/>
              <w:left w:val="nil"/>
              <w:bottom w:val="nil"/>
              <w:right w:val="nil"/>
            </w:tcBorders>
            <w:shd w:val="clear" w:color="auto" w:fill="FFFFFF"/>
            <w:vAlign w:val="center"/>
          </w:tcPr>
          <w:p w14:paraId="112E90C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252D87E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0.886 (0.793–0.989)</w:t>
            </w:r>
          </w:p>
        </w:tc>
        <w:tc>
          <w:tcPr>
            <w:tcW w:w="1704" w:type="dxa"/>
            <w:tcBorders>
              <w:top w:val="nil"/>
              <w:left w:val="nil"/>
              <w:bottom w:val="nil"/>
              <w:right w:val="nil"/>
            </w:tcBorders>
            <w:shd w:val="clear" w:color="auto" w:fill="FFFFFF"/>
            <w:vAlign w:val="center"/>
          </w:tcPr>
          <w:p w14:paraId="2A239D5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0.030</w:t>
            </w:r>
          </w:p>
        </w:tc>
      </w:tr>
      <w:tr w14:paraId="7EBF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12387B1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0F911A6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C2 vs C4</w:t>
            </w:r>
          </w:p>
        </w:tc>
        <w:tc>
          <w:tcPr>
            <w:tcW w:w="1704" w:type="dxa"/>
            <w:tcBorders>
              <w:top w:val="nil"/>
              <w:left w:val="nil"/>
              <w:bottom w:val="nil"/>
              <w:right w:val="nil"/>
            </w:tcBorders>
            <w:shd w:val="clear" w:color="auto" w:fill="FFFFFF"/>
            <w:vAlign w:val="center"/>
          </w:tcPr>
          <w:p w14:paraId="72CCCB92">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0.852 (0.789–0.920)</w:t>
            </w:r>
          </w:p>
        </w:tc>
        <w:tc>
          <w:tcPr>
            <w:tcW w:w="1704" w:type="dxa"/>
            <w:tcBorders>
              <w:top w:val="nil"/>
              <w:left w:val="nil"/>
              <w:bottom w:val="nil"/>
              <w:right w:val="nil"/>
            </w:tcBorders>
            <w:shd w:val="clear" w:color="auto" w:fill="FFFFFF"/>
            <w:vAlign w:val="center"/>
          </w:tcPr>
          <w:p w14:paraId="2603411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720B6F3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0.882 (0.811–0.960)</w:t>
            </w:r>
          </w:p>
        </w:tc>
        <w:tc>
          <w:tcPr>
            <w:tcW w:w="1704" w:type="dxa"/>
            <w:tcBorders>
              <w:top w:val="nil"/>
              <w:left w:val="nil"/>
              <w:bottom w:val="nil"/>
              <w:right w:val="nil"/>
            </w:tcBorders>
            <w:shd w:val="clear" w:color="auto" w:fill="FFFFFF"/>
            <w:vAlign w:val="center"/>
          </w:tcPr>
          <w:p w14:paraId="2337E99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0.004</w:t>
            </w:r>
          </w:p>
        </w:tc>
      </w:tr>
      <w:tr w14:paraId="3138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36BC1B36">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2087055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C3 vs C4</w:t>
            </w:r>
          </w:p>
        </w:tc>
        <w:tc>
          <w:tcPr>
            <w:tcW w:w="1704" w:type="dxa"/>
            <w:tcBorders>
              <w:top w:val="nil"/>
              <w:left w:val="nil"/>
              <w:bottom w:val="nil"/>
              <w:right w:val="nil"/>
            </w:tcBorders>
            <w:shd w:val="clear" w:color="auto" w:fill="FFFFFF"/>
            <w:vAlign w:val="center"/>
          </w:tcPr>
          <w:p w14:paraId="1CF4F46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0.956 (0.891–1.026)</w:t>
            </w:r>
          </w:p>
        </w:tc>
        <w:tc>
          <w:tcPr>
            <w:tcW w:w="1704" w:type="dxa"/>
            <w:tcBorders>
              <w:top w:val="nil"/>
              <w:left w:val="nil"/>
              <w:bottom w:val="nil"/>
              <w:right w:val="nil"/>
            </w:tcBorders>
            <w:shd w:val="clear" w:color="auto" w:fill="FFFFFF"/>
            <w:vAlign w:val="center"/>
          </w:tcPr>
          <w:p w14:paraId="667294F4">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0.211</w:t>
            </w:r>
          </w:p>
        </w:tc>
        <w:tc>
          <w:tcPr>
            <w:tcW w:w="1704" w:type="dxa"/>
            <w:tcBorders>
              <w:top w:val="nil"/>
              <w:left w:val="nil"/>
              <w:bottom w:val="nil"/>
              <w:right w:val="nil"/>
            </w:tcBorders>
            <w:shd w:val="clear" w:color="auto" w:fill="FFFFFF"/>
            <w:vAlign w:val="center"/>
          </w:tcPr>
          <w:p w14:paraId="2C6D99F5">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0.991 (0.916–1.071)</w:t>
            </w:r>
          </w:p>
        </w:tc>
        <w:tc>
          <w:tcPr>
            <w:tcW w:w="1704" w:type="dxa"/>
            <w:tcBorders>
              <w:top w:val="nil"/>
              <w:left w:val="nil"/>
              <w:bottom w:val="nil"/>
              <w:right w:val="nil"/>
            </w:tcBorders>
            <w:shd w:val="clear" w:color="auto" w:fill="FFFFFF"/>
            <w:vAlign w:val="center"/>
          </w:tcPr>
          <w:p w14:paraId="266723A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0.813</w:t>
            </w:r>
          </w:p>
        </w:tc>
      </w:tr>
      <w:tr w14:paraId="7298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3D23D73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Perceived professional benefits</w:t>
            </w:r>
          </w:p>
        </w:tc>
        <w:tc>
          <w:tcPr>
            <w:tcW w:w="1704" w:type="dxa"/>
            <w:tcBorders>
              <w:top w:val="nil"/>
              <w:left w:val="nil"/>
              <w:bottom w:val="nil"/>
              <w:right w:val="nil"/>
            </w:tcBorders>
            <w:shd w:val="clear" w:color="auto" w:fill="FFFFFF"/>
            <w:vAlign w:val="center"/>
          </w:tcPr>
          <w:p w14:paraId="02C6CA6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C1 vs C4</w:t>
            </w:r>
          </w:p>
        </w:tc>
        <w:tc>
          <w:tcPr>
            <w:tcW w:w="1704" w:type="dxa"/>
            <w:tcBorders>
              <w:top w:val="nil"/>
              <w:left w:val="nil"/>
              <w:bottom w:val="nil"/>
              <w:right w:val="nil"/>
            </w:tcBorders>
            <w:shd w:val="clear" w:color="auto" w:fill="FFFFFF"/>
            <w:vAlign w:val="center"/>
          </w:tcPr>
          <w:p w14:paraId="4233D41A">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0.809 (0.772–0.848)</w:t>
            </w:r>
          </w:p>
        </w:tc>
        <w:tc>
          <w:tcPr>
            <w:tcW w:w="1704" w:type="dxa"/>
            <w:tcBorders>
              <w:top w:val="nil"/>
              <w:left w:val="nil"/>
              <w:bottom w:val="nil"/>
              <w:right w:val="nil"/>
            </w:tcBorders>
            <w:shd w:val="clear" w:color="auto" w:fill="FFFFFF"/>
            <w:vAlign w:val="center"/>
          </w:tcPr>
          <w:p w14:paraId="1C37859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67A6B8F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0.850 (0.806–0.896)</w:t>
            </w:r>
          </w:p>
        </w:tc>
        <w:tc>
          <w:tcPr>
            <w:tcW w:w="1704" w:type="dxa"/>
            <w:tcBorders>
              <w:top w:val="nil"/>
              <w:left w:val="nil"/>
              <w:bottom w:val="nil"/>
              <w:right w:val="nil"/>
            </w:tcBorders>
            <w:shd w:val="clear" w:color="auto" w:fill="FFFFFF"/>
            <w:vAlign w:val="center"/>
          </w:tcPr>
          <w:p w14:paraId="1FDD3813">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1E9B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nil"/>
              <w:right w:val="nil"/>
            </w:tcBorders>
            <w:shd w:val="clear" w:color="auto" w:fill="FFFFFF"/>
            <w:vAlign w:val="center"/>
          </w:tcPr>
          <w:p w14:paraId="2ECB7F6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nil"/>
              <w:right w:val="nil"/>
            </w:tcBorders>
            <w:shd w:val="clear" w:color="auto" w:fill="FFFFFF"/>
            <w:vAlign w:val="center"/>
          </w:tcPr>
          <w:p w14:paraId="2027B8DF">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C2 vs C4</w:t>
            </w:r>
          </w:p>
        </w:tc>
        <w:tc>
          <w:tcPr>
            <w:tcW w:w="1704" w:type="dxa"/>
            <w:tcBorders>
              <w:top w:val="nil"/>
              <w:left w:val="nil"/>
              <w:bottom w:val="nil"/>
              <w:right w:val="nil"/>
            </w:tcBorders>
            <w:shd w:val="clear" w:color="auto" w:fill="FFFFFF"/>
            <w:vAlign w:val="center"/>
          </w:tcPr>
          <w:p w14:paraId="51C7D15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0.888 (0.859–0.919)</w:t>
            </w:r>
          </w:p>
        </w:tc>
        <w:tc>
          <w:tcPr>
            <w:tcW w:w="1704" w:type="dxa"/>
            <w:tcBorders>
              <w:top w:val="nil"/>
              <w:left w:val="nil"/>
              <w:bottom w:val="nil"/>
              <w:right w:val="nil"/>
            </w:tcBorders>
            <w:shd w:val="clear" w:color="auto" w:fill="FFFFFF"/>
            <w:vAlign w:val="center"/>
          </w:tcPr>
          <w:p w14:paraId="49C033A1">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nil"/>
              <w:right w:val="nil"/>
            </w:tcBorders>
            <w:shd w:val="clear" w:color="auto" w:fill="FFFFFF"/>
            <w:vAlign w:val="center"/>
          </w:tcPr>
          <w:p w14:paraId="73265968">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0.914 (0.878–0.952)</w:t>
            </w:r>
          </w:p>
        </w:tc>
        <w:tc>
          <w:tcPr>
            <w:tcW w:w="1704" w:type="dxa"/>
            <w:tcBorders>
              <w:top w:val="nil"/>
              <w:left w:val="nil"/>
              <w:bottom w:val="nil"/>
              <w:right w:val="nil"/>
            </w:tcBorders>
            <w:shd w:val="clear" w:color="auto" w:fill="FFFFFF"/>
            <w:vAlign w:val="center"/>
          </w:tcPr>
          <w:p w14:paraId="18784DFB">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r w14:paraId="2E2A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nil"/>
              <w:left w:val="nil"/>
              <w:bottom w:val="single" w:color="000000" w:sz="12" w:space="0"/>
              <w:right w:val="nil"/>
            </w:tcBorders>
            <w:shd w:val="clear" w:color="auto" w:fill="FFFFFF"/>
            <w:vAlign w:val="center"/>
          </w:tcPr>
          <w:p w14:paraId="1C7FCAD0">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p>
        </w:tc>
        <w:tc>
          <w:tcPr>
            <w:tcW w:w="1704" w:type="dxa"/>
            <w:tcBorders>
              <w:top w:val="nil"/>
              <w:left w:val="nil"/>
              <w:bottom w:val="single" w:color="000000" w:sz="12" w:space="0"/>
              <w:right w:val="nil"/>
            </w:tcBorders>
            <w:shd w:val="clear" w:color="auto" w:fill="FFFFFF"/>
            <w:vAlign w:val="center"/>
          </w:tcPr>
          <w:p w14:paraId="61F33EAC">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C3 vs C4</w:t>
            </w:r>
          </w:p>
        </w:tc>
        <w:tc>
          <w:tcPr>
            <w:tcW w:w="1704" w:type="dxa"/>
            <w:tcBorders>
              <w:top w:val="nil"/>
              <w:left w:val="nil"/>
              <w:bottom w:val="single" w:color="000000" w:sz="12" w:space="0"/>
              <w:right w:val="nil"/>
            </w:tcBorders>
            <w:shd w:val="clear" w:color="auto" w:fill="FFFFFF"/>
            <w:vAlign w:val="center"/>
          </w:tcPr>
          <w:p w14:paraId="243EEABD">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0.908 (0.879–0.938)</w:t>
            </w:r>
          </w:p>
        </w:tc>
        <w:tc>
          <w:tcPr>
            <w:tcW w:w="1704" w:type="dxa"/>
            <w:tcBorders>
              <w:top w:val="nil"/>
              <w:left w:val="nil"/>
              <w:bottom w:val="single" w:color="000000" w:sz="12" w:space="0"/>
              <w:right w:val="nil"/>
            </w:tcBorders>
            <w:shd w:val="clear" w:color="auto" w:fill="FFFFFF"/>
            <w:vAlign w:val="center"/>
          </w:tcPr>
          <w:p w14:paraId="4CF74877">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c>
          <w:tcPr>
            <w:tcW w:w="1704" w:type="dxa"/>
            <w:tcBorders>
              <w:top w:val="nil"/>
              <w:left w:val="nil"/>
              <w:bottom w:val="single" w:color="000000" w:sz="12" w:space="0"/>
              <w:right w:val="nil"/>
            </w:tcBorders>
            <w:shd w:val="clear" w:color="auto" w:fill="FFFFFF"/>
            <w:vAlign w:val="center"/>
          </w:tcPr>
          <w:p w14:paraId="314F26AE">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0.925 (0.890–0.961)</w:t>
            </w:r>
          </w:p>
        </w:tc>
        <w:tc>
          <w:tcPr>
            <w:tcW w:w="1704" w:type="dxa"/>
            <w:tcBorders>
              <w:top w:val="nil"/>
              <w:left w:val="nil"/>
              <w:bottom w:val="single" w:color="000000" w:sz="12" w:space="0"/>
              <w:right w:val="nil"/>
            </w:tcBorders>
            <w:shd w:val="clear" w:color="auto" w:fill="FFFFFF"/>
            <w:vAlign w:val="center"/>
          </w:tcPr>
          <w:p w14:paraId="0076A789">
            <w:pPr>
              <w:pageBreakBefore w:val="0"/>
              <w:kinsoku/>
              <w:wordWrap/>
              <w:overflowPunct/>
              <w:topLinePunct w:val="0"/>
              <w:autoSpaceDE/>
              <w:autoSpaceDN/>
              <w:bidi w:val="0"/>
              <w:adjustRightInd/>
              <w:snapToGrid/>
              <w:spacing w:after="0" w:line="480" w:lineRule="auto"/>
              <w:ind w:firstLine="160" w:firstLineChars="100"/>
              <w:jc w:val="center"/>
              <w:rPr>
                <w:rFonts w:hint="default" w:ascii="Times New Roman" w:hAnsi="Times New Roman" w:cs="Times New Roman"/>
                <w:b w:val="0"/>
                <w:color w:val="000000"/>
                <w:sz w:val="16"/>
                <w:szCs w:val="22"/>
              </w:rPr>
            </w:pPr>
            <w:r>
              <w:rPr>
                <w:rFonts w:hint="default" w:ascii="Times New Roman" w:hAnsi="Times New Roman" w:cs="Times New Roman"/>
                <w:b w:val="0"/>
                <w:color w:val="000000"/>
                <w:sz w:val="16"/>
                <w:szCs w:val="22"/>
              </w:rPr>
              <w:t>&lt;0.001</w:t>
            </w:r>
          </w:p>
        </w:tc>
      </w:tr>
    </w:tbl>
    <w:p w14:paraId="2B2A78A8">
      <w:pPr>
        <w:keepNext w:val="0"/>
        <w:keepLines w:val="0"/>
        <w:pageBreakBefore w:val="0"/>
        <w:widowControl/>
        <w:kinsoku/>
        <w:wordWrap/>
        <w:overflowPunct/>
        <w:topLinePunct w:val="0"/>
        <w:autoSpaceDE/>
        <w:autoSpaceDN/>
        <w:bidi w:val="0"/>
        <w:adjustRightInd/>
        <w:snapToGrid/>
        <w:spacing w:after="0" w:line="480" w:lineRule="auto"/>
        <w:ind w:firstLine="210" w:firstLineChars="100"/>
        <w:jc w:val="left"/>
        <w:textAlignment w:val="auto"/>
        <w:rPr>
          <w:rFonts w:hint="default" w:ascii="Times New Roman" w:hAnsi="Times New Roman" w:cs="Times New Roman"/>
          <w:sz w:val="21"/>
          <w:szCs w:val="22"/>
        </w:rPr>
      </w:pPr>
      <w:r>
        <w:rPr>
          <w:rFonts w:hint="default" w:ascii="Times New Roman" w:hAnsi="Times New Roman" w:cs="Times New Roman"/>
          <w:sz w:val="21"/>
          <w:szCs w:val="22"/>
        </w:rPr>
        <w:t xml:space="preserve">Note. Reduced models contained the same sociodemographic covariates as the full model. For practice environment and perceived professional benefits, the reduced model included that construct alone; job </w:t>
      </w:r>
      <w:r>
        <w:rPr>
          <w:rFonts w:hint="default" w:ascii="Times New Roman" w:hAnsi="Times New Roman" w:cs="Times New Roman"/>
          <w:b w:val="0"/>
          <w:color w:val="000000"/>
          <w:sz w:val="16"/>
          <w:szCs w:val="22"/>
        </w:rPr>
        <w:t xml:space="preserve">demands </w:t>
      </w:r>
      <w:r>
        <w:rPr>
          <w:rFonts w:hint="default" w:ascii="Times New Roman" w:hAnsi="Times New Roman" w:cs="Times New Roman"/>
          <w:sz w:val="21"/>
          <w:szCs w:val="22"/>
        </w:rPr>
        <w:t>and job resources were entered together in their reduced model. ORs below 1 indicate lower odds of membership in C1, C2, or C3 relative to C4 with increasing predictor score. The job-resources association for C3 versus C4 was non-significant in both the reduced and full models.</w:t>
      </w:r>
    </w:p>
    <w:p w14:paraId="3DC0B055">
      <w:pPr>
        <w:keepNext w:val="0"/>
        <w:keepLines w:val="0"/>
        <w:pageBreakBefore w:val="0"/>
        <w:widowControl/>
        <w:suppressLineNumbers w:val="0"/>
        <w:kinsoku/>
        <w:wordWrap/>
        <w:overflowPunct/>
        <w:topLinePunct w:val="0"/>
        <w:autoSpaceDE/>
        <w:autoSpaceDN/>
        <w:bidi w:val="0"/>
        <w:adjustRightInd/>
        <w:snapToGrid/>
        <w:spacing w:line="360" w:lineRule="auto"/>
        <w:ind w:firstLine="210" w:firstLineChars="100"/>
        <w:jc w:val="left"/>
        <w:textAlignment w:val="center"/>
        <w:rPr>
          <w:rFonts w:hint="eastAsia" w:ascii="Times New Roman" w:hAnsi="Times New Roman" w:cs="Times New Roman" w:eastAsiaTheme="majorEastAsia"/>
          <w:b/>
          <w:bCs/>
          <w:color w:val="2D3748"/>
          <w:sz w:val="24"/>
          <w:szCs w:val="28"/>
          <w:lang w:val="en-US" w:eastAsia="zh-CN" w:bidi="ar-SA"/>
        </w:rPr>
      </w:pPr>
      <w:r>
        <w:br w:type="page"/>
      </w:r>
      <w:r>
        <w:rPr>
          <w:rFonts w:hint="default" w:ascii="Times New Roman" w:hAnsi="Times New Roman" w:cs="Times New Roman" w:eastAsiaTheme="majorEastAsia"/>
          <w:b/>
          <w:bCs/>
          <w:color w:val="2D3748"/>
          <w:sz w:val="24"/>
          <w:szCs w:val="28"/>
          <w:highlight w:val="yellow"/>
          <w:lang w:val="en-US" w:eastAsia="zh-CN" w:bidi="ar-SA"/>
        </w:rPr>
        <w:t xml:space="preserve">Supplementary Material </w:t>
      </w:r>
      <w:r>
        <w:rPr>
          <w:rFonts w:hint="eastAsia" w:ascii="Times New Roman" w:hAnsi="Times New Roman" w:cs="Times New Roman" w:eastAsiaTheme="majorEastAsia"/>
          <w:b/>
          <w:bCs/>
          <w:color w:val="2D3748"/>
          <w:sz w:val="24"/>
          <w:szCs w:val="28"/>
          <w:highlight w:val="yellow"/>
          <w:lang w:val="en-US" w:eastAsia="zh-CN" w:bidi="ar-SA"/>
        </w:rPr>
        <w:t>6</w:t>
      </w:r>
    </w:p>
    <w:p w14:paraId="641B5E63">
      <w:pPr>
        <w:pStyle w:val="6"/>
        <w:pageBreakBefore w:val="0"/>
        <w:widowControl/>
        <w:kinsoku/>
        <w:wordWrap/>
        <w:overflowPunct/>
        <w:topLinePunct w:val="0"/>
        <w:autoSpaceDE/>
        <w:autoSpaceDN/>
        <w:bidi w:val="0"/>
        <w:adjustRightInd/>
        <w:snapToGrid/>
        <w:spacing w:line="480" w:lineRule="auto"/>
        <w:ind w:firstLine="210" w:firstLineChars="100"/>
        <w:textAlignment w:val="auto"/>
        <w:rPr>
          <w:rFonts w:hint="default" w:ascii="Times New Roman" w:hAnsi="Times New Roman" w:cs="Times New Roman"/>
          <w:b w:val="0"/>
          <w:bCs/>
          <w:color w:val="auto"/>
          <w:sz w:val="21"/>
          <w:szCs w:val="22"/>
        </w:rPr>
      </w:pPr>
    </w:p>
    <w:tbl>
      <w:tblPr>
        <w:tblStyle w:val="3"/>
        <w:tblW w:w="0" w:type="auto"/>
        <w:jc w:val="center"/>
        <w:tblLayout w:type="fixed"/>
        <w:tblCellMar>
          <w:top w:w="0" w:type="dxa"/>
          <w:left w:w="108" w:type="dxa"/>
          <w:bottom w:w="0" w:type="dxa"/>
          <w:right w:w="108" w:type="dxa"/>
        </w:tblCellMar>
      </w:tblPr>
      <w:tblGrid>
        <w:gridCol w:w="1656"/>
        <w:gridCol w:w="2232"/>
        <w:gridCol w:w="2088"/>
        <w:gridCol w:w="792"/>
        <w:gridCol w:w="2088"/>
        <w:gridCol w:w="792"/>
      </w:tblGrid>
      <w:tr w14:paraId="5A68A730">
        <w:tblPrEx>
          <w:tblCellMar>
            <w:top w:w="0" w:type="dxa"/>
            <w:left w:w="108" w:type="dxa"/>
            <w:bottom w:w="0" w:type="dxa"/>
            <w:right w:w="108" w:type="dxa"/>
          </w:tblCellMar>
        </w:tblPrEx>
        <w:trPr>
          <w:tblHeader/>
          <w:jc w:val="center"/>
        </w:trPr>
        <w:tc>
          <w:tcPr>
            <w:tcW w:w="1728" w:type="dxa"/>
            <w:tcBorders>
              <w:top w:val="single" w:color="000000" w:sz="12" w:space="0"/>
              <w:left w:val="nil"/>
              <w:bottom w:val="single" w:color="000000" w:sz="4" w:space="0"/>
              <w:right w:val="nil"/>
              <w:tl2br w:val="nil"/>
            </w:tcBorders>
            <w:shd w:val="clear" w:color="auto" w:fill="FFFFFF"/>
            <w:tcMar>
              <w:top w:w="80" w:type="dxa"/>
              <w:left w:w="90" w:type="dxa"/>
              <w:bottom w:w="80" w:type="dxa"/>
              <w:right w:w="90" w:type="dxa"/>
            </w:tcMar>
            <w:vAlign w:val="center"/>
          </w:tcPr>
          <w:p w14:paraId="036988C1">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Profile comparison</w:t>
            </w:r>
          </w:p>
        </w:tc>
        <w:tc>
          <w:tcPr>
            <w:tcW w:w="1728"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09E1479A">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r>
              <w:rPr>
                <w:rFonts w:hint="default" w:ascii="Times New Roman" w:hAnsi="Times New Roman"/>
                <w:b w:val="0"/>
                <w:color w:val="000000"/>
                <w:lang w:val="en-US" w:eastAsia="zh-CN"/>
              </w:rPr>
              <w:t>Variable</w:t>
            </w:r>
            <w:r>
              <w:rPr>
                <w:rFonts w:hint="eastAsia" w:ascii="Times New Roman" w:hAnsi="Times New Roman"/>
                <w:b w:val="0"/>
                <w:color w:val="000000"/>
                <w:lang w:val="en-US" w:eastAsia="zh-CN"/>
              </w:rPr>
              <w:t>s</w:t>
            </w:r>
          </w:p>
        </w:tc>
        <w:tc>
          <w:tcPr>
            <w:tcW w:w="1728"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225AF138">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Domain-specific model</w:t>
            </w:r>
            <w:r>
              <w:rPr>
                <w:rFonts w:ascii="Times New Roman" w:hAnsi="Times New Roman"/>
                <w:b w:val="0"/>
                <w:color w:val="000000"/>
                <w:sz w:val="18"/>
              </w:rPr>
              <w:br w:type="textWrapping"/>
            </w:r>
            <w:r>
              <w:rPr>
                <w:rFonts w:ascii="Times New Roman" w:hAnsi="Times New Roman"/>
                <w:b w:val="0"/>
                <w:color w:val="000000"/>
                <w:sz w:val="18"/>
              </w:rPr>
              <w:t>OR (95% CI)</w:t>
            </w:r>
          </w:p>
        </w:tc>
        <w:tc>
          <w:tcPr>
            <w:tcW w:w="1728"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67E063E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 xml:space="preserve">P </w:t>
            </w:r>
          </w:p>
        </w:tc>
        <w:tc>
          <w:tcPr>
            <w:tcW w:w="1728"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554EC3C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Fully adjusted model</w:t>
            </w:r>
            <w:r>
              <w:rPr>
                <w:rFonts w:ascii="Times New Roman" w:hAnsi="Times New Roman"/>
                <w:b w:val="0"/>
                <w:color w:val="000000"/>
                <w:sz w:val="18"/>
              </w:rPr>
              <w:br w:type="textWrapping"/>
            </w:r>
            <w:r>
              <w:rPr>
                <w:rFonts w:ascii="Times New Roman" w:hAnsi="Times New Roman"/>
                <w:b w:val="0"/>
                <w:color w:val="000000"/>
                <w:sz w:val="18"/>
              </w:rPr>
              <w:t>OR (95% CI)</w:t>
            </w:r>
          </w:p>
        </w:tc>
        <w:tc>
          <w:tcPr>
            <w:tcW w:w="1728" w:type="dxa"/>
            <w:tcBorders>
              <w:top w:val="single" w:color="000000" w:sz="12" w:space="0"/>
              <w:left w:val="nil"/>
              <w:bottom w:val="single" w:color="000000" w:sz="4" w:space="0"/>
              <w:right w:val="nil"/>
            </w:tcBorders>
            <w:shd w:val="clear" w:color="auto" w:fill="FFFFFF"/>
            <w:tcMar>
              <w:top w:w="80" w:type="dxa"/>
              <w:left w:w="90" w:type="dxa"/>
              <w:bottom w:w="80" w:type="dxa"/>
              <w:right w:w="90" w:type="dxa"/>
            </w:tcMar>
            <w:vAlign w:val="center"/>
          </w:tcPr>
          <w:p w14:paraId="0B26C54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 xml:space="preserve">P </w:t>
            </w:r>
          </w:p>
        </w:tc>
      </w:tr>
      <w:tr w14:paraId="2DFB623A">
        <w:tblPrEx>
          <w:tblCellMar>
            <w:top w:w="0" w:type="dxa"/>
            <w:left w:w="108" w:type="dxa"/>
            <w:bottom w:w="0" w:type="dxa"/>
            <w:right w:w="108" w:type="dxa"/>
          </w:tblCellMar>
        </w:tblPrEx>
        <w:trPr>
          <w:jc w:val="center"/>
        </w:trPr>
        <w:tc>
          <w:tcPr>
            <w:tcW w:w="1656" w:type="dxa"/>
            <w:vMerge w:val="restart"/>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3915B252">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hint="eastAsia" w:ascii="Times New Roman" w:hAnsi="Times New Roman" w:eastAsia="宋体"/>
                <w:b w:val="0"/>
                <w:color w:val="000000"/>
                <w:sz w:val="18"/>
                <w:lang w:val="en-US" w:eastAsia="zh-CN"/>
              </w:rPr>
              <w:t>C</w:t>
            </w:r>
            <w:r>
              <w:rPr>
                <w:rFonts w:ascii="Times New Roman" w:hAnsi="Times New Roman"/>
                <w:b w:val="0"/>
                <w:color w:val="000000"/>
                <w:sz w:val="18"/>
              </w:rPr>
              <w:t>1 vs</w:t>
            </w:r>
            <w:r>
              <w:rPr>
                <w:rFonts w:hint="eastAsia" w:ascii="Times New Roman" w:hAnsi="Times New Roman" w:eastAsia="宋体"/>
                <w:b w:val="0"/>
                <w:color w:val="000000"/>
                <w:sz w:val="18"/>
                <w:lang w:val="en-US" w:eastAsia="zh-CN"/>
              </w:rPr>
              <w:t xml:space="preserve"> C</w:t>
            </w:r>
            <w:r>
              <w:rPr>
                <w:rFonts w:ascii="Times New Roman" w:hAnsi="Times New Roman"/>
                <w:b w:val="0"/>
                <w:color w:val="000000"/>
                <w:sz w:val="18"/>
              </w:rPr>
              <w:t>4</w:t>
            </w:r>
          </w:p>
          <w:p w14:paraId="5182AAF1">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7280333E">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2C1378C6">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tc>
        <w:tc>
          <w:tcPr>
            <w:tcW w:w="223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5A42ED5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Nursing practice environment</w:t>
            </w:r>
          </w:p>
        </w:tc>
        <w:tc>
          <w:tcPr>
            <w:tcW w:w="2088"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2FAA1282">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0.690 (0.635-0.750)</w:t>
            </w:r>
          </w:p>
        </w:tc>
        <w:tc>
          <w:tcPr>
            <w:tcW w:w="79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3E25E909">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2EE9CAE3">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0.754 (0.687-0.828)</w:t>
            </w:r>
          </w:p>
        </w:tc>
        <w:tc>
          <w:tcPr>
            <w:tcW w:w="792" w:type="dxa"/>
            <w:tcBorders>
              <w:top w:val="single" w:color="000000" w:sz="4" w:space="0"/>
              <w:left w:val="nil"/>
              <w:bottom w:val="nil"/>
              <w:right w:val="nil"/>
            </w:tcBorders>
            <w:shd w:val="clear" w:color="auto" w:fill="FFFFFF"/>
            <w:tcMar>
              <w:top w:w="80" w:type="dxa"/>
              <w:left w:w="90" w:type="dxa"/>
              <w:bottom w:w="80" w:type="dxa"/>
              <w:right w:w="90" w:type="dxa"/>
            </w:tcMar>
            <w:vAlign w:val="center"/>
          </w:tcPr>
          <w:p w14:paraId="621E263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0B566C40">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6F247FE3">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57A31B2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demands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4E9331F1">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0.825 (0.778-0.875)</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25896FB9">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10ACF9D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0.882 (0.823-0.945)</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1F32CD0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022425EC">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31E3F48F">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0E4B3A0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resources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7686978B">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0.814 (0.742-0.893)</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068B505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68D2C672">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0.886 (0.793-0.989)</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7DC97B4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0.030</w:t>
            </w:r>
          </w:p>
        </w:tc>
      </w:tr>
      <w:tr w14:paraId="40A86B52">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3B32A997">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45E3B5D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Perceived professional benefits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3BEE3AA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0.809 (0.772-0.848)</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12E9AD21">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6CB65FC2">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0.850 (0.806-0.896)</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47A1DB7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019F20B3">
        <w:tblPrEx>
          <w:tblCellMar>
            <w:top w:w="0" w:type="dxa"/>
            <w:left w:w="108" w:type="dxa"/>
            <w:bottom w:w="0" w:type="dxa"/>
            <w:right w:w="108" w:type="dxa"/>
          </w:tblCellMar>
        </w:tblPrEx>
        <w:trPr>
          <w:jc w:val="center"/>
        </w:trPr>
        <w:tc>
          <w:tcPr>
            <w:tcW w:w="1656" w:type="dxa"/>
            <w:vMerge w:val="restart"/>
            <w:tcBorders>
              <w:top w:val="nil"/>
              <w:left w:val="nil"/>
              <w:bottom w:val="nil"/>
              <w:right w:val="nil"/>
            </w:tcBorders>
            <w:shd w:val="clear" w:color="auto" w:fill="FFFFFF"/>
            <w:tcMar>
              <w:top w:w="80" w:type="dxa"/>
              <w:left w:w="90" w:type="dxa"/>
              <w:bottom w:w="80" w:type="dxa"/>
              <w:right w:w="90" w:type="dxa"/>
            </w:tcMar>
            <w:vAlign w:val="center"/>
          </w:tcPr>
          <w:p w14:paraId="58E731A8">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hint="eastAsia" w:ascii="Times New Roman" w:hAnsi="Times New Roman" w:eastAsia="宋体"/>
                <w:b w:val="0"/>
                <w:color w:val="000000"/>
                <w:sz w:val="18"/>
                <w:lang w:val="en-US" w:eastAsia="zh-CN"/>
              </w:rPr>
              <w:t>C</w:t>
            </w:r>
            <w:r>
              <w:rPr>
                <w:rFonts w:ascii="Times New Roman" w:hAnsi="Times New Roman"/>
                <w:b w:val="0"/>
                <w:color w:val="000000"/>
                <w:sz w:val="18"/>
              </w:rPr>
              <w:t xml:space="preserve">2 vs </w:t>
            </w:r>
            <w:r>
              <w:rPr>
                <w:rFonts w:hint="eastAsia" w:ascii="Times New Roman" w:hAnsi="Times New Roman" w:eastAsia="宋体"/>
                <w:b w:val="0"/>
                <w:color w:val="000000"/>
                <w:sz w:val="18"/>
                <w:lang w:val="en-US" w:eastAsia="zh-CN"/>
              </w:rPr>
              <w:t>C</w:t>
            </w:r>
            <w:r>
              <w:rPr>
                <w:rFonts w:ascii="Times New Roman" w:hAnsi="Times New Roman"/>
                <w:b w:val="0"/>
                <w:color w:val="000000"/>
                <w:sz w:val="18"/>
              </w:rPr>
              <w:t>4</w:t>
            </w:r>
          </w:p>
          <w:p w14:paraId="2614FFF6">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0602FC99">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4B32AFCE">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2DB2838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Nursing practice environment</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6DAB4CD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0.786 (0.733-0.843)</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2A554E96">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5F1512A0">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0.848 (0.785-0.915)</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71D68498">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18ED6BE4">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77C18A05">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1272F51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demands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2049ADD3">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0.885 (0.841-0.932)</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1DF93C4E">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590DCF0B">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0.932 (0.878-0.989)</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76807AA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0.020</w:t>
            </w:r>
          </w:p>
        </w:tc>
      </w:tr>
      <w:tr w14:paraId="053E4781">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704E2DE3">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721F9BB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resources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1A1C1B90">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0.852 (0.789-0.920)</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30F9E0F6">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70DA03D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0.882 (0.811-0.960)</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7502E3E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0.004</w:t>
            </w:r>
          </w:p>
        </w:tc>
      </w:tr>
      <w:tr w14:paraId="2654F57F">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1931A580">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466CB75E">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Perceived professional benefits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0364EC3B">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0.888 (0.858-0.919)</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59E69A7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315F5C2E">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0.914 (0.878-0.952)</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435FA45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50D83A4E">
        <w:tblPrEx>
          <w:tblCellMar>
            <w:top w:w="0" w:type="dxa"/>
            <w:left w:w="108" w:type="dxa"/>
            <w:bottom w:w="0" w:type="dxa"/>
            <w:right w:w="108" w:type="dxa"/>
          </w:tblCellMar>
        </w:tblPrEx>
        <w:trPr>
          <w:jc w:val="center"/>
        </w:trPr>
        <w:tc>
          <w:tcPr>
            <w:tcW w:w="1656" w:type="dxa"/>
            <w:vMerge w:val="restart"/>
            <w:tcBorders>
              <w:top w:val="nil"/>
              <w:left w:val="nil"/>
              <w:bottom w:val="nil"/>
              <w:right w:val="nil"/>
            </w:tcBorders>
            <w:shd w:val="clear" w:color="auto" w:fill="FFFFFF"/>
            <w:tcMar>
              <w:top w:w="80" w:type="dxa"/>
              <w:left w:w="90" w:type="dxa"/>
              <w:bottom w:w="80" w:type="dxa"/>
              <w:right w:w="90" w:type="dxa"/>
            </w:tcMar>
            <w:vAlign w:val="center"/>
          </w:tcPr>
          <w:p w14:paraId="37E8F938">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hint="eastAsia" w:ascii="Times New Roman" w:hAnsi="Times New Roman" w:eastAsia="宋体"/>
                <w:b w:val="0"/>
                <w:color w:val="000000"/>
                <w:sz w:val="18"/>
                <w:lang w:val="en-US" w:eastAsia="zh-CN"/>
              </w:rPr>
              <w:t>C</w:t>
            </w:r>
            <w:r>
              <w:rPr>
                <w:rFonts w:ascii="Times New Roman" w:hAnsi="Times New Roman"/>
                <w:b w:val="0"/>
                <w:color w:val="000000"/>
                <w:sz w:val="18"/>
              </w:rPr>
              <w:t>3 vs</w:t>
            </w:r>
            <w:r>
              <w:rPr>
                <w:rFonts w:hint="eastAsia" w:ascii="Times New Roman" w:hAnsi="Times New Roman" w:eastAsia="宋体"/>
                <w:b w:val="0"/>
                <w:color w:val="000000"/>
                <w:sz w:val="18"/>
                <w:lang w:val="en-US" w:eastAsia="zh-CN"/>
              </w:rPr>
              <w:t>C</w:t>
            </w:r>
            <w:r>
              <w:rPr>
                <w:rFonts w:ascii="Times New Roman" w:hAnsi="Times New Roman"/>
                <w:b w:val="0"/>
                <w:color w:val="000000"/>
                <w:sz w:val="18"/>
              </w:rPr>
              <w:t>4</w:t>
            </w:r>
          </w:p>
          <w:p w14:paraId="59538DB8">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13287C32">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p w14:paraId="32A73460">
            <w:pPr>
              <w:pageBreakBefore w:val="0"/>
              <w:kinsoku/>
              <w:wordWrap/>
              <w:overflowPunct/>
              <w:topLinePunct w:val="0"/>
              <w:autoSpaceDE/>
              <w:autoSpaceDN/>
              <w:bidi w:val="0"/>
              <w:adjustRightInd/>
              <w:snapToGrid/>
              <w:spacing w:after="0"/>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1C60A792">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Nursing practice environment</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379DE05E">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0.791 (0.739-0.847)</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05EA9E0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4C46E77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0.832 (0.774-0.895)</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41AC0EA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r w14:paraId="4B1C60AA">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4505C24B">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2DB22670">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demands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27C8F527">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0.898 (0.856-0.943)</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0749FC7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3573010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0.943 (0.892-0.997)</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10CF02BC">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0.040</w:t>
            </w:r>
          </w:p>
        </w:tc>
      </w:tr>
      <w:tr w14:paraId="7961950A">
        <w:tblPrEx>
          <w:tblCellMar>
            <w:top w:w="0" w:type="dxa"/>
            <w:left w:w="108" w:type="dxa"/>
            <w:bottom w:w="0" w:type="dxa"/>
            <w:right w:w="108" w:type="dxa"/>
          </w:tblCellMar>
        </w:tblPrEx>
        <w:trPr>
          <w:jc w:val="center"/>
        </w:trPr>
        <w:tc>
          <w:tcPr>
            <w:tcW w:w="1656" w:type="dxa"/>
            <w:vMerge w:val="continue"/>
            <w:tcBorders>
              <w:top w:val="nil"/>
              <w:left w:val="nil"/>
              <w:bottom w:val="nil"/>
              <w:right w:val="nil"/>
            </w:tcBorders>
            <w:shd w:val="clear" w:color="auto" w:fill="FFFFFF"/>
            <w:vAlign w:val="center"/>
          </w:tcPr>
          <w:p w14:paraId="52BB2CBD">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nil"/>
              <w:right w:val="nil"/>
            </w:tcBorders>
            <w:shd w:val="clear" w:color="auto" w:fill="FFFFFF"/>
            <w:tcMar>
              <w:top w:w="80" w:type="dxa"/>
              <w:left w:w="90" w:type="dxa"/>
              <w:bottom w:w="80" w:type="dxa"/>
              <w:right w:w="90" w:type="dxa"/>
            </w:tcMar>
            <w:vAlign w:val="center"/>
          </w:tcPr>
          <w:p w14:paraId="153725A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Job resources</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208BB406">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0.956 (0.891-1.026)</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6DE21A1A">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0.211</w:t>
            </w:r>
          </w:p>
        </w:tc>
        <w:tc>
          <w:tcPr>
            <w:tcW w:w="2088" w:type="dxa"/>
            <w:tcBorders>
              <w:top w:val="nil"/>
              <w:left w:val="nil"/>
              <w:bottom w:val="nil"/>
              <w:right w:val="nil"/>
            </w:tcBorders>
            <w:shd w:val="clear" w:color="auto" w:fill="FFFFFF"/>
            <w:tcMar>
              <w:top w:w="80" w:type="dxa"/>
              <w:left w:w="90" w:type="dxa"/>
              <w:bottom w:w="80" w:type="dxa"/>
              <w:right w:w="90" w:type="dxa"/>
            </w:tcMar>
            <w:vAlign w:val="center"/>
          </w:tcPr>
          <w:p w14:paraId="2D49ABE8">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0.991 (0.916-1.071)</w:t>
            </w:r>
          </w:p>
        </w:tc>
        <w:tc>
          <w:tcPr>
            <w:tcW w:w="792" w:type="dxa"/>
            <w:tcBorders>
              <w:top w:val="nil"/>
              <w:left w:val="nil"/>
              <w:bottom w:val="nil"/>
              <w:right w:val="nil"/>
            </w:tcBorders>
            <w:shd w:val="clear" w:color="auto" w:fill="FFFFFF"/>
            <w:tcMar>
              <w:top w:w="80" w:type="dxa"/>
              <w:left w:w="90" w:type="dxa"/>
              <w:bottom w:w="80" w:type="dxa"/>
              <w:right w:w="90" w:type="dxa"/>
            </w:tcMar>
            <w:vAlign w:val="center"/>
          </w:tcPr>
          <w:p w14:paraId="4D99552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0.813</w:t>
            </w:r>
          </w:p>
        </w:tc>
      </w:tr>
      <w:tr w14:paraId="18B7CA9A">
        <w:tblPrEx>
          <w:tblCellMar>
            <w:top w:w="0" w:type="dxa"/>
            <w:left w:w="108" w:type="dxa"/>
            <w:bottom w:w="0" w:type="dxa"/>
            <w:right w:w="108" w:type="dxa"/>
          </w:tblCellMar>
        </w:tblPrEx>
        <w:trPr>
          <w:jc w:val="center"/>
        </w:trPr>
        <w:tc>
          <w:tcPr>
            <w:tcW w:w="1656" w:type="dxa"/>
            <w:vMerge w:val="continue"/>
            <w:tcBorders>
              <w:top w:val="nil"/>
              <w:left w:val="nil"/>
              <w:bottom w:val="single" w:color="000000" w:sz="12" w:space="0"/>
              <w:right w:val="nil"/>
            </w:tcBorders>
            <w:shd w:val="clear" w:color="auto" w:fill="FFFFFF"/>
            <w:vAlign w:val="center"/>
          </w:tcPr>
          <w:p w14:paraId="6EEF7972">
            <w:pPr>
              <w:pageBreakBefore w:val="0"/>
              <w:kinsoku/>
              <w:wordWrap/>
              <w:overflowPunct/>
              <w:topLinePunct w:val="0"/>
              <w:autoSpaceDE/>
              <w:autoSpaceDN/>
              <w:bidi w:val="0"/>
              <w:adjustRightInd/>
              <w:snapToGrid/>
              <w:ind w:firstLine="210" w:firstLineChars="100"/>
              <w:jc w:val="center"/>
              <w:rPr>
                <w:rFonts w:ascii="Times New Roman" w:hAnsi="Times New Roman"/>
                <w:b w:val="0"/>
                <w:color w:val="000000"/>
              </w:rPr>
            </w:pPr>
          </w:p>
        </w:tc>
        <w:tc>
          <w:tcPr>
            <w:tcW w:w="223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77AEE33D">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Perceived professional benefits</w:t>
            </w:r>
          </w:p>
        </w:tc>
        <w:tc>
          <w:tcPr>
            <w:tcW w:w="2088"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223E1DF9">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0.908 (0.879-0.938)</w:t>
            </w:r>
          </w:p>
        </w:tc>
        <w:tc>
          <w:tcPr>
            <w:tcW w:w="79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017FACFF">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c>
          <w:tcPr>
            <w:tcW w:w="2088"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370AC425">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0.925 (0.890-0.961)</w:t>
            </w:r>
          </w:p>
        </w:tc>
        <w:tc>
          <w:tcPr>
            <w:tcW w:w="792" w:type="dxa"/>
            <w:tcBorders>
              <w:top w:val="nil"/>
              <w:left w:val="nil"/>
              <w:bottom w:val="single" w:color="000000" w:sz="12" w:space="0"/>
              <w:right w:val="nil"/>
            </w:tcBorders>
            <w:shd w:val="clear" w:color="auto" w:fill="FFFFFF"/>
            <w:tcMar>
              <w:top w:w="80" w:type="dxa"/>
              <w:left w:w="90" w:type="dxa"/>
              <w:bottom w:w="80" w:type="dxa"/>
              <w:right w:w="90" w:type="dxa"/>
            </w:tcMar>
            <w:vAlign w:val="center"/>
          </w:tcPr>
          <w:p w14:paraId="50C4940B">
            <w:pPr>
              <w:pageBreakBefore w:val="0"/>
              <w:kinsoku/>
              <w:wordWrap/>
              <w:overflowPunct/>
              <w:topLinePunct w:val="0"/>
              <w:autoSpaceDE/>
              <w:autoSpaceDN/>
              <w:bidi w:val="0"/>
              <w:adjustRightInd/>
              <w:snapToGrid/>
              <w:spacing w:after="0"/>
              <w:ind w:firstLine="180" w:firstLineChars="100"/>
              <w:jc w:val="center"/>
              <w:rPr>
                <w:rFonts w:ascii="Times New Roman" w:hAnsi="Times New Roman"/>
                <w:b w:val="0"/>
                <w:color w:val="000000"/>
              </w:rPr>
            </w:pPr>
            <w:r>
              <w:rPr>
                <w:rFonts w:ascii="Times New Roman" w:hAnsi="Times New Roman"/>
                <w:b w:val="0"/>
                <w:color w:val="000000"/>
                <w:sz w:val="18"/>
              </w:rPr>
              <w:t>&lt;0.001</w:t>
            </w:r>
          </w:p>
        </w:tc>
      </w:tr>
    </w:tbl>
    <w:p w14:paraId="16451E49">
      <w:pPr>
        <w:pageBreakBefore w:val="0"/>
        <w:kinsoku/>
        <w:wordWrap/>
        <w:overflowPunct/>
        <w:topLinePunct w:val="0"/>
        <w:autoSpaceDE/>
        <w:autoSpaceDN/>
        <w:bidi w:val="0"/>
        <w:adjustRightInd/>
        <w:snapToGrid/>
        <w:spacing w:before="140" w:after="0"/>
        <w:ind w:firstLine="180" w:firstLineChars="100"/>
        <w:rPr>
          <w:rFonts w:ascii="Times New Roman" w:hAnsi="Times New Roman"/>
        </w:rPr>
      </w:pPr>
      <w:r>
        <w:rPr>
          <w:rFonts w:ascii="Times New Roman" w:hAnsi="Times New Roman"/>
          <w:b/>
          <w:sz w:val="18"/>
        </w:rPr>
        <w:t xml:space="preserve">Note. </w:t>
      </w:r>
      <w:r>
        <w:rPr>
          <w:rFonts w:ascii="Times New Roman" w:hAnsi="Times New Roman"/>
          <w:sz w:val="18"/>
        </w:rPr>
        <w:t>OR, odds ratio; CI, confidence interval. Profile 4 was the reference category. All models were adjusted for the same sociodemographic and work-related covariates: department, sex, age, years of work experience, education, professional title, marital status, monthly income, salary satisfaction, department work satisfaction, and family support. Domain-specific models additionally included the corresponding workplace construct; job demands and job resources were entered together in their domain-specific model. The fully adjusted model simultaneously included nursing practice environment, job demands, job resources, and perceived professional benefits. P values are two-sided.</w:t>
      </w:r>
    </w:p>
    <w:p w14:paraId="0E1B13CC">
      <w:pPr>
        <w:pageBreakBefore w:val="0"/>
        <w:kinsoku/>
        <w:wordWrap/>
        <w:overflowPunct/>
        <w:topLinePunct w:val="0"/>
        <w:autoSpaceDE/>
        <w:autoSpaceDN/>
        <w:bidi w:val="0"/>
        <w:adjustRightInd/>
        <w:snapToGrid/>
        <w:ind w:firstLine="210" w:firstLineChars="10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670582"/>
    <w:rsid w:val="7B670582"/>
    <w:rsid w:val="7C923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pPr>
    <w:rPr>
      <w:rFonts w:ascii="Arial" w:hAnsi="Arial" w:eastAsia="Arial" w:cstheme="minorBidi"/>
      <w:sz w:val="21"/>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D3748"/>
      <w:sz w:val="25"/>
      <w:szCs w:val="28"/>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Table Caption"/>
    <w:qFormat/>
    <w:uiPriority w:val="0"/>
    <w:pPr>
      <w:spacing w:before="160" w:after="80" w:line="276" w:lineRule="auto"/>
    </w:pPr>
    <w:rPr>
      <w:rFonts w:ascii="Arial" w:hAnsi="Arial" w:eastAsia="Arial" w:cstheme="minorBidi"/>
      <w:b/>
      <w:sz w:val="21"/>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1734</Words>
  <Characters>10704</Characters>
  <Lines>0</Lines>
  <Paragraphs>0</Paragraphs>
  <TotalTime>1</TotalTime>
  <ScaleCrop>false</ScaleCrop>
  <LinksUpToDate>false</LinksUpToDate>
  <CharactersWithSpaces>11946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2026-09-02T00:49:00Z</dcterms:created>
  <dc:creator>小雨蘑g</dc:creator>
  <cp:lastModifiedBy>小雨蘑g</cp:lastModifiedBy>
  <dcterms:modified xsi:type="dcterms:W3CDTF">2026-09-02T11:28:20Z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FA4DF95C5D5140E79AD62442029B85D3_11</vt:lpwstr>
  </property>
  <property fmtid="{D5CDD505-2E9C-101B-9397-08002B2CF9AE}" pid="4" name="KSOTemplateDocerSaveRecord">
    <vt:lpwstr>eyJoZGlkIjoiZThmNjAzMWJlZjFkMmQwODUwMTJkYzE2ODFiYmFmYTciLCJ1c2VySWQiOiI2MTg2MjE0MzkifQ==</vt:lpwstr>
  </property>
</Properties>
</file>