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2DBA8" w14:textId="3C9446FB" w:rsidR="0089200D" w:rsidRPr="00344CBB" w:rsidRDefault="0089200D" w:rsidP="006D5609">
      <w:pPr>
        <w:spacing w:after="120" w:line="240" w:lineRule="auto"/>
        <w:rPr>
          <w:b/>
          <w:bCs/>
          <w:szCs w:val="26"/>
        </w:rPr>
      </w:pPr>
      <w:r w:rsidRPr="00344CBB">
        <w:rPr>
          <w:b/>
          <w:bCs/>
          <w:szCs w:val="26"/>
        </w:rPr>
        <w:t xml:space="preserve">Additional file </w:t>
      </w:r>
      <w:r w:rsidR="00AE4605" w:rsidRPr="00344CBB">
        <w:rPr>
          <w:b/>
          <w:bCs/>
          <w:szCs w:val="26"/>
        </w:rPr>
        <w:t>2</w:t>
      </w:r>
    </w:p>
    <w:p w14:paraId="4E49014A" w14:textId="57067CD0" w:rsidR="006D5609" w:rsidRPr="00344CBB" w:rsidRDefault="006D5609" w:rsidP="006D5609">
      <w:pPr>
        <w:spacing w:after="120" w:line="240" w:lineRule="auto"/>
        <w:rPr>
          <w:b/>
          <w:bCs/>
          <w:szCs w:val="26"/>
        </w:rPr>
      </w:pPr>
      <w:r w:rsidRPr="00344CBB">
        <w:rPr>
          <w:b/>
          <w:bCs/>
          <w:szCs w:val="26"/>
        </w:rPr>
        <w:t xml:space="preserve">CREDES checklist </w:t>
      </w:r>
    </w:p>
    <w:p w14:paraId="1943FF0A" w14:textId="2A250C70" w:rsidR="00482D79" w:rsidRPr="00344CBB" w:rsidRDefault="00D47E6E" w:rsidP="00EF0CEC">
      <w:pPr>
        <w:spacing w:after="0" w:line="240" w:lineRule="auto"/>
        <w:rPr>
          <w:sz w:val="20"/>
        </w:rPr>
      </w:pPr>
      <w:r w:rsidRPr="00344CBB">
        <w:rPr>
          <w:sz w:val="20"/>
        </w:rPr>
        <w:t>The table below indicates where each CREDES recommendation is addressed and provides study-specific notes where the original recommendation required contextual interpretation.</w:t>
      </w:r>
    </w:p>
    <w:p w14:paraId="1A707C75" w14:textId="77777777" w:rsidR="00761442" w:rsidRPr="00344CBB" w:rsidRDefault="00761442" w:rsidP="00EF0CEC">
      <w:pPr>
        <w:spacing w:after="0" w:line="240" w:lineRule="auto"/>
        <w:rPr>
          <w:sz w:val="20"/>
        </w:rPr>
      </w:pPr>
    </w:p>
    <w:tbl>
      <w:tblPr>
        <w:tblStyle w:val="Rastertabel1licht"/>
        <w:tblW w:w="0" w:type="auto"/>
        <w:tblLook w:val="04A0" w:firstRow="1" w:lastRow="0" w:firstColumn="1" w:lastColumn="0" w:noHBand="0" w:noVBand="1"/>
      </w:tblPr>
      <w:tblGrid>
        <w:gridCol w:w="1838"/>
        <w:gridCol w:w="1701"/>
        <w:gridCol w:w="3544"/>
        <w:gridCol w:w="7082"/>
      </w:tblGrid>
      <w:tr w:rsidR="00A166FD" w:rsidRPr="00344CBB" w14:paraId="305510A9" w14:textId="77777777" w:rsidTr="000B04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A8B2EA3" w14:textId="160757ED" w:rsidR="00A166FD" w:rsidRPr="00344CBB" w:rsidRDefault="00A166FD" w:rsidP="002E33C5">
            <w:pPr>
              <w:spacing w:after="120" w:line="240" w:lineRule="auto"/>
              <w:rPr>
                <w:b w:val="0"/>
                <w:bCs w:val="0"/>
                <w:sz w:val="20"/>
              </w:rPr>
            </w:pPr>
            <w:r w:rsidRPr="00344CBB">
              <w:rPr>
                <w:sz w:val="20"/>
              </w:rPr>
              <w:t>CREDES domain</w:t>
            </w:r>
          </w:p>
        </w:tc>
        <w:tc>
          <w:tcPr>
            <w:tcW w:w="1701" w:type="dxa"/>
          </w:tcPr>
          <w:p w14:paraId="039BDBC4" w14:textId="5C5EEE0F" w:rsidR="00A166FD" w:rsidRPr="00344CBB" w:rsidRDefault="00A166FD" w:rsidP="002E33C5">
            <w:pPr>
              <w:spacing w:after="120" w:line="240" w:lineRule="auto"/>
              <w:cnfStyle w:val="100000000000" w:firstRow="1" w:lastRow="0" w:firstColumn="0" w:lastColumn="0" w:oddVBand="0" w:evenVBand="0" w:oddHBand="0" w:evenHBand="0" w:firstRowFirstColumn="0" w:firstRowLastColumn="0" w:lastRowFirstColumn="0" w:lastRowLastColumn="0"/>
              <w:rPr>
                <w:b w:val="0"/>
                <w:bCs w:val="0"/>
                <w:sz w:val="20"/>
              </w:rPr>
            </w:pPr>
            <w:r w:rsidRPr="00344CBB">
              <w:rPr>
                <w:sz w:val="20"/>
              </w:rPr>
              <w:t>CREDES item</w:t>
            </w:r>
          </w:p>
        </w:tc>
        <w:tc>
          <w:tcPr>
            <w:tcW w:w="3544" w:type="dxa"/>
          </w:tcPr>
          <w:p w14:paraId="6888D830" w14:textId="02FB73F3" w:rsidR="00A166FD" w:rsidRPr="00344CBB" w:rsidRDefault="00A166FD" w:rsidP="002E33C5">
            <w:pPr>
              <w:spacing w:after="120" w:line="240" w:lineRule="auto"/>
              <w:cnfStyle w:val="100000000000" w:firstRow="1" w:lastRow="0" w:firstColumn="0" w:lastColumn="0" w:oddVBand="0" w:evenVBand="0" w:oddHBand="0" w:evenHBand="0" w:firstRowFirstColumn="0" w:firstRowLastColumn="0" w:lastRowFirstColumn="0" w:lastRowLastColumn="0"/>
              <w:rPr>
                <w:b w:val="0"/>
                <w:bCs w:val="0"/>
                <w:sz w:val="20"/>
              </w:rPr>
            </w:pPr>
            <w:r w:rsidRPr="00344CBB">
              <w:rPr>
                <w:sz w:val="20"/>
              </w:rPr>
              <w:t>Information in the manuscript</w:t>
            </w:r>
          </w:p>
        </w:tc>
        <w:tc>
          <w:tcPr>
            <w:tcW w:w="7082" w:type="dxa"/>
          </w:tcPr>
          <w:p w14:paraId="64DA9362" w14:textId="798201C7" w:rsidR="00A166FD" w:rsidRPr="00344CBB" w:rsidRDefault="00A166FD" w:rsidP="002E33C5">
            <w:pPr>
              <w:spacing w:after="120" w:line="240" w:lineRule="auto"/>
              <w:cnfStyle w:val="100000000000" w:firstRow="1" w:lastRow="0" w:firstColumn="0" w:lastColumn="0" w:oddVBand="0" w:evenVBand="0" w:oddHBand="0" w:evenHBand="0" w:firstRowFirstColumn="0" w:firstRowLastColumn="0" w:lastRowFirstColumn="0" w:lastRowLastColumn="0"/>
              <w:rPr>
                <w:b w:val="0"/>
                <w:bCs w:val="0"/>
                <w:sz w:val="20"/>
              </w:rPr>
            </w:pPr>
            <w:r w:rsidRPr="00344CBB">
              <w:rPr>
                <w:sz w:val="20"/>
              </w:rPr>
              <w:t xml:space="preserve">Study specific notes </w:t>
            </w:r>
          </w:p>
        </w:tc>
      </w:tr>
      <w:tr w:rsidR="00A166FD" w:rsidRPr="00344CBB" w14:paraId="13718BDF" w14:textId="77777777" w:rsidTr="000B046C">
        <w:tc>
          <w:tcPr>
            <w:cnfStyle w:val="001000000000" w:firstRow="0" w:lastRow="0" w:firstColumn="1" w:lastColumn="0" w:oddVBand="0" w:evenVBand="0" w:oddHBand="0" w:evenHBand="0" w:firstRowFirstColumn="0" w:firstRowLastColumn="0" w:lastRowFirstColumn="0" w:lastRowLastColumn="0"/>
            <w:tcW w:w="1838" w:type="dxa"/>
          </w:tcPr>
          <w:p w14:paraId="7B7B0710" w14:textId="519B313B" w:rsidR="00A166FD" w:rsidRPr="00344CBB" w:rsidRDefault="00A166FD" w:rsidP="002E33C5">
            <w:pPr>
              <w:spacing w:after="120" w:line="240" w:lineRule="auto"/>
              <w:rPr>
                <w:sz w:val="20"/>
              </w:rPr>
            </w:pPr>
            <w:r w:rsidRPr="00344CBB">
              <w:rPr>
                <w:sz w:val="20"/>
              </w:rPr>
              <w:t>Rationale for the choice of the Delphi technique</w:t>
            </w:r>
          </w:p>
        </w:tc>
        <w:tc>
          <w:tcPr>
            <w:tcW w:w="1701" w:type="dxa"/>
          </w:tcPr>
          <w:p w14:paraId="7186F22E" w14:textId="4E1F76C0" w:rsidR="00A166FD" w:rsidRPr="00344CBB" w:rsidRDefault="00A166FD"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rPr>
            </w:pPr>
            <w:r w:rsidRPr="00344CBB">
              <w:rPr>
                <w:sz w:val="20"/>
              </w:rPr>
              <w:t>Justification</w:t>
            </w:r>
          </w:p>
        </w:tc>
        <w:tc>
          <w:tcPr>
            <w:tcW w:w="3544" w:type="dxa"/>
          </w:tcPr>
          <w:p w14:paraId="39CAF5BC" w14:textId="11C8D3CB" w:rsidR="00A166FD" w:rsidRPr="00344CBB" w:rsidRDefault="00CD1651"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44CBB">
              <w:rPr>
                <w:sz w:val="20"/>
                <w:szCs w:val="20"/>
              </w:rPr>
              <w:t>Background – study aim; Methods – Phase 2: Content validation; Delphi technique</w:t>
            </w:r>
          </w:p>
        </w:tc>
        <w:tc>
          <w:tcPr>
            <w:tcW w:w="7082" w:type="dxa"/>
          </w:tcPr>
          <w:p w14:paraId="3A421021" w14:textId="6522EBF4" w:rsidR="00A166FD" w:rsidRPr="00344CBB" w:rsidRDefault="00575EC3"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44CBB">
              <w:rPr>
                <w:sz w:val="20"/>
                <w:szCs w:val="20"/>
              </w:rPr>
              <w:t>The Delphi technique was used as a structured and iterative method to obtain expert evaluation of item relevance, clarity and acceptability and to guide item refinement during content validation. Its role within the broader instrument-development process is described in the manuscript.</w:t>
            </w:r>
          </w:p>
        </w:tc>
      </w:tr>
      <w:tr w:rsidR="005B6C2B" w:rsidRPr="00344CBB" w14:paraId="4333D29F" w14:textId="77777777" w:rsidTr="000B046C">
        <w:tc>
          <w:tcPr>
            <w:cnfStyle w:val="001000000000" w:firstRow="0" w:lastRow="0" w:firstColumn="1" w:lastColumn="0" w:oddVBand="0" w:evenVBand="0" w:oddHBand="0" w:evenHBand="0" w:firstRowFirstColumn="0" w:firstRowLastColumn="0" w:lastRowFirstColumn="0" w:lastRowLastColumn="0"/>
            <w:tcW w:w="1838" w:type="dxa"/>
            <w:vMerge w:val="restart"/>
          </w:tcPr>
          <w:p w14:paraId="4A6CF91D" w14:textId="7B589A35" w:rsidR="005B6C2B" w:rsidRPr="00344CBB" w:rsidRDefault="005B6C2B" w:rsidP="002E33C5">
            <w:pPr>
              <w:spacing w:after="120" w:line="240" w:lineRule="auto"/>
              <w:rPr>
                <w:sz w:val="20"/>
              </w:rPr>
            </w:pPr>
            <w:r w:rsidRPr="00344CBB">
              <w:rPr>
                <w:sz w:val="20"/>
              </w:rPr>
              <w:t>Planning and design</w:t>
            </w:r>
          </w:p>
        </w:tc>
        <w:tc>
          <w:tcPr>
            <w:tcW w:w="1701" w:type="dxa"/>
          </w:tcPr>
          <w:p w14:paraId="72B39386" w14:textId="686758AE" w:rsidR="005B6C2B" w:rsidRPr="00344CBB" w:rsidRDefault="005B6C2B"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rPr>
            </w:pPr>
            <w:r w:rsidRPr="00344CBB">
              <w:rPr>
                <w:sz w:val="20"/>
              </w:rPr>
              <w:t>Planning and process</w:t>
            </w:r>
          </w:p>
        </w:tc>
        <w:tc>
          <w:tcPr>
            <w:tcW w:w="3544" w:type="dxa"/>
          </w:tcPr>
          <w:p w14:paraId="519D9F95" w14:textId="33E131FD" w:rsidR="005B6C2B" w:rsidRPr="00344CBB" w:rsidRDefault="006139B1"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44CBB">
              <w:rPr>
                <w:sz w:val="20"/>
                <w:szCs w:val="20"/>
              </w:rPr>
              <w:t>Methods – Phase 2: Delphi technique; Data collection; Data analysis</w:t>
            </w:r>
          </w:p>
        </w:tc>
        <w:tc>
          <w:tcPr>
            <w:tcW w:w="7082" w:type="dxa"/>
          </w:tcPr>
          <w:p w14:paraId="26FFED00" w14:textId="2E4EA8C3" w:rsidR="005B6C2B" w:rsidRPr="00344CBB" w:rsidRDefault="00DC4C96"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44CBB">
              <w:rPr>
                <w:sz w:val="20"/>
                <w:szCs w:val="20"/>
              </w:rPr>
              <w:t>The manuscript describes the iterative Delphi process, progression of items between rounds, between-round feedback, re-evaluation of revised or unresolved items and content-related stopping criteria. CREDES was applied retrospectively for reporting purposes rather than as a prospective study-planning framework.</w:t>
            </w:r>
          </w:p>
        </w:tc>
      </w:tr>
      <w:tr w:rsidR="005B6C2B" w:rsidRPr="00344CBB" w14:paraId="30A8508F" w14:textId="77777777" w:rsidTr="000B046C">
        <w:tc>
          <w:tcPr>
            <w:cnfStyle w:val="001000000000" w:firstRow="0" w:lastRow="0" w:firstColumn="1" w:lastColumn="0" w:oddVBand="0" w:evenVBand="0" w:oddHBand="0" w:evenHBand="0" w:firstRowFirstColumn="0" w:firstRowLastColumn="0" w:lastRowFirstColumn="0" w:lastRowLastColumn="0"/>
            <w:tcW w:w="1838" w:type="dxa"/>
            <w:vMerge/>
          </w:tcPr>
          <w:p w14:paraId="3623EB63" w14:textId="77777777" w:rsidR="005B6C2B" w:rsidRPr="00344CBB" w:rsidRDefault="005B6C2B" w:rsidP="002E33C5">
            <w:pPr>
              <w:spacing w:after="120" w:line="240" w:lineRule="auto"/>
              <w:rPr>
                <w:sz w:val="20"/>
              </w:rPr>
            </w:pPr>
          </w:p>
        </w:tc>
        <w:tc>
          <w:tcPr>
            <w:tcW w:w="1701" w:type="dxa"/>
          </w:tcPr>
          <w:p w14:paraId="2A3CD53F" w14:textId="685A7EB6" w:rsidR="005B6C2B" w:rsidRPr="00344CBB" w:rsidRDefault="005B6C2B"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rPr>
            </w:pPr>
            <w:r w:rsidRPr="00344CBB">
              <w:rPr>
                <w:sz w:val="20"/>
              </w:rPr>
              <w:t>Definition of consensus</w:t>
            </w:r>
          </w:p>
        </w:tc>
        <w:tc>
          <w:tcPr>
            <w:tcW w:w="3544" w:type="dxa"/>
          </w:tcPr>
          <w:p w14:paraId="1B0A15B3" w14:textId="5538B584" w:rsidR="005B6C2B" w:rsidRPr="00344CBB" w:rsidRDefault="00F82C44"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44CBB">
              <w:rPr>
                <w:sz w:val="20"/>
                <w:szCs w:val="20"/>
              </w:rPr>
              <w:t>Methods – Phase 2: Data collection</w:t>
            </w:r>
            <w:r w:rsidR="00897C4B" w:rsidRPr="00344CBB">
              <w:rPr>
                <w:sz w:val="20"/>
                <w:szCs w:val="20"/>
              </w:rPr>
              <w:t xml:space="preserve">; </w:t>
            </w:r>
            <w:r w:rsidRPr="00344CBB">
              <w:rPr>
                <w:sz w:val="20"/>
                <w:szCs w:val="20"/>
              </w:rPr>
              <w:t>Data analysis</w:t>
            </w:r>
          </w:p>
        </w:tc>
        <w:tc>
          <w:tcPr>
            <w:tcW w:w="7082" w:type="dxa"/>
          </w:tcPr>
          <w:p w14:paraId="6CEF3A9B" w14:textId="720F9334" w:rsidR="005B6C2B" w:rsidRPr="00344CBB" w:rsidRDefault="00085EFA"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44CBB">
              <w:rPr>
                <w:sz w:val="20"/>
                <w:szCs w:val="20"/>
              </w:rPr>
              <w:t>Consensus was defined a priori as ≥75% of participating experts rating an item 5 or 6 for relevance, clarity and acceptability. A median relevance score of ≥4 was used as a supplementary criterion. Item-level content-validity indices were also calculated, while modified kappa and S-CVI/Ave were used as complementary content-validity statistics. The stopping criteria for the Delphi process are reported.</w:t>
            </w:r>
          </w:p>
        </w:tc>
      </w:tr>
      <w:tr w:rsidR="00A833AC" w:rsidRPr="00344CBB" w14:paraId="139D38C7" w14:textId="77777777" w:rsidTr="000B046C">
        <w:tc>
          <w:tcPr>
            <w:cnfStyle w:val="001000000000" w:firstRow="0" w:lastRow="0" w:firstColumn="1" w:lastColumn="0" w:oddVBand="0" w:evenVBand="0" w:oddHBand="0" w:evenHBand="0" w:firstRowFirstColumn="0" w:firstRowLastColumn="0" w:lastRowFirstColumn="0" w:lastRowLastColumn="0"/>
            <w:tcW w:w="1838" w:type="dxa"/>
            <w:vMerge w:val="restart"/>
          </w:tcPr>
          <w:p w14:paraId="4427485A" w14:textId="3601EA95" w:rsidR="00A833AC" w:rsidRPr="00344CBB" w:rsidRDefault="00A833AC" w:rsidP="002E33C5">
            <w:pPr>
              <w:spacing w:after="120" w:line="240" w:lineRule="auto"/>
              <w:rPr>
                <w:sz w:val="20"/>
              </w:rPr>
            </w:pPr>
            <w:r w:rsidRPr="00344CBB">
              <w:rPr>
                <w:sz w:val="20"/>
              </w:rPr>
              <w:t>Study conduct</w:t>
            </w:r>
          </w:p>
        </w:tc>
        <w:tc>
          <w:tcPr>
            <w:tcW w:w="1701" w:type="dxa"/>
          </w:tcPr>
          <w:p w14:paraId="7422938A" w14:textId="50C5FF66" w:rsidR="00A833AC" w:rsidRPr="00344CBB" w:rsidRDefault="00A833AC"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rPr>
            </w:pPr>
            <w:r w:rsidRPr="00344CBB">
              <w:rPr>
                <w:sz w:val="20"/>
              </w:rPr>
              <w:t>Informational input</w:t>
            </w:r>
          </w:p>
        </w:tc>
        <w:tc>
          <w:tcPr>
            <w:tcW w:w="3544" w:type="dxa"/>
          </w:tcPr>
          <w:p w14:paraId="320F8CB2" w14:textId="14FA9B2C" w:rsidR="00A833AC" w:rsidRPr="00344CBB" w:rsidRDefault="00A833AC"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44CBB">
              <w:rPr>
                <w:sz w:val="20"/>
                <w:szCs w:val="20"/>
              </w:rPr>
              <w:t>Methods – Phase 1: Instrument development; Phase 2: Data collection</w:t>
            </w:r>
          </w:p>
        </w:tc>
        <w:tc>
          <w:tcPr>
            <w:tcW w:w="7082" w:type="dxa"/>
          </w:tcPr>
          <w:p w14:paraId="19956700" w14:textId="16ED19FD" w:rsidR="00A833AC" w:rsidRPr="00344CBB" w:rsidRDefault="003C2C40"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44CBB">
              <w:rPr>
                <w:sz w:val="20"/>
                <w:szCs w:val="20"/>
              </w:rPr>
              <w:t>The initial item set was informed by the literature and a structured expert consensus process. The manuscript describes the information provided to participants between Delphi rounds and how revised items were presented for re-evaluation. Formal pilot testing of the Delphi questionnaire or feedback materials was not conducted.</w:t>
            </w:r>
          </w:p>
        </w:tc>
      </w:tr>
      <w:tr w:rsidR="00A833AC" w:rsidRPr="00344CBB" w14:paraId="6DA490D0" w14:textId="77777777" w:rsidTr="000B046C">
        <w:tc>
          <w:tcPr>
            <w:cnfStyle w:val="001000000000" w:firstRow="0" w:lastRow="0" w:firstColumn="1" w:lastColumn="0" w:oddVBand="0" w:evenVBand="0" w:oddHBand="0" w:evenHBand="0" w:firstRowFirstColumn="0" w:firstRowLastColumn="0" w:lastRowFirstColumn="0" w:lastRowLastColumn="0"/>
            <w:tcW w:w="1838" w:type="dxa"/>
            <w:vMerge/>
          </w:tcPr>
          <w:p w14:paraId="1197F29A" w14:textId="77777777" w:rsidR="00A833AC" w:rsidRPr="00344CBB" w:rsidRDefault="00A833AC" w:rsidP="002E33C5">
            <w:pPr>
              <w:spacing w:after="120" w:line="240" w:lineRule="auto"/>
              <w:rPr>
                <w:sz w:val="20"/>
              </w:rPr>
            </w:pPr>
          </w:p>
        </w:tc>
        <w:tc>
          <w:tcPr>
            <w:tcW w:w="1701" w:type="dxa"/>
          </w:tcPr>
          <w:p w14:paraId="2CC814A7" w14:textId="6CFF7D50" w:rsidR="00A833AC" w:rsidRPr="00344CBB" w:rsidRDefault="00A833AC"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rPr>
            </w:pPr>
            <w:r w:rsidRPr="00344CBB">
              <w:rPr>
                <w:sz w:val="20"/>
              </w:rPr>
              <w:t>Prevention of bias</w:t>
            </w:r>
          </w:p>
        </w:tc>
        <w:tc>
          <w:tcPr>
            <w:tcW w:w="3544" w:type="dxa"/>
          </w:tcPr>
          <w:p w14:paraId="0D42BC4A" w14:textId="6F5C2DF0" w:rsidR="00A833AC" w:rsidRPr="00344CBB" w:rsidRDefault="00A833AC"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44CBB">
              <w:rPr>
                <w:sz w:val="20"/>
                <w:szCs w:val="20"/>
              </w:rPr>
              <w:t>Methods – Phase 2: Expert panel and Data collection; Declarations – Competing interests</w:t>
            </w:r>
          </w:p>
        </w:tc>
        <w:tc>
          <w:tcPr>
            <w:tcW w:w="7082" w:type="dxa"/>
          </w:tcPr>
          <w:p w14:paraId="543E1B27" w14:textId="1F4F6A6B" w:rsidR="00A833AC" w:rsidRPr="00344CBB" w:rsidRDefault="006D4712"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44CBB">
              <w:rPr>
                <w:sz w:val="20"/>
                <w:szCs w:val="20"/>
              </w:rPr>
              <w:t>Responses were collected anonymously, predefined decision criteria were applied, and none of the Phase 1 experts or study authors participated as Delphi panellists. The manuscript also reports the nature of the feedback provided between rounds. No competing interests were declared.</w:t>
            </w:r>
          </w:p>
        </w:tc>
      </w:tr>
      <w:tr w:rsidR="00A833AC" w:rsidRPr="00344CBB" w14:paraId="09A15C15" w14:textId="77777777" w:rsidTr="000B046C">
        <w:tc>
          <w:tcPr>
            <w:cnfStyle w:val="001000000000" w:firstRow="0" w:lastRow="0" w:firstColumn="1" w:lastColumn="0" w:oddVBand="0" w:evenVBand="0" w:oddHBand="0" w:evenHBand="0" w:firstRowFirstColumn="0" w:firstRowLastColumn="0" w:lastRowFirstColumn="0" w:lastRowLastColumn="0"/>
            <w:tcW w:w="1838" w:type="dxa"/>
            <w:vMerge/>
          </w:tcPr>
          <w:p w14:paraId="5D54801C" w14:textId="77777777" w:rsidR="00A833AC" w:rsidRPr="00344CBB" w:rsidRDefault="00A833AC" w:rsidP="002E33C5">
            <w:pPr>
              <w:spacing w:after="120" w:line="240" w:lineRule="auto"/>
              <w:rPr>
                <w:sz w:val="20"/>
              </w:rPr>
            </w:pPr>
          </w:p>
        </w:tc>
        <w:tc>
          <w:tcPr>
            <w:tcW w:w="1701" w:type="dxa"/>
          </w:tcPr>
          <w:p w14:paraId="7D17E968" w14:textId="39EADDFA" w:rsidR="00A833AC" w:rsidRPr="00344CBB" w:rsidRDefault="00A833AC"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rPr>
            </w:pPr>
            <w:r w:rsidRPr="00344CBB">
              <w:rPr>
                <w:sz w:val="20"/>
              </w:rPr>
              <w:t>Interpretation and processing of results</w:t>
            </w:r>
          </w:p>
        </w:tc>
        <w:tc>
          <w:tcPr>
            <w:tcW w:w="3544" w:type="dxa"/>
          </w:tcPr>
          <w:p w14:paraId="0DC39874" w14:textId="4BC9F53E" w:rsidR="00A833AC" w:rsidRPr="00344CBB" w:rsidRDefault="00A833AC"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44CBB">
              <w:rPr>
                <w:sz w:val="20"/>
                <w:szCs w:val="20"/>
              </w:rPr>
              <w:t>Methods – Phase 2: Data analysis; Results – Phase 2; Discussion; Strengths and limitations</w:t>
            </w:r>
          </w:p>
        </w:tc>
        <w:tc>
          <w:tcPr>
            <w:tcW w:w="7082" w:type="dxa"/>
          </w:tcPr>
          <w:p w14:paraId="23BC4B4C" w14:textId="79DAAA7F" w:rsidR="00A833AC" w:rsidRPr="00344CBB" w:rsidRDefault="00A0710C"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44CBB">
              <w:rPr>
                <w:sz w:val="20"/>
                <w:szCs w:val="20"/>
              </w:rPr>
              <w:t>Quantitative ratings and qualitative comments were considered jointly, and items could be revised even when quantitative criteria had been met. The manuscript distinguishes agreement among the experts participating in a given round from longitudinal convergence among the same individuals. Non-consensus informed item revision or deletion, and no unresolved content-related disagreement remained at the end of the Delphi process.</w:t>
            </w:r>
          </w:p>
        </w:tc>
      </w:tr>
      <w:tr w:rsidR="00A833AC" w:rsidRPr="00344CBB" w14:paraId="6E216FBD" w14:textId="77777777" w:rsidTr="000B046C">
        <w:tc>
          <w:tcPr>
            <w:cnfStyle w:val="001000000000" w:firstRow="0" w:lastRow="0" w:firstColumn="1" w:lastColumn="0" w:oddVBand="0" w:evenVBand="0" w:oddHBand="0" w:evenHBand="0" w:firstRowFirstColumn="0" w:firstRowLastColumn="0" w:lastRowFirstColumn="0" w:lastRowLastColumn="0"/>
            <w:tcW w:w="1838" w:type="dxa"/>
            <w:vMerge/>
          </w:tcPr>
          <w:p w14:paraId="05D1DA82" w14:textId="77777777" w:rsidR="00A833AC" w:rsidRPr="00344CBB" w:rsidRDefault="00A833AC" w:rsidP="002E33C5">
            <w:pPr>
              <w:spacing w:after="120" w:line="240" w:lineRule="auto"/>
              <w:rPr>
                <w:sz w:val="20"/>
              </w:rPr>
            </w:pPr>
          </w:p>
        </w:tc>
        <w:tc>
          <w:tcPr>
            <w:tcW w:w="1701" w:type="dxa"/>
          </w:tcPr>
          <w:p w14:paraId="5EB866D8" w14:textId="67CB8A5A" w:rsidR="00A833AC" w:rsidRPr="00344CBB" w:rsidRDefault="00A833AC"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rPr>
            </w:pPr>
            <w:r w:rsidRPr="00344CBB">
              <w:rPr>
                <w:sz w:val="20"/>
              </w:rPr>
              <w:t>External validation</w:t>
            </w:r>
          </w:p>
        </w:tc>
        <w:tc>
          <w:tcPr>
            <w:tcW w:w="3544" w:type="dxa"/>
          </w:tcPr>
          <w:p w14:paraId="634E6075" w14:textId="62C2AF76" w:rsidR="00A833AC" w:rsidRPr="00344CBB" w:rsidRDefault="00A833AC"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44CBB">
              <w:rPr>
                <w:sz w:val="20"/>
                <w:szCs w:val="20"/>
              </w:rPr>
              <w:t>No direct equivalent in the present Delphi phase</w:t>
            </w:r>
          </w:p>
        </w:tc>
        <w:tc>
          <w:tcPr>
            <w:tcW w:w="7082" w:type="dxa"/>
          </w:tcPr>
          <w:p w14:paraId="50D7493C" w14:textId="74A23B6C" w:rsidR="00A833AC" w:rsidRPr="00344CBB" w:rsidRDefault="0085057D"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44CBB">
              <w:rPr>
                <w:sz w:val="20"/>
                <w:szCs w:val="20"/>
              </w:rPr>
              <w:t>In the original CREDES framework, external validation refers to independent review or endorsement of resulting practice guidance. The present study concerned instrument development and content validation rather than development of practice guidance. Subsequent pilot testing and planned further psychometric validation are reported separately and are not presented as equivalent to external endorsement.</w:t>
            </w:r>
          </w:p>
        </w:tc>
      </w:tr>
      <w:tr w:rsidR="00A833AC" w:rsidRPr="00344CBB" w14:paraId="06AAB26C" w14:textId="77777777" w:rsidTr="000B046C">
        <w:tc>
          <w:tcPr>
            <w:cnfStyle w:val="001000000000" w:firstRow="0" w:lastRow="0" w:firstColumn="1" w:lastColumn="0" w:oddVBand="0" w:evenVBand="0" w:oddHBand="0" w:evenHBand="0" w:firstRowFirstColumn="0" w:firstRowLastColumn="0" w:lastRowFirstColumn="0" w:lastRowLastColumn="0"/>
            <w:tcW w:w="1838" w:type="dxa"/>
            <w:vMerge w:val="restart"/>
          </w:tcPr>
          <w:p w14:paraId="4D396140" w14:textId="24001458" w:rsidR="00A833AC" w:rsidRPr="00344CBB" w:rsidRDefault="00A833AC" w:rsidP="002E33C5">
            <w:pPr>
              <w:spacing w:after="120" w:line="240" w:lineRule="auto"/>
              <w:rPr>
                <w:sz w:val="20"/>
              </w:rPr>
            </w:pPr>
            <w:r w:rsidRPr="00344CBB">
              <w:rPr>
                <w:sz w:val="20"/>
              </w:rPr>
              <w:t>Reporting</w:t>
            </w:r>
          </w:p>
        </w:tc>
        <w:tc>
          <w:tcPr>
            <w:tcW w:w="1701" w:type="dxa"/>
          </w:tcPr>
          <w:p w14:paraId="2D54C2EC" w14:textId="5B4DCD7B" w:rsidR="00A833AC" w:rsidRPr="00344CBB" w:rsidRDefault="00A833AC"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rPr>
            </w:pPr>
            <w:r w:rsidRPr="00344CBB">
              <w:rPr>
                <w:sz w:val="20"/>
              </w:rPr>
              <w:t>Purpose and rationale</w:t>
            </w:r>
          </w:p>
        </w:tc>
        <w:tc>
          <w:tcPr>
            <w:tcW w:w="3544" w:type="dxa"/>
          </w:tcPr>
          <w:p w14:paraId="27C69614" w14:textId="42CBB8A5" w:rsidR="00A833AC" w:rsidRPr="00344CBB" w:rsidRDefault="00A833AC"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44CBB">
              <w:rPr>
                <w:sz w:val="20"/>
                <w:szCs w:val="20"/>
              </w:rPr>
              <w:t>Background – aim and objectives; Methods – Design and Phase 2: Content validation/Delphi technique</w:t>
            </w:r>
          </w:p>
        </w:tc>
        <w:tc>
          <w:tcPr>
            <w:tcW w:w="7082" w:type="dxa"/>
          </w:tcPr>
          <w:p w14:paraId="0878358A" w14:textId="5C2CDEB0" w:rsidR="00A833AC" w:rsidRPr="00344CBB" w:rsidRDefault="00017B3A"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44CBB">
              <w:rPr>
                <w:sz w:val="20"/>
                <w:szCs w:val="20"/>
              </w:rPr>
              <w:t>The overall study aim and the specific purpose of the Delphi phase are clearly described. The Delphi process was used to obtain structured expert evaluation and iterative refinement of the developing instrument as part of the content-validation process.</w:t>
            </w:r>
          </w:p>
        </w:tc>
      </w:tr>
      <w:tr w:rsidR="00A833AC" w:rsidRPr="00344CBB" w14:paraId="7F26335C" w14:textId="77777777" w:rsidTr="000B046C">
        <w:tc>
          <w:tcPr>
            <w:cnfStyle w:val="001000000000" w:firstRow="0" w:lastRow="0" w:firstColumn="1" w:lastColumn="0" w:oddVBand="0" w:evenVBand="0" w:oddHBand="0" w:evenHBand="0" w:firstRowFirstColumn="0" w:firstRowLastColumn="0" w:lastRowFirstColumn="0" w:lastRowLastColumn="0"/>
            <w:tcW w:w="1838" w:type="dxa"/>
            <w:vMerge/>
          </w:tcPr>
          <w:p w14:paraId="271034B0" w14:textId="77777777" w:rsidR="00A833AC" w:rsidRPr="00344CBB" w:rsidRDefault="00A833AC" w:rsidP="002E33C5">
            <w:pPr>
              <w:spacing w:after="120" w:line="240" w:lineRule="auto"/>
              <w:rPr>
                <w:sz w:val="20"/>
              </w:rPr>
            </w:pPr>
          </w:p>
        </w:tc>
        <w:tc>
          <w:tcPr>
            <w:tcW w:w="1701" w:type="dxa"/>
          </w:tcPr>
          <w:p w14:paraId="33C20A25" w14:textId="78C46613" w:rsidR="00A833AC" w:rsidRPr="00344CBB" w:rsidRDefault="00A833AC"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rPr>
            </w:pPr>
            <w:r w:rsidRPr="00344CBB">
              <w:rPr>
                <w:sz w:val="20"/>
              </w:rPr>
              <w:t>Expert panel</w:t>
            </w:r>
          </w:p>
        </w:tc>
        <w:tc>
          <w:tcPr>
            <w:tcW w:w="3544" w:type="dxa"/>
          </w:tcPr>
          <w:p w14:paraId="360C0ED9" w14:textId="4623C190" w:rsidR="00A833AC" w:rsidRPr="00344CBB" w:rsidRDefault="00A833AC"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44CBB">
              <w:rPr>
                <w:sz w:val="20"/>
                <w:szCs w:val="20"/>
              </w:rPr>
              <w:t>Methods – Phase 2: Expert panel and Data collection; Results – Phase 2: Participants; Table 1</w:t>
            </w:r>
          </w:p>
        </w:tc>
        <w:tc>
          <w:tcPr>
            <w:tcW w:w="7082" w:type="dxa"/>
          </w:tcPr>
          <w:p w14:paraId="07A279C5" w14:textId="6A9D3951" w:rsidR="00A833AC" w:rsidRPr="00344CBB" w:rsidRDefault="003A2B10"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44CBB">
              <w:rPr>
                <w:sz w:val="20"/>
                <w:szCs w:val="20"/>
              </w:rPr>
              <w:t>The manuscript reports purposive recruitment, eligibility criteria, professional settings, experience requirements, invited panel size, participation and response rates per round, and panel characteristics. Reasons for non-response were unavailable and are reported as such.</w:t>
            </w:r>
          </w:p>
        </w:tc>
      </w:tr>
      <w:tr w:rsidR="00A833AC" w:rsidRPr="00344CBB" w14:paraId="5806A5FE" w14:textId="77777777" w:rsidTr="000B046C">
        <w:tc>
          <w:tcPr>
            <w:cnfStyle w:val="001000000000" w:firstRow="0" w:lastRow="0" w:firstColumn="1" w:lastColumn="0" w:oddVBand="0" w:evenVBand="0" w:oddHBand="0" w:evenHBand="0" w:firstRowFirstColumn="0" w:firstRowLastColumn="0" w:lastRowFirstColumn="0" w:lastRowLastColumn="0"/>
            <w:tcW w:w="1838" w:type="dxa"/>
            <w:vMerge/>
          </w:tcPr>
          <w:p w14:paraId="39EDFD24" w14:textId="77777777" w:rsidR="00A833AC" w:rsidRPr="00344CBB" w:rsidRDefault="00A833AC" w:rsidP="002E33C5">
            <w:pPr>
              <w:spacing w:after="120" w:line="240" w:lineRule="auto"/>
              <w:rPr>
                <w:sz w:val="20"/>
              </w:rPr>
            </w:pPr>
          </w:p>
        </w:tc>
        <w:tc>
          <w:tcPr>
            <w:tcW w:w="1701" w:type="dxa"/>
          </w:tcPr>
          <w:p w14:paraId="7A15260A" w14:textId="06E2C764" w:rsidR="00A833AC" w:rsidRPr="00344CBB" w:rsidRDefault="00A833AC"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rPr>
            </w:pPr>
            <w:r w:rsidRPr="00344CBB">
              <w:rPr>
                <w:sz w:val="20"/>
              </w:rPr>
              <w:t>Description of the methods</w:t>
            </w:r>
          </w:p>
        </w:tc>
        <w:tc>
          <w:tcPr>
            <w:tcW w:w="3544" w:type="dxa"/>
          </w:tcPr>
          <w:p w14:paraId="18615747" w14:textId="519AA3DD" w:rsidR="00A833AC" w:rsidRPr="00344CBB" w:rsidRDefault="00A833AC"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44CBB">
              <w:rPr>
                <w:sz w:val="20"/>
                <w:szCs w:val="20"/>
              </w:rPr>
              <w:t xml:space="preserve">Methods – Phase 1: Instrument development; Phase 2: Delphi technique, Expert panel, Data collection and Data analysis; Additional file </w:t>
            </w:r>
            <w:r w:rsidR="003C1136" w:rsidRPr="00344CBB">
              <w:rPr>
                <w:sz w:val="20"/>
                <w:szCs w:val="20"/>
              </w:rPr>
              <w:t>3</w:t>
            </w:r>
          </w:p>
        </w:tc>
        <w:tc>
          <w:tcPr>
            <w:tcW w:w="7082" w:type="dxa"/>
          </w:tcPr>
          <w:p w14:paraId="695E0C31" w14:textId="6ED4F0F7" w:rsidR="00A833AC" w:rsidRPr="00344CBB" w:rsidRDefault="00216152"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44CBB">
              <w:rPr>
                <w:sz w:val="20"/>
                <w:szCs w:val="20"/>
              </w:rPr>
              <w:t>The manuscript describes the preparatory literature-informed instrument development, response format, number and structure of rounds, consensus criteria, qualitative feedback, quantitative analyses, between-round processing and methodological decisions. Formal pilot testing of the Delphi questionnaire and feedback materials was not conducted.</w:t>
            </w:r>
          </w:p>
        </w:tc>
      </w:tr>
      <w:tr w:rsidR="00A833AC" w:rsidRPr="00344CBB" w14:paraId="5A142E81" w14:textId="77777777" w:rsidTr="000B046C">
        <w:tc>
          <w:tcPr>
            <w:cnfStyle w:val="001000000000" w:firstRow="0" w:lastRow="0" w:firstColumn="1" w:lastColumn="0" w:oddVBand="0" w:evenVBand="0" w:oddHBand="0" w:evenHBand="0" w:firstRowFirstColumn="0" w:firstRowLastColumn="0" w:lastRowFirstColumn="0" w:lastRowLastColumn="0"/>
            <w:tcW w:w="1838" w:type="dxa"/>
            <w:vMerge/>
          </w:tcPr>
          <w:p w14:paraId="7EBC766C" w14:textId="77777777" w:rsidR="00A833AC" w:rsidRPr="00344CBB" w:rsidRDefault="00A833AC" w:rsidP="002E33C5">
            <w:pPr>
              <w:spacing w:after="120" w:line="240" w:lineRule="auto"/>
              <w:rPr>
                <w:sz w:val="20"/>
              </w:rPr>
            </w:pPr>
          </w:p>
        </w:tc>
        <w:tc>
          <w:tcPr>
            <w:tcW w:w="1701" w:type="dxa"/>
          </w:tcPr>
          <w:p w14:paraId="1F180F89" w14:textId="732531B3" w:rsidR="00A833AC" w:rsidRPr="00344CBB" w:rsidRDefault="00A833AC"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rPr>
            </w:pPr>
            <w:r w:rsidRPr="00344CBB">
              <w:rPr>
                <w:sz w:val="20"/>
              </w:rPr>
              <w:t>Procedure</w:t>
            </w:r>
          </w:p>
        </w:tc>
        <w:tc>
          <w:tcPr>
            <w:tcW w:w="3544" w:type="dxa"/>
          </w:tcPr>
          <w:p w14:paraId="7918CFCF" w14:textId="274750F2" w:rsidR="00A833AC" w:rsidRPr="00344CBB" w:rsidRDefault="00A833AC"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44CBB">
              <w:rPr>
                <w:sz w:val="20"/>
                <w:szCs w:val="20"/>
              </w:rPr>
              <w:t xml:space="preserve">Figure 1; Results – Phase 2: Table 2; Additional file </w:t>
            </w:r>
            <w:r w:rsidR="003C1136" w:rsidRPr="00344CBB">
              <w:rPr>
                <w:sz w:val="20"/>
                <w:szCs w:val="20"/>
              </w:rPr>
              <w:t>3</w:t>
            </w:r>
          </w:p>
        </w:tc>
        <w:tc>
          <w:tcPr>
            <w:tcW w:w="7082" w:type="dxa"/>
          </w:tcPr>
          <w:p w14:paraId="47E93E9F" w14:textId="655444A8" w:rsidR="00A833AC" w:rsidRPr="00344CBB" w:rsidRDefault="008972E6"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44CBB">
              <w:rPr>
                <w:sz w:val="20"/>
                <w:szCs w:val="20"/>
              </w:rPr>
              <w:t xml:space="preserve">Figure 1 presents the overall study design, Table 2 summarises the number of items evaluated and the decisions taken in each Delphi round, and Additional file </w:t>
            </w:r>
            <w:r w:rsidR="003C1136" w:rsidRPr="00344CBB">
              <w:rPr>
                <w:sz w:val="20"/>
                <w:szCs w:val="20"/>
              </w:rPr>
              <w:t>3</w:t>
            </w:r>
            <w:r w:rsidRPr="00344CBB">
              <w:rPr>
                <w:sz w:val="20"/>
                <w:szCs w:val="20"/>
              </w:rPr>
              <w:t xml:space="preserve"> provides detailed item-level progression. Together, these provide an overview of the Delphi procedure. No separate Delphi-specific flowchart was included.</w:t>
            </w:r>
          </w:p>
        </w:tc>
      </w:tr>
      <w:tr w:rsidR="00A833AC" w:rsidRPr="00344CBB" w14:paraId="0C126072" w14:textId="77777777" w:rsidTr="000B046C">
        <w:tc>
          <w:tcPr>
            <w:cnfStyle w:val="001000000000" w:firstRow="0" w:lastRow="0" w:firstColumn="1" w:lastColumn="0" w:oddVBand="0" w:evenVBand="0" w:oddHBand="0" w:evenHBand="0" w:firstRowFirstColumn="0" w:firstRowLastColumn="0" w:lastRowFirstColumn="0" w:lastRowLastColumn="0"/>
            <w:tcW w:w="1838" w:type="dxa"/>
            <w:vMerge/>
          </w:tcPr>
          <w:p w14:paraId="7082BFA6" w14:textId="77777777" w:rsidR="00A833AC" w:rsidRPr="00344CBB" w:rsidRDefault="00A833AC" w:rsidP="002E33C5">
            <w:pPr>
              <w:spacing w:after="120" w:line="240" w:lineRule="auto"/>
              <w:rPr>
                <w:sz w:val="20"/>
              </w:rPr>
            </w:pPr>
          </w:p>
        </w:tc>
        <w:tc>
          <w:tcPr>
            <w:tcW w:w="1701" w:type="dxa"/>
          </w:tcPr>
          <w:p w14:paraId="62FF271B" w14:textId="1D443BAD" w:rsidR="00A833AC" w:rsidRPr="00344CBB" w:rsidRDefault="00A833AC"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rPr>
            </w:pPr>
            <w:r w:rsidRPr="00344CBB">
              <w:rPr>
                <w:sz w:val="20"/>
              </w:rPr>
              <w:t>Definition and attainment of consensus</w:t>
            </w:r>
          </w:p>
        </w:tc>
        <w:tc>
          <w:tcPr>
            <w:tcW w:w="3544" w:type="dxa"/>
          </w:tcPr>
          <w:p w14:paraId="718C34E9" w14:textId="7E82EE87" w:rsidR="00A833AC" w:rsidRPr="00344CBB" w:rsidRDefault="00A833AC"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44CBB">
              <w:rPr>
                <w:sz w:val="20"/>
                <w:szCs w:val="20"/>
              </w:rPr>
              <w:t>Methods – Phase 2: Data collection and Data analysis; Results – Phase 2: Delphi technique; Table 2</w:t>
            </w:r>
          </w:p>
        </w:tc>
        <w:tc>
          <w:tcPr>
            <w:tcW w:w="7082" w:type="dxa"/>
          </w:tcPr>
          <w:p w14:paraId="2AD6C362" w14:textId="0F6123DC" w:rsidR="00A833AC" w:rsidRPr="00344CBB" w:rsidRDefault="00FA65E1"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44CBB">
              <w:rPr>
                <w:sz w:val="20"/>
                <w:szCs w:val="20"/>
              </w:rPr>
              <w:t>The predefined consensus and retention criteria, handling of revised or unresolved items and stopping criteria are reported. Results are presented separately by round. Because participation was anonymous, consensus is interpreted as agreement among the experts participating in the relevant round rather than as longitudinal convergence among the same individuals.</w:t>
            </w:r>
          </w:p>
        </w:tc>
      </w:tr>
      <w:tr w:rsidR="00A833AC" w:rsidRPr="00344CBB" w14:paraId="390E924A" w14:textId="77777777" w:rsidTr="000B046C">
        <w:tc>
          <w:tcPr>
            <w:cnfStyle w:val="001000000000" w:firstRow="0" w:lastRow="0" w:firstColumn="1" w:lastColumn="0" w:oddVBand="0" w:evenVBand="0" w:oddHBand="0" w:evenHBand="0" w:firstRowFirstColumn="0" w:firstRowLastColumn="0" w:lastRowFirstColumn="0" w:lastRowLastColumn="0"/>
            <w:tcW w:w="1838" w:type="dxa"/>
            <w:vMerge/>
          </w:tcPr>
          <w:p w14:paraId="221F9CA8" w14:textId="77777777" w:rsidR="00A833AC" w:rsidRPr="00344CBB" w:rsidRDefault="00A833AC" w:rsidP="002E33C5">
            <w:pPr>
              <w:spacing w:after="120" w:line="240" w:lineRule="auto"/>
              <w:rPr>
                <w:sz w:val="20"/>
              </w:rPr>
            </w:pPr>
          </w:p>
        </w:tc>
        <w:tc>
          <w:tcPr>
            <w:tcW w:w="1701" w:type="dxa"/>
          </w:tcPr>
          <w:p w14:paraId="31C99B58" w14:textId="48E07993" w:rsidR="00A833AC" w:rsidRPr="00344CBB" w:rsidRDefault="00A833AC"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rPr>
            </w:pPr>
            <w:r w:rsidRPr="00344CBB">
              <w:rPr>
                <w:sz w:val="20"/>
              </w:rPr>
              <w:t>Results</w:t>
            </w:r>
          </w:p>
        </w:tc>
        <w:tc>
          <w:tcPr>
            <w:tcW w:w="3544" w:type="dxa"/>
          </w:tcPr>
          <w:p w14:paraId="1E594F4B" w14:textId="70A29635" w:rsidR="00A833AC" w:rsidRPr="00344CBB" w:rsidRDefault="00A833AC"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44CBB">
              <w:rPr>
                <w:sz w:val="20"/>
                <w:szCs w:val="20"/>
              </w:rPr>
              <w:t xml:space="preserve">Results – Phase 2: Participants, Delphi technique and Content validity; Tables 1, 2 and 4; Additional file </w:t>
            </w:r>
            <w:r w:rsidR="003C1136" w:rsidRPr="00344CBB">
              <w:rPr>
                <w:sz w:val="20"/>
                <w:szCs w:val="20"/>
              </w:rPr>
              <w:t>3</w:t>
            </w:r>
          </w:p>
        </w:tc>
        <w:tc>
          <w:tcPr>
            <w:tcW w:w="7082" w:type="dxa"/>
          </w:tcPr>
          <w:p w14:paraId="6343BF4B" w14:textId="706FA70A" w:rsidR="00A833AC" w:rsidRPr="00344CBB" w:rsidRDefault="003E7751"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44CBB">
              <w:rPr>
                <w:sz w:val="20"/>
                <w:szCs w:val="20"/>
              </w:rPr>
              <w:t xml:space="preserve">Results are reported separately for rounds 1, 2 and 3, including item retention, revision, deletion and re-evaluation. Table 2 summarises progression across rounds, Additional file </w:t>
            </w:r>
            <w:r w:rsidR="003C1136" w:rsidRPr="00344CBB">
              <w:rPr>
                <w:sz w:val="20"/>
                <w:szCs w:val="20"/>
              </w:rPr>
              <w:t>3</w:t>
            </w:r>
            <w:r w:rsidRPr="00344CBB">
              <w:rPr>
                <w:sz w:val="20"/>
                <w:szCs w:val="20"/>
              </w:rPr>
              <w:t xml:space="preserve"> provides detailed item-level relevance, clarity and acceptability ratings and corresponding actions, and Table 4 reports final I-CVI and modified kappa values.</w:t>
            </w:r>
          </w:p>
        </w:tc>
      </w:tr>
      <w:tr w:rsidR="00A833AC" w:rsidRPr="00344CBB" w14:paraId="72437347" w14:textId="77777777" w:rsidTr="000B046C">
        <w:tc>
          <w:tcPr>
            <w:cnfStyle w:val="001000000000" w:firstRow="0" w:lastRow="0" w:firstColumn="1" w:lastColumn="0" w:oddVBand="0" w:evenVBand="0" w:oddHBand="0" w:evenHBand="0" w:firstRowFirstColumn="0" w:firstRowLastColumn="0" w:lastRowFirstColumn="0" w:lastRowLastColumn="0"/>
            <w:tcW w:w="1838" w:type="dxa"/>
            <w:vMerge/>
          </w:tcPr>
          <w:p w14:paraId="53F852AF" w14:textId="77777777" w:rsidR="00A833AC" w:rsidRPr="00344CBB" w:rsidRDefault="00A833AC" w:rsidP="002E33C5">
            <w:pPr>
              <w:spacing w:after="120" w:line="240" w:lineRule="auto"/>
              <w:rPr>
                <w:sz w:val="20"/>
              </w:rPr>
            </w:pPr>
          </w:p>
        </w:tc>
        <w:tc>
          <w:tcPr>
            <w:tcW w:w="1701" w:type="dxa"/>
          </w:tcPr>
          <w:p w14:paraId="7888F6D0" w14:textId="3940A756" w:rsidR="00A833AC" w:rsidRPr="00344CBB" w:rsidRDefault="00A833AC"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rPr>
            </w:pPr>
            <w:r w:rsidRPr="00344CBB">
              <w:rPr>
                <w:sz w:val="20"/>
              </w:rPr>
              <w:t>Discussion of limitations</w:t>
            </w:r>
          </w:p>
        </w:tc>
        <w:tc>
          <w:tcPr>
            <w:tcW w:w="3544" w:type="dxa"/>
          </w:tcPr>
          <w:p w14:paraId="39717157" w14:textId="2DB3BA1F" w:rsidR="00A833AC" w:rsidRPr="00344CBB" w:rsidRDefault="00A833AC"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44CBB">
              <w:rPr>
                <w:sz w:val="20"/>
                <w:szCs w:val="20"/>
              </w:rPr>
              <w:t>Discussion – Strengths and limitations</w:t>
            </w:r>
          </w:p>
        </w:tc>
        <w:tc>
          <w:tcPr>
            <w:tcW w:w="7082" w:type="dxa"/>
          </w:tcPr>
          <w:p w14:paraId="5015E01C" w14:textId="1DA4078C" w:rsidR="00A833AC" w:rsidRPr="00344CBB" w:rsidRDefault="00D33134"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44CBB">
              <w:rPr>
                <w:sz w:val="20"/>
                <w:szCs w:val="20"/>
              </w:rPr>
              <w:t>The manuscript discusses limitations relevant to interpretation of the Delphi findings, including panel size and setting, anonymous participation and possible variation in panel composition, possible selection bias, available information on delegation-specific expertise, and the distinction between round-specific group agreement and stable-panel convergence. The scope of the content-validity evaluation is also discussed.</w:t>
            </w:r>
          </w:p>
        </w:tc>
      </w:tr>
      <w:tr w:rsidR="00A833AC" w:rsidRPr="00344CBB" w14:paraId="6C0DF433" w14:textId="77777777" w:rsidTr="000B046C">
        <w:tc>
          <w:tcPr>
            <w:cnfStyle w:val="001000000000" w:firstRow="0" w:lastRow="0" w:firstColumn="1" w:lastColumn="0" w:oddVBand="0" w:evenVBand="0" w:oddHBand="0" w:evenHBand="0" w:firstRowFirstColumn="0" w:firstRowLastColumn="0" w:lastRowFirstColumn="0" w:lastRowLastColumn="0"/>
            <w:tcW w:w="1838" w:type="dxa"/>
            <w:vMerge/>
          </w:tcPr>
          <w:p w14:paraId="6FC596C4" w14:textId="77777777" w:rsidR="00A833AC" w:rsidRPr="00344CBB" w:rsidRDefault="00A833AC" w:rsidP="002E33C5">
            <w:pPr>
              <w:spacing w:after="120" w:line="240" w:lineRule="auto"/>
              <w:rPr>
                <w:sz w:val="20"/>
              </w:rPr>
            </w:pPr>
          </w:p>
        </w:tc>
        <w:tc>
          <w:tcPr>
            <w:tcW w:w="1701" w:type="dxa"/>
          </w:tcPr>
          <w:p w14:paraId="0A35D23F" w14:textId="067F0757" w:rsidR="00A833AC" w:rsidRPr="00344CBB" w:rsidRDefault="00A833AC"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rPr>
            </w:pPr>
            <w:r w:rsidRPr="00344CBB">
              <w:rPr>
                <w:sz w:val="20"/>
              </w:rPr>
              <w:t xml:space="preserve">Adequacy of conclusions </w:t>
            </w:r>
          </w:p>
        </w:tc>
        <w:tc>
          <w:tcPr>
            <w:tcW w:w="3544" w:type="dxa"/>
          </w:tcPr>
          <w:p w14:paraId="4DCF63DF" w14:textId="55333BCE" w:rsidR="00A833AC" w:rsidRPr="00344CBB" w:rsidRDefault="00A833AC"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44CBB">
              <w:rPr>
                <w:sz w:val="20"/>
                <w:szCs w:val="20"/>
              </w:rPr>
              <w:t>Discussion; Conclusion</w:t>
            </w:r>
          </w:p>
        </w:tc>
        <w:tc>
          <w:tcPr>
            <w:tcW w:w="7082" w:type="dxa"/>
          </w:tcPr>
          <w:p w14:paraId="28374990" w14:textId="135A7902" w:rsidR="00A833AC" w:rsidRPr="00344CBB" w:rsidRDefault="001A3CDC"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44CBB">
              <w:rPr>
                <w:sz w:val="20"/>
                <w:szCs w:val="20"/>
              </w:rPr>
              <w:t>The conclusions reflect the early stage of instrument validation and distinguish the present evidence regarding content validity and preliminary measurement characteristics from the further structural, construct and clinical validation required before routine use.</w:t>
            </w:r>
          </w:p>
        </w:tc>
      </w:tr>
      <w:tr w:rsidR="00A833AC" w:rsidRPr="00344CBB" w14:paraId="217157EC" w14:textId="77777777" w:rsidTr="000B046C">
        <w:tc>
          <w:tcPr>
            <w:cnfStyle w:val="001000000000" w:firstRow="0" w:lastRow="0" w:firstColumn="1" w:lastColumn="0" w:oddVBand="0" w:evenVBand="0" w:oddHBand="0" w:evenHBand="0" w:firstRowFirstColumn="0" w:firstRowLastColumn="0" w:lastRowFirstColumn="0" w:lastRowLastColumn="0"/>
            <w:tcW w:w="1838" w:type="dxa"/>
            <w:vMerge/>
          </w:tcPr>
          <w:p w14:paraId="2B550F8B" w14:textId="77777777" w:rsidR="00A833AC" w:rsidRPr="00344CBB" w:rsidRDefault="00A833AC" w:rsidP="002E33C5">
            <w:pPr>
              <w:spacing w:after="120" w:line="240" w:lineRule="auto"/>
              <w:rPr>
                <w:sz w:val="20"/>
              </w:rPr>
            </w:pPr>
          </w:p>
        </w:tc>
        <w:tc>
          <w:tcPr>
            <w:tcW w:w="1701" w:type="dxa"/>
          </w:tcPr>
          <w:p w14:paraId="7941FFEA" w14:textId="167685F3" w:rsidR="00A833AC" w:rsidRPr="00344CBB" w:rsidRDefault="00A833AC"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rPr>
            </w:pPr>
            <w:r w:rsidRPr="00344CBB">
              <w:rPr>
                <w:sz w:val="20"/>
              </w:rPr>
              <w:t>Publication and dissemination</w:t>
            </w:r>
          </w:p>
        </w:tc>
        <w:tc>
          <w:tcPr>
            <w:tcW w:w="3544" w:type="dxa"/>
          </w:tcPr>
          <w:p w14:paraId="7403AB97" w14:textId="47A97FD4" w:rsidR="00A833AC" w:rsidRPr="00344CBB" w:rsidRDefault="00A833AC"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44CBB">
              <w:rPr>
                <w:sz w:val="20"/>
                <w:szCs w:val="20"/>
              </w:rPr>
              <w:t xml:space="preserve">Results – Table 3; Additional file </w:t>
            </w:r>
            <w:r w:rsidR="00867EF4" w:rsidRPr="00344CBB">
              <w:rPr>
                <w:sz w:val="20"/>
                <w:szCs w:val="20"/>
              </w:rPr>
              <w:t>4</w:t>
            </w:r>
            <w:r w:rsidRPr="00344CBB">
              <w:rPr>
                <w:sz w:val="20"/>
                <w:szCs w:val="20"/>
              </w:rPr>
              <w:t>; Discussion – Implications for research and practice; Conclusion</w:t>
            </w:r>
          </w:p>
        </w:tc>
        <w:tc>
          <w:tcPr>
            <w:tcW w:w="7082" w:type="dxa"/>
          </w:tcPr>
          <w:p w14:paraId="4BDABC29" w14:textId="7A0C262A" w:rsidR="00A833AC" w:rsidRPr="00344CBB" w:rsidRDefault="002E33C5" w:rsidP="002E33C5">
            <w:pPr>
              <w:spacing w:after="12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344CBB">
              <w:rPr>
                <w:sz w:val="20"/>
                <w:szCs w:val="20"/>
              </w:rPr>
              <w:t xml:space="preserve">The resulting 16-item instrument is clearly identifiable. An author-translated English item set is presented in Table 3 and the original Dutch-language instrument is provided as Additional file </w:t>
            </w:r>
            <w:r w:rsidR="00280E33">
              <w:rPr>
                <w:sz w:val="20"/>
                <w:szCs w:val="20"/>
              </w:rPr>
              <w:t>4</w:t>
            </w:r>
            <w:r w:rsidRPr="00344CBB">
              <w:rPr>
                <w:sz w:val="20"/>
                <w:szCs w:val="20"/>
              </w:rPr>
              <w:t>. Potential educational and clinical applications and requirements for further validation are discussed. Implementation and professional-endorsement elements of the original CREDES recommendation for practice guidance are not directly applicable at this stage of instrument development.</w:t>
            </w:r>
          </w:p>
        </w:tc>
      </w:tr>
    </w:tbl>
    <w:p w14:paraId="4471127C" w14:textId="77777777" w:rsidR="00761442" w:rsidRPr="00344CBB" w:rsidRDefault="00761442" w:rsidP="002E33C5">
      <w:pPr>
        <w:spacing w:after="120" w:line="240" w:lineRule="auto"/>
        <w:rPr>
          <w:sz w:val="20"/>
        </w:rPr>
      </w:pPr>
    </w:p>
    <w:p w14:paraId="4438970F" w14:textId="77777777" w:rsidR="00761442" w:rsidRPr="00344CBB" w:rsidRDefault="00761442" w:rsidP="002E33C5">
      <w:pPr>
        <w:spacing w:after="120" w:line="240" w:lineRule="auto"/>
        <w:rPr>
          <w:sz w:val="20"/>
        </w:rPr>
      </w:pPr>
    </w:p>
    <w:p w14:paraId="3080D20B" w14:textId="77777777" w:rsidR="00761442" w:rsidRPr="00D64268" w:rsidRDefault="00761442" w:rsidP="002E33C5">
      <w:pPr>
        <w:spacing w:after="120" w:line="240" w:lineRule="auto"/>
        <w:rPr>
          <w:sz w:val="20"/>
        </w:rPr>
      </w:pPr>
    </w:p>
    <w:sectPr w:rsidR="00761442" w:rsidRPr="00D64268" w:rsidSect="00761442">
      <w:headerReference w:type="default" r:id="rId11"/>
      <w:footerReference w:type="even" r:id="rId12"/>
      <w:footerReference w:type="default" r:id="rId13"/>
      <w:headerReference w:type="first" r:id="rId14"/>
      <w:pgSz w:w="16840" w:h="11900" w:orient="landscape"/>
      <w:pgMar w:top="993" w:right="1389" w:bottom="1361" w:left="1276"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2D416" w14:textId="77777777" w:rsidR="007F0A04" w:rsidRPr="00344CBB" w:rsidRDefault="007F0A04" w:rsidP="00487F6C">
      <w:r w:rsidRPr="00344CBB">
        <w:separator/>
      </w:r>
    </w:p>
  </w:endnote>
  <w:endnote w:type="continuationSeparator" w:id="0">
    <w:p w14:paraId="3E7C8F5F" w14:textId="77777777" w:rsidR="007F0A04" w:rsidRPr="00344CBB" w:rsidRDefault="007F0A04" w:rsidP="00487F6C">
      <w:r w:rsidRPr="00344C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rce Sans Pro Semibold">
    <w:panose1 w:val="020B0603030403020204"/>
    <w:charset w:val="00"/>
    <w:family w:val="swiss"/>
    <w:notTrueType/>
    <w:pitch w:val="variable"/>
    <w:sig w:usb0="600002F7" w:usb1="02000001" w:usb2="00000000" w:usb3="00000000" w:csb0="0000019F" w:csb1="00000000"/>
  </w:font>
  <w:font w:name="Source Sans Pro">
    <w:panose1 w:val="020B0503030403020204"/>
    <w:charset w:val="00"/>
    <w:family w:val="swiss"/>
    <w:notTrueType/>
    <w:pitch w:val="variable"/>
    <w:sig w:usb0="600002F7" w:usb1="02000001" w:usb2="00000000" w:usb3="00000000" w:csb0="0000019F" w:csb1="00000000"/>
  </w:font>
  <w:font w:name="Times New Roman (Body CS)">
    <w:altName w:val="Times New Roman"/>
    <w:charset w:val="00"/>
    <w:family w:val="roman"/>
    <w:pitch w:val="default"/>
  </w:font>
  <w:font w:name="Minion Pro">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78652635"/>
      <w:docPartObj>
        <w:docPartGallery w:val="Page Numbers (Bottom of Page)"/>
        <w:docPartUnique/>
      </w:docPartObj>
    </w:sdtPr>
    <w:sdtEndPr>
      <w:rPr>
        <w:rStyle w:val="Paginanummer"/>
      </w:rPr>
    </w:sdtEndPr>
    <w:sdtContent>
      <w:p w14:paraId="3EF3F0C4" w14:textId="77777777" w:rsidR="00587020" w:rsidRPr="00344CBB" w:rsidRDefault="00587020" w:rsidP="008F4334">
        <w:pPr>
          <w:pStyle w:val="Voettekst"/>
          <w:framePr w:wrap="none" w:vAnchor="text" w:hAnchor="margin" w:xAlign="right" w:y="1"/>
          <w:rPr>
            <w:rStyle w:val="Paginanummer"/>
          </w:rPr>
        </w:pPr>
        <w:r w:rsidRPr="00344CBB">
          <w:rPr>
            <w:rStyle w:val="Paginanummer"/>
          </w:rPr>
          <w:fldChar w:fldCharType="begin"/>
        </w:r>
        <w:r w:rsidRPr="00344CBB">
          <w:rPr>
            <w:rStyle w:val="Paginanummer"/>
          </w:rPr>
          <w:instrText xml:space="preserve"> PAGE </w:instrText>
        </w:r>
        <w:r w:rsidRPr="00344CBB">
          <w:rPr>
            <w:rStyle w:val="Paginanummer"/>
          </w:rPr>
          <w:fldChar w:fldCharType="end"/>
        </w:r>
      </w:p>
    </w:sdtContent>
  </w:sdt>
  <w:p w14:paraId="2F686AB1" w14:textId="77777777" w:rsidR="00C06A59" w:rsidRPr="00344CBB" w:rsidRDefault="00C06A59" w:rsidP="00587020">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7C547" w14:textId="77777777" w:rsidR="00E61578" w:rsidRPr="00344CBB" w:rsidRDefault="00E61578" w:rsidP="00E61578">
    <w:pPr>
      <w:pStyle w:val="ARTEfooter"/>
      <w:pBdr>
        <w:top w:val="none" w:sz="0" w:space="0" w:color="auto"/>
      </w:pBd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A8115" w14:textId="77777777" w:rsidR="007F0A04" w:rsidRPr="00344CBB" w:rsidRDefault="007F0A04" w:rsidP="00487F6C">
      <w:r w:rsidRPr="00344CBB">
        <w:separator/>
      </w:r>
    </w:p>
  </w:footnote>
  <w:footnote w:type="continuationSeparator" w:id="0">
    <w:p w14:paraId="4A9A2C8A" w14:textId="77777777" w:rsidR="007F0A04" w:rsidRPr="00344CBB" w:rsidRDefault="007F0A04" w:rsidP="00487F6C">
      <w:r w:rsidRPr="00344CB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93583" w14:textId="7713AE3D" w:rsidR="000832FD" w:rsidRPr="00344CBB" w:rsidRDefault="00D25C87" w:rsidP="00D25C87">
    <w:pPr>
      <w:pStyle w:val="Koptekst"/>
      <w:tabs>
        <w:tab w:val="clear" w:pos="4513"/>
        <w:tab w:val="clear" w:pos="9026"/>
        <w:tab w:val="right" w:pos="9178"/>
      </w:tabs>
    </w:pPr>
    <w:r w:rsidRPr="00344CBB">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D0821" w14:textId="77777777" w:rsidR="00487F6C" w:rsidRPr="00344CBB" w:rsidRDefault="000832FD">
    <w:pPr>
      <w:pStyle w:val="Koptekst"/>
    </w:pPr>
    <w:r w:rsidRPr="00344CBB">
      <w:rPr>
        <w:noProof/>
      </w:rPr>
      <w:drawing>
        <wp:anchor distT="0" distB="0" distL="114300" distR="114300" simplePos="0" relativeHeight="251659264" behindDoc="1" locked="1" layoutInCell="1" allowOverlap="1" wp14:anchorId="184F0629" wp14:editId="5ACC76AA">
          <wp:simplePos x="0" y="0"/>
          <wp:positionH relativeFrom="column">
            <wp:posOffset>-1082675</wp:posOffset>
          </wp:positionH>
          <wp:positionV relativeFrom="page">
            <wp:posOffset>-3175</wp:posOffset>
          </wp:positionV>
          <wp:extent cx="7559040" cy="10684510"/>
          <wp:effectExtent l="0" t="0" r="0" b="0"/>
          <wp:wrapNone/>
          <wp:docPr id="494669728" name="Picture 16" descr="Background patter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Background patter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559040" cy="106845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01A2"/>
    <w:multiLevelType w:val="hybridMultilevel"/>
    <w:tmpl w:val="8872089A"/>
    <w:lvl w:ilvl="0" w:tplc="64209C66">
      <w:start w:val="1"/>
      <w:numFmt w:val="decimal"/>
      <w:pStyle w:val="ARTEsubtitel1"/>
      <w:lvlText w:val="%1."/>
      <w:lvlJc w:val="left"/>
      <w:pPr>
        <w:ind w:left="560" w:hanging="5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46F3957"/>
    <w:multiLevelType w:val="multilevel"/>
    <w:tmpl w:val="F7C87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1770EF"/>
    <w:multiLevelType w:val="multilevel"/>
    <w:tmpl w:val="C1626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AE2015"/>
    <w:multiLevelType w:val="multilevel"/>
    <w:tmpl w:val="EB70E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D02275"/>
    <w:multiLevelType w:val="multilevel"/>
    <w:tmpl w:val="52E22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DE0EEF"/>
    <w:multiLevelType w:val="multilevel"/>
    <w:tmpl w:val="1A488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09431D"/>
    <w:multiLevelType w:val="multilevel"/>
    <w:tmpl w:val="08108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B95036"/>
    <w:multiLevelType w:val="multilevel"/>
    <w:tmpl w:val="B5786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E86699"/>
    <w:multiLevelType w:val="multilevel"/>
    <w:tmpl w:val="6F825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092862"/>
    <w:multiLevelType w:val="multilevel"/>
    <w:tmpl w:val="C0006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731B53"/>
    <w:multiLevelType w:val="multilevel"/>
    <w:tmpl w:val="F1CCE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A76703"/>
    <w:multiLevelType w:val="multilevel"/>
    <w:tmpl w:val="75C20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3405EE"/>
    <w:multiLevelType w:val="multilevel"/>
    <w:tmpl w:val="63D08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CB6B77"/>
    <w:multiLevelType w:val="multilevel"/>
    <w:tmpl w:val="EE04C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CE3D35"/>
    <w:multiLevelType w:val="multilevel"/>
    <w:tmpl w:val="A0A67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DA1B19"/>
    <w:multiLevelType w:val="hybridMultilevel"/>
    <w:tmpl w:val="1D3E579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3B3B0BBF"/>
    <w:multiLevelType w:val="multilevel"/>
    <w:tmpl w:val="96909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F30D64"/>
    <w:multiLevelType w:val="hybridMultilevel"/>
    <w:tmpl w:val="E11EC1D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8" w15:restartNumberingAfterBreak="0">
    <w:nsid w:val="4BFD5F4D"/>
    <w:multiLevelType w:val="multilevel"/>
    <w:tmpl w:val="C0DC3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557639"/>
    <w:multiLevelType w:val="multilevel"/>
    <w:tmpl w:val="56267580"/>
    <w:lvl w:ilvl="0">
      <w:start w:val="1"/>
      <w:numFmt w:val="decimal"/>
      <w:pStyle w:val="ARTEtitellijnnrTOC"/>
      <w:lvlText w:val="%1."/>
      <w:lvlJc w:val="left"/>
      <w:pPr>
        <w:ind w:left="567" w:hanging="567"/>
      </w:pPr>
      <w:rPr>
        <w:rFonts w:hint="default"/>
      </w:rPr>
    </w:lvl>
    <w:lvl w:ilvl="1">
      <w:start w:val="1"/>
      <w:numFmt w:val="decimal"/>
      <w:pStyle w:val="ARTEsubtitel11TOC"/>
      <w:isLgl/>
      <w:lvlText w:val="%1.%2"/>
      <w:lvlJc w:val="left"/>
      <w:pPr>
        <w:ind w:left="560" w:hanging="560"/>
      </w:pPr>
      <w:rPr>
        <w:rFonts w:hint="default"/>
      </w:rPr>
    </w:lvl>
    <w:lvl w:ilvl="2">
      <w:start w:val="1"/>
      <w:numFmt w:val="decimal"/>
      <w:pStyle w:val="ARTEsubtitel111TOC"/>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59781FCF"/>
    <w:multiLevelType w:val="multilevel"/>
    <w:tmpl w:val="FFF2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5A75BD"/>
    <w:multiLevelType w:val="multilevel"/>
    <w:tmpl w:val="34F28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6262B9"/>
    <w:multiLevelType w:val="multilevel"/>
    <w:tmpl w:val="1BC84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89091D"/>
    <w:multiLevelType w:val="multilevel"/>
    <w:tmpl w:val="93F0F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674037"/>
    <w:multiLevelType w:val="multilevel"/>
    <w:tmpl w:val="7B4CA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C1405D"/>
    <w:multiLevelType w:val="multilevel"/>
    <w:tmpl w:val="ED100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653D03"/>
    <w:multiLevelType w:val="hybridMultilevel"/>
    <w:tmpl w:val="924E479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7" w15:restartNumberingAfterBreak="0">
    <w:nsid w:val="631F5568"/>
    <w:multiLevelType w:val="hybridMultilevel"/>
    <w:tmpl w:val="7CFC2EBC"/>
    <w:lvl w:ilvl="0" w:tplc="0BECAEC8">
      <w:start w:val="1"/>
      <w:numFmt w:val="bullet"/>
      <w:pStyle w:val="Lijstalinea"/>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7AA21E6"/>
    <w:multiLevelType w:val="multilevel"/>
    <w:tmpl w:val="5BB6E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082945"/>
    <w:multiLevelType w:val="multilevel"/>
    <w:tmpl w:val="EC647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3E608F"/>
    <w:multiLevelType w:val="multilevel"/>
    <w:tmpl w:val="10307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556741"/>
    <w:multiLevelType w:val="multilevel"/>
    <w:tmpl w:val="F2FC4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C621C5"/>
    <w:multiLevelType w:val="multilevel"/>
    <w:tmpl w:val="53484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1F550A"/>
    <w:multiLevelType w:val="multilevel"/>
    <w:tmpl w:val="70D87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5842133">
    <w:abstractNumId w:val="19"/>
  </w:num>
  <w:num w:numId="2" w16cid:durableId="1810200168">
    <w:abstractNumId w:val="0"/>
  </w:num>
  <w:num w:numId="3" w16cid:durableId="1453208724">
    <w:abstractNumId w:val="27"/>
  </w:num>
  <w:num w:numId="4" w16cid:durableId="1412048530">
    <w:abstractNumId w:val="25"/>
  </w:num>
  <w:num w:numId="5" w16cid:durableId="2068524797">
    <w:abstractNumId w:val="29"/>
  </w:num>
  <w:num w:numId="6" w16cid:durableId="1836649539">
    <w:abstractNumId w:val="28"/>
  </w:num>
  <w:num w:numId="7" w16cid:durableId="513113026">
    <w:abstractNumId w:val="5"/>
  </w:num>
  <w:num w:numId="8" w16cid:durableId="1565406078">
    <w:abstractNumId w:val="2"/>
  </w:num>
  <w:num w:numId="9" w16cid:durableId="310017671">
    <w:abstractNumId w:val="12"/>
  </w:num>
  <w:num w:numId="10" w16cid:durableId="455878872">
    <w:abstractNumId w:val="22"/>
  </w:num>
  <w:num w:numId="11" w16cid:durableId="1689404706">
    <w:abstractNumId w:val="14"/>
  </w:num>
  <w:num w:numId="12" w16cid:durableId="1324121722">
    <w:abstractNumId w:val="21"/>
  </w:num>
  <w:num w:numId="13" w16cid:durableId="1375697101">
    <w:abstractNumId w:val="30"/>
  </w:num>
  <w:num w:numId="14" w16cid:durableId="1638218078">
    <w:abstractNumId w:val="11"/>
  </w:num>
  <w:num w:numId="15" w16cid:durableId="1826429292">
    <w:abstractNumId w:val="7"/>
  </w:num>
  <w:num w:numId="16" w16cid:durableId="1801455815">
    <w:abstractNumId w:val="3"/>
  </w:num>
  <w:num w:numId="17" w16cid:durableId="1589533656">
    <w:abstractNumId w:val="23"/>
  </w:num>
  <w:num w:numId="18" w16cid:durableId="1190412019">
    <w:abstractNumId w:val="16"/>
  </w:num>
  <w:num w:numId="19" w16cid:durableId="1556577278">
    <w:abstractNumId w:val="13"/>
  </w:num>
  <w:num w:numId="20" w16cid:durableId="716008665">
    <w:abstractNumId w:val="9"/>
  </w:num>
  <w:num w:numId="21" w16cid:durableId="1008101898">
    <w:abstractNumId w:val="8"/>
  </w:num>
  <w:num w:numId="22" w16cid:durableId="1770732573">
    <w:abstractNumId w:val="24"/>
  </w:num>
  <w:num w:numId="23" w16cid:durableId="1215771800">
    <w:abstractNumId w:val="31"/>
  </w:num>
  <w:num w:numId="24" w16cid:durableId="1841046313">
    <w:abstractNumId w:val="20"/>
  </w:num>
  <w:num w:numId="25" w16cid:durableId="1260679245">
    <w:abstractNumId w:val="1"/>
  </w:num>
  <w:num w:numId="26" w16cid:durableId="1480536714">
    <w:abstractNumId w:val="33"/>
  </w:num>
  <w:num w:numId="27" w16cid:durableId="197470755">
    <w:abstractNumId w:val="4"/>
  </w:num>
  <w:num w:numId="28" w16cid:durableId="1333677694">
    <w:abstractNumId w:val="18"/>
  </w:num>
  <w:num w:numId="29" w16cid:durableId="1622876572">
    <w:abstractNumId w:val="32"/>
  </w:num>
  <w:num w:numId="30" w16cid:durableId="1511602393">
    <w:abstractNumId w:val="6"/>
  </w:num>
  <w:num w:numId="31" w16cid:durableId="757291938">
    <w:abstractNumId w:val="10"/>
  </w:num>
  <w:num w:numId="32" w16cid:durableId="288703002">
    <w:abstractNumId w:val="15"/>
  </w:num>
  <w:num w:numId="33" w16cid:durableId="1957984780">
    <w:abstractNumId w:val="17"/>
  </w:num>
  <w:num w:numId="34" w16cid:durableId="1903638980">
    <w:abstractNumId w:val="2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1A2"/>
    <w:rsid w:val="00002715"/>
    <w:rsid w:val="00002FC5"/>
    <w:rsid w:val="00007795"/>
    <w:rsid w:val="000138DC"/>
    <w:rsid w:val="00014B5F"/>
    <w:rsid w:val="00017B3A"/>
    <w:rsid w:val="00032192"/>
    <w:rsid w:val="00036EB7"/>
    <w:rsid w:val="000379B4"/>
    <w:rsid w:val="00047A8B"/>
    <w:rsid w:val="00061DEA"/>
    <w:rsid w:val="00063DC9"/>
    <w:rsid w:val="0006652A"/>
    <w:rsid w:val="00071F0E"/>
    <w:rsid w:val="0007457D"/>
    <w:rsid w:val="000832FD"/>
    <w:rsid w:val="00084CBE"/>
    <w:rsid w:val="00085EFA"/>
    <w:rsid w:val="00091441"/>
    <w:rsid w:val="00092EDA"/>
    <w:rsid w:val="000943CA"/>
    <w:rsid w:val="000A19E7"/>
    <w:rsid w:val="000B046C"/>
    <w:rsid w:val="000B1D15"/>
    <w:rsid w:val="000B3554"/>
    <w:rsid w:val="000C7850"/>
    <w:rsid w:val="000D23C7"/>
    <w:rsid w:val="00102965"/>
    <w:rsid w:val="001035CE"/>
    <w:rsid w:val="001060FE"/>
    <w:rsid w:val="001239E3"/>
    <w:rsid w:val="00124456"/>
    <w:rsid w:val="00132267"/>
    <w:rsid w:val="00137987"/>
    <w:rsid w:val="00146567"/>
    <w:rsid w:val="00151866"/>
    <w:rsid w:val="0015341A"/>
    <w:rsid w:val="00157EE4"/>
    <w:rsid w:val="0018511F"/>
    <w:rsid w:val="001A3CDC"/>
    <w:rsid w:val="001A6AE2"/>
    <w:rsid w:val="001B3724"/>
    <w:rsid w:val="001C5763"/>
    <w:rsid w:val="001C7B14"/>
    <w:rsid w:val="001D7334"/>
    <w:rsid w:val="001E32FD"/>
    <w:rsid w:val="001F2E47"/>
    <w:rsid w:val="00204360"/>
    <w:rsid w:val="00212FF5"/>
    <w:rsid w:val="00216152"/>
    <w:rsid w:val="00221AA3"/>
    <w:rsid w:val="00233BC1"/>
    <w:rsid w:val="002361B5"/>
    <w:rsid w:val="002434BF"/>
    <w:rsid w:val="00247343"/>
    <w:rsid w:val="00256755"/>
    <w:rsid w:val="00260773"/>
    <w:rsid w:val="00263765"/>
    <w:rsid w:val="002745C6"/>
    <w:rsid w:val="00280E33"/>
    <w:rsid w:val="002973E6"/>
    <w:rsid w:val="002A062D"/>
    <w:rsid w:val="002A0EEC"/>
    <w:rsid w:val="002D7FCA"/>
    <w:rsid w:val="002E33C5"/>
    <w:rsid w:val="002E761D"/>
    <w:rsid w:val="002E7E0D"/>
    <w:rsid w:val="002F1EF5"/>
    <w:rsid w:val="00301DC7"/>
    <w:rsid w:val="00302B9A"/>
    <w:rsid w:val="00303DB3"/>
    <w:rsid w:val="00314B86"/>
    <w:rsid w:val="00323BD2"/>
    <w:rsid w:val="00333A58"/>
    <w:rsid w:val="00336381"/>
    <w:rsid w:val="00342635"/>
    <w:rsid w:val="00344CBB"/>
    <w:rsid w:val="00346049"/>
    <w:rsid w:val="00352418"/>
    <w:rsid w:val="0037051B"/>
    <w:rsid w:val="00382D77"/>
    <w:rsid w:val="003835A5"/>
    <w:rsid w:val="00385DCD"/>
    <w:rsid w:val="00391063"/>
    <w:rsid w:val="00397202"/>
    <w:rsid w:val="003A19DB"/>
    <w:rsid w:val="003A2B10"/>
    <w:rsid w:val="003A62E8"/>
    <w:rsid w:val="003A6F47"/>
    <w:rsid w:val="003B0D0A"/>
    <w:rsid w:val="003B3118"/>
    <w:rsid w:val="003B3956"/>
    <w:rsid w:val="003B6BC5"/>
    <w:rsid w:val="003C1136"/>
    <w:rsid w:val="003C2C40"/>
    <w:rsid w:val="003E7751"/>
    <w:rsid w:val="003F0BC7"/>
    <w:rsid w:val="004021A2"/>
    <w:rsid w:val="00405247"/>
    <w:rsid w:val="00407317"/>
    <w:rsid w:val="00407C7A"/>
    <w:rsid w:val="00411290"/>
    <w:rsid w:val="00414B6F"/>
    <w:rsid w:val="00416159"/>
    <w:rsid w:val="00423BB0"/>
    <w:rsid w:val="00432688"/>
    <w:rsid w:val="004352F8"/>
    <w:rsid w:val="004354D1"/>
    <w:rsid w:val="00442510"/>
    <w:rsid w:val="00446947"/>
    <w:rsid w:val="004534D4"/>
    <w:rsid w:val="0045512D"/>
    <w:rsid w:val="00457167"/>
    <w:rsid w:val="004702FA"/>
    <w:rsid w:val="004710FF"/>
    <w:rsid w:val="00471445"/>
    <w:rsid w:val="00476306"/>
    <w:rsid w:val="00481713"/>
    <w:rsid w:val="00482D79"/>
    <w:rsid w:val="00487F6C"/>
    <w:rsid w:val="004D5FC7"/>
    <w:rsid w:val="004D67C1"/>
    <w:rsid w:val="004E208B"/>
    <w:rsid w:val="004E3201"/>
    <w:rsid w:val="004E3F39"/>
    <w:rsid w:val="004E6910"/>
    <w:rsid w:val="00504FEC"/>
    <w:rsid w:val="005103B2"/>
    <w:rsid w:val="00513D49"/>
    <w:rsid w:val="00522C00"/>
    <w:rsid w:val="005316DB"/>
    <w:rsid w:val="00542F9C"/>
    <w:rsid w:val="00550B2F"/>
    <w:rsid w:val="00575EC3"/>
    <w:rsid w:val="00586446"/>
    <w:rsid w:val="00587020"/>
    <w:rsid w:val="005878E3"/>
    <w:rsid w:val="005B124B"/>
    <w:rsid w:val="005B6C2B"/>
    <w:rsid w:val="005C7683"/>
    <w:rsid w:val="005D254F"/>
    <w:rsid w:val="005D7616"/>
    <w:rsid w:val="005D7A59"/>
    <w:rsid w:val="005E0AA2"/>
    <w:rsid w:val="005E0C26"/>
    <w:rsid w:val="005E7AAD"/>
    <w:rsid w:val="005F021B"/>
    <w:rsid w:val="005F09D8"/>
    <w:rsid w:val="005F3966"/>
    <w:rsid w:val="005F4221"/>
    <w:rsid w:val="005F6626"/>
    <w:rsid w:val="005F6E32"/>
    <w:rsid w:val="00601A45"/>
    <w:rsid w:val="00607D0E"/>
    <w:rsid w:val="006139B1"/>
    <w:rsid w:val="00615141"/>
    <w:rsid w:val="00617281"/>
    <w:rsid w:val="00620DBA"/>
    <w:rsid w:val="00624477"/>
    <w:rsid w:val="00625593"/>
    <w:rsid w:val="00634FBB"/>
    <w:rsid w:val="0063631F"/>
    <w:rsid w:val="0064785A"/>
    <w:rsid w:val="006722DC"/>
    <w:rsid w:val="00672B3B"/>
    <w:rsid w:val="0068131E"/>
    <w:rsid w:val="00684342"/>
    <w:rsid w:val="006852B8"/>
    <w:rsid w:val="006A2CD6"/>
    <w:rsid w:val="006A4747"/>
    <w:rsid w:val="006A6E5F"/>
    <w:rsid w:val="006B4C1F"/>
    <w:rsid w:val="006C69C1"/>
    <w:rsid w:val="006D06FF"/>
    <w:rsid w:val="006D4712"/>
    <w:rsid w:val="006D4E6C"/>
    <w:rsid w:val="006D5609"/>
    <w:rsid w:val="006E26A0"/>
    <w:rsid w:val="006E2E81"/>
    <w:rsid w:val="006E77C6"/>
    <w:rsid w:val="00734E04"/>
    <w:rsid w:val="00744F71"/>
    <w:rsid w:val="007456ED"/>
    <w:rsid w:val="00746F2D"/>
    <w:rsid w:val="00752A6C"/>
    <w:rsid w:val="007562B3"/>
    <w:rsid w:val="00761442"/>
    <w:rsid w:val="00765B07"/>
    <w:rsid w:val="00772BC3"/>
    <w:rsid w:val="00774F1A"/>
    <w:rsid w:val="00780D0B"/>
    <w:rsid w:val="00783791"/>
    <w:rsid w:val="00790ACE"/>
    <w:rsid w:val="007949AB"/>
    <w:rsid w:val="007A40EA"/>
    <w:rsid w:val="007B1B30"/>
    <w:rsid w:val="007F0A04"/>
    <w:rsid w:val="0080038E"/>
    <w:rsid w:val="0081439D"/>
    <w:rsid w:val="00830476"/>
    <w:rsid w:val="0085057D"/>
    <w:rsid w:val="008544A5"/>
    <w:rsid w:val="00861AC0"/>
    <w:rsid w:val="00867EF4"/>
    <w:rsid w:val="00870814"/>
    <w:rsid w:val="0087371E"/>
    <w:rsid w:val="00876E2E"/>
    <w:rsid w:val="00883DDC"/>
    <w:rsid w:val="00884039"/>
    <w:rsid w:val="0088512F"/>
    <w:rsid w:val="0089200D"/>
    <w:rsid w:val="008972E6"/>
    <w:rsid w:val="00897C4B"/>
    <w:rsid w:val="008A2F50"/>
    <w:rsid w:val="008A42AF"/>
    <w:rsid w:val="008B4AEE"/>
    <w:rsid w:val="008B73C0"/>
    <w:rsid w:val="008D3E1A"/>
    <w:rsid w:val="008F428D"/>
    <w:rsid w:val="008F5542"/>
    <w:rsid w:val="0090278D"/>
    <w:rsid w:val="00910DE4"/>
    <w:rsid w:val="0091142C"/>
    <w:rsid w:val="0091477A"/>
    <w:rsid w:val="009234D0"/>
    <w:rsid w:val="009257EA"/>
    <w:rsid w:val="009373B1"/>
    <w:rsid w:val="009600BF"/>
    <w:rsid w:val="009621B2"/>
    <w:rsid w:val="00967850"/>
    <w:rsid w:val="009713FD"/>
    <w:rsid w:val="00974DFD"/>
    <w:rsid w:val="00983595"/>
    <w:rsid w:val="00985027"/>
    <w:rsid w:val="00985593"/>
    <w:rsid w:val="009A4E29"/>
    <w:rsid w:val="009B0F01"/>
    <w:rsid w:val="009B16C6"/>
    <w:rsid w:val="009B46D5"/>
    <w:rsid w:val="009D2156"/>
    <w:rsid w:val="009D28DB"/>
    <w:rsid w:val="009D427C"/>
    <w:rsid w:val="009E0565"/>
    <w:rsid w:val="009E36FC"/>
    <w:rsid w:val="009F0F22"/>
    <w:rsid w:val="009F124D"/>
    <w:rsid w:val="00A00766"/>
    <w:rsid w:val="00A05267"/>
    <w:rsid w:val="00A0710C"/>
    <w:rsid w:val="00A13D96"/>
    <w:rsid w:val="00A141A9"/>
    <w:rsid w:val="00A166FD"/>
    <w:rsid w:val="00A24323"/>
    <w:rsid w:val="00A27CDA"/>
    <w:rsid w:val="00A30AF2"/>
    <w:rsid w:val="00A345B6"/>
    <w:rsid w:val="00A459C5"/>
    <w:rsid w:val="00A45F0A"/>
    <w:rsid w:val="00A51F74"/>
    <w:rsid w:val="00A5230C"/>
    <w:rsid w:val="00A55EF8"/>
    <w:rsid w:val="00A64F36"/>
    <w:rsid w:val="00A70FA8"/>
    <w:rsid w:val="00A76147"/>
    <w:rsid w:val="00A80D16"/>
    <w:rsid w:val="00A833AC"/>
    <w:rsid w:val="00A94037"/>
    <w:rsid w:val="00AA647C"/>
    <w:rsid w:val="00AB7B03"/>
    <w:rsid w:val="00AC111B"/>
    <w:rsid w:val="00AD79C2"/>
    <w:rsid w:val="00AE32A0"/>
    <w:rsid w:val="00AE3DB5"/>
    <w:rsid w:val="00AE4605"/>
    <w:rsid w:val="00AE693F"/>
    <w:rsid w:val="00AF04AB"/>
    <w:rsid w:val="00AF54F4"/>
    <w:rsid w:val="00AF569B"/>
    <w:rsid w:val="00B04A35"/>
    <w:rsid w:val="00B20CF0"/>
    <w:rsid w:val="00B263DF"/>
    <w:rsid w:val="00B42C86"/>
    <w:rsid w:val="00B468A0"/>
    <w:rsid w:val="00B46ECE"/>
    <w:rsid w:val="00B47C2C"/>
    <w:rsid w:val="00B605E6"/>
    <w:rsid w:val="00B63053"/>
    <w:rsid w:val="00B73FFE"/>
    <w:rsid w:val="00B7615A"/>
    <w:rsid w:val="00B8194A"/>
    <w:rsid w:val="00B91C75"/>
    <w:rsid w:val="00B9504C"/>
    <w:rsid w:val="00BA0217"/>
    <w:rsid w:val="00BB0EF5"/>
    <w:rsid w:val="00BB1CF3"/>
    <w:rsid w:val="00BD0356"/>
    <w:rsid w:val="00BD4F12"/>
    <w:rsid w:val="00BD64F4"/>
    <w:rsid w:val="00BE61F0"/>
    <w:rsid w:val="00BF069C"/>
    <w:rsid w:val="00BF155E"/>
    <w:rsid w:val="00C06A59"/>
    <w:rsid w:val="00C164FE"/>
    <w:rsid w:val="00C1662D"/>
    <w:rsid w:val="00C24F96"/>
    <w:rsid w:val="00C36362"/>
    <w:rsid w:val="00C36EAF"/>
    <w:rsid w:val="00C4358C"/>
    <w:rsid w:val="00C54312"/>
    <w:rsid w:val="00C62046"/>
    <w:rsid w:val="00C6308A"/>
    <w:rsid w:val="00C67058"/>
    <w:rsid w:val="00C70C4B"/>
    <w:rsid w:val="00C824B2"/>
    <w:rsid w:val="00C959DF"/>
    <w:rsid w:val="00C96CC6"/>
    <w:rsid w:val="00CA0763"/>
    <w:rsid w:val="00CA2862"/>
    <w:rsid w:val="00CB09A4"/>
    <w:rsid w:val="00CB0D50"/>
    <w:rsid w:val="00CB260E"/>
    <w:rsid w:val="00CB75F6"/>
    <w:rsid w:val="00CC69E1"/>
    <w:rsid w:val="00CD1651"/>
    <w:rsid w:val="00CD78C4"/>
    <w:rsid w:val="00CE137F"/>
    <w:rsid w:val="00CE1870"/>
    <w:rsid w:val="00CF05A8"/>
    <w:rsid w:val="00CF3CE9"/>
    <w:rsid w:val="00D01753"/>
    <w:rsid w:val="00D25C87"/>
    <w:rsid w:val="00D33134"/>
    <w:rsid w:val="00D37495"/>
    <w:rsid w:val="00D426E5"/>
    <w:rsid w:val="00D452BA"/>
    <w:rsid w:val="00D47E6E"/>
    <w:rsid w:val="00D64268"/>
    <w:rsid w:val="00D6652B"/>
    <w:rsid w:val="00D8706D"/>
    <w:rsid w:val="00D914FA"/>
    <w:rsid w:val="00DB7904"/>
    <w:rsid w:val="00DC3ED0"/>
    <w:rsid w:val="00DC4C96"/>
    <w:rsid w:val="00E001EE"/>
    <w:rsid w:val="00E263A0"/>
    <w:rsid w:val="00E33162"/>
    <w:rsid w:val="00E36144"/>
    <w:rsid w:val="00E42D1D"/>
    <w:rsid w:val="00E574BA"/>
    <w:rsid w:val="00E61578"/>
    <w:rsid w:val="00E625F6"/>
    <w:rsid w:val="00E76369"/>
    <w:rsid w:val="00E773C2"/>
    <w:rsid w:val="00E84DD1"/>
    <w:rsid w:val="00E96A90"/>
    <w:rsid w:val="00EB5DF1"/>
    <w:rsid w:val="00EC3A74"/>
    <w:rsid w:val="00ED298F"/>
    <w:rsid w:val="00ED71A8"/>
    <w:rsid w:val="00EF0B4A"/>
    <w:rsid w:val="00EF0CEC"/>
    <w:rsid w:val="00EF1EA2"/>
    <w:rsid w:val="00F101D6"/>
    <w:rsid w:val="00F15061"/>
    <w:rsid w:val="00F15CE7"/>
    <w:rsid w:val="00F47A8D"/>
    <w:rsid w:val="00F57C59"/>
    <w:rsid w:val="00F622EE"/>
    <w:rsid w:val="00F62334"/>
    <w:rsid w:val="00F62649"/>
    <w:rsid w:val="00F72FA1"/>
    <w:rsid w:val="00F7467D"/>
    <w:rsid w:val="00F748E9"/>
    <w:rsid w:val="00F82C44"/>
    <w:rsid w:val="00F8419F"/>
    <w:rsid w:val="00F96F50"/>
    <w:rsid w:val="00FA65E1"/>
    <w:rsid w:val="00FB2FE6"/>
    <w:rsid w:val="00FC73AB"/>
    <w:rsid w:val="00FD6A09"/>
    <w:rsid w:val="00FE23A6"/>
    <w:rsid w:val="00FE5D79"/>
    <w:rsid w:val="00FF49A5"/>
    <w:rsid w:val="00FF5E8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14B982"/>
  <w15:chartTrackingRefBased/>
  <w15:docId w15:val="{B1021354-8CA1-411F-B084-4A4A5B425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F5542"/>
    <w:pPr>
      <w:spacing w:after="160" w:line="259" w:lineRule="auto"/>
    </w:pPr>
    <w:rPr>
      <w:kern w:val="2"/>
      <w:sz w:val="22"/>
      <w:szCs w:val="22"/>
      <w:lang w:val="en-GB"/>
      <w14:ligatures w14:val="standardContextual"/>
    </w:rPr>
  </w:style>
  <w:style w:type="paragraph" w:styleId="Kop1">
    <w:name w:val="heading 1"/>
    <w:basedOn w:val="ARTEtitellijnnrTOC"/>
    <w:next w:val="Standaard"/>
    <w:link w:val="Kop1Char"/>
    <w:uiPriority w:val="9"/>
    <w:qFormat/>
    <w:rsid w:val="00BB1CF3"/>
    <w:pPr>
      <w:outlineLvl w:val="0"/>
    </w:pPr>
  </w:style>
  <w:style w:type="paragraph" w:styleId="Kop2">
    <w:name w:val="heading 2"/>
    <w:basedOn w:val="ARTEsubtitel11TOC"/>
    <w:next w:val="Standaard"/>
    <w:link w:val="Kop2Char"/>
    <w:uiPriority w:val="9"/>
    <w:unhideWhenUsed/>
    <w:qFormat/>
    <w:rsid w:val="00E33162"/>
    <w:pPr>
      <w:outlineLvl w:val="1"/>
    </w:pPr>
    <w:rPr>
      <w:lang w:val="fr-FR"/>
    </w:rPr>
  </w:style>
  <w:style w:type="paragraph" w:styleId="Kop3">
    <w:name w:val="heading 3"/>
    <w:basedOn w:val="ARTEsubtitel111TOC"/>
    <w:next w:val="Standaard"/>
    <w:link w:val="Kop3Char"/>
    <w:uiPriority w:val="9"/>
    <w:unhideWhenUsed/>
    <w:qFormat/>
    <w:rsid w:val="00E33162"/>
    <w:pPr>
      <w:outlineLvl w:val="2"/>
    </w:pPr>
  </w:style>
  <w:style w:type="paragraph" w:styleId="Kop4">
    <w:name w:val="heading 4"/>
    <w:basedOn w:val="Standaard"/>
    <w:next w:val="Standaard"/>
    <w:link w:val="Kop4Char"/>
    <w:uiPriority w:val="9"/>
    <w:unhideWhenUsed/>
    <w:qFormat/>
    <w:rsid w:val="005F6E32"/>
    <w:pPr>
      <w:keepNext/>
      <w:keepLines/>
      <w:autoSpaceDE w:val="0"/>
      <w:autoSpaceDN w:val="0"/>
      <w:adjustRightInd w:val="0"/>
      <w:spacing w:before="40" w:after="0" w:line="264" w:lineRule="auto"/>
      <w:textAlignment w:val="center"/>
      <w:outlineLvl w:val="3"/>
    </w:pPr>
    <w:rPr>
      <w:rFonts w:ascii="Source Sans Pro Semibold" w:eastAsiaTheme="majorEastAsia" w:hAnsi="Source Sans Pro Semibold" w:cstheme="majorBidi"/>
      <w:b/>
      <w:i/>
      <w:iCs/>
      <w:color w:val="000000" w:themeColor="text1"/>
      <w:spacing w:val="2"/>
      <w:kern w:val="0"/>
      <w:szCs w:val="19"/>
      <w:lang w:val="fr-FR"/>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87F6C"/>
    <w:pPr>
      <w:tabs>
        <w:tab w:val="center" w:pos="4513"/>
        <w:tab w:val="right" w:pos="9026"/>
      </w:tabs>
      <w:spacing w:after="0" w:line="264" w:lineRule="auto"/>
    </w:pPr>
    <w:rPr>
      <w:rFonts w:ascii="Source Sans Pro" w:hAnsi="Source Sans Pro" w:cs="Times New Roman (Body CS)"/>
      <w:spacing w:val="2"/>
      <w:kern w:val="0"/>
      <w:sz w:val="21"/>
      <w:szCs w:val="24"/>
      <w14:ligatures w14:val="none"/>
    </w:rPr>
  </w:style>
  <w:style w:type="character" w:customStyle="1" w:styleId="KoptekstChar">
    <w:name w:val="Koptekst Char"/>
    <w:basedOn w:val="Standaardalinea-lettertype"/>
    <w:link w:val="Koptekst"/>
    <w:uiPriority w:val="99"/>
    <w:rsid w:val="00487F6C"/>
  </w:style>
  <w:style w:type="paragraph" w:styleId="Voettekst">
    <w:name w:val="footer"/>
    <w:basedOn w:val="Standaard"/>
    <w:link w:val="VoettekstChar"/>
    <w:uiPriority w:val="99"/>
    <w:unhideWhenUsed/>
    <w:rsid w:val="00487F6C"/>
    <w:pPr>
      <w:tabs>
        <w:tab w:val="center" w:pos="4513"/>
        <w:tab w:val="right" w:pos="9026"/>
      </w:tabs>
      <w:spacing w:after="0" w:line="264" w:lineRule="auto"/>
    </w:pPr>
    <w:rPr>
      <w:rFonts w:ascii="Source Sans Pro" w:hAnsi="Source Sans Pro" w:cs="Times New Roman (Body CS)"/>
      <w:spacing w:val="2"/>
      <w:kern w:val="0"/>
      <w:sz w:val="21"/>
      <w:szCs w:val="24"/>
      <w14:ligatures w14:val="none"/>
    </w:rPr>
  </w:style>
  <w:style w:type="character" w:customStyle="1" w:styleId="VoettekstChar">
    <w:name w:val="Voettekst Char"/>
    <w:basedOn w:val="Standaardalinea-lettertype"/>
    <w:link w:val="Voettekst"/>
    <w:uiPriority w:val="99"/>
    <w:rsid w:val="00487F6C"/>
  </w:style>
  <w:style w:type="paragraph" w:customStyle="1" w:styleId="BasicParagraph">
    <w:name w:val="[Basic Paragraph]"/>
    <w:basedOn w:val="Standaard"/>
    <w:uiPriority w:val="99"/>
    <w:rsid w:val="000D23C7"/>
    <w:pPr>
      <w:autoSpaceDE w:val="0"/>
      <w:autoSpaceDN w:val="0"/>
      <w:adjustRightInd w:val="0"/>
      <w:spacing w:after="0" w:line="288" w:lineRule="auto"/>
      <w:textAlignment w:val="center"/>
    </w:pPr>
    <w:rPr>
      <w:rFonts w:ascii="Minion Pro" w:hAnsi="Minion Pro" w:cs="Minion Pro"/>
      <w:color w:val="000000"/>
      <w:spacing w:val="2"/>
      <w:kern w:val="0"/>
      <w:sz w:val="21"/>
      <w:szCs w:val="24"/>
      <w:lang w:val="nl-NL"/>
      <w14:ligatures w14:val="none"/>
    </w:rPr>
  </w:style>
  <w:style w:type="paragraph" w:styleId="Lijstalinea">
    <w:name w:val="List Paragraph"/>
    <w:basedOn w:val="Standaard"/>
    <w:uiPriority w:val="34"/>
    <w:qFormat/>
    <w:rsid w:val="00F57C59"/>
    <w:pPr>
      <w:numPr>
        <w:numId w:val="3"/>
      </w:numPr>
      <w:tabs>
        <w:tab w:val="left" w:pos="567"/>
      </w:tabs>
      <w:spacing w:after="0" w:line="264" w:lineRule="auto"/>
      <w:contextualSpacing/>
    </w:pPr>
    <w:rPr>
      <w:rFonts w:ascii="Source Sans Pro" w:hAnsi="Source Sans Pro" w:cs="Times New Roman (Body CS)"/>
      <w:spacing w:val="2"/>
      <w:kern w:val="0"/>
      <w:sz w:val="21"/>
      <w:szCs w:val="24"/>
      <w14:ligatures w14:val="none"/>
    </w:rPr>
  </w:style>
  <w:style w:type="paragraph" w:customStyle="1" w:styleId="ARTEtitelcover">
    <w:name w:val="_ARTE titel cover"/>
    <w:basedOn w:val="Standaard"/>
    <w:qFormat/>
    <w:rsid w:val="00772BC3"/>
    <w:pPr>
      <w:autoSpaceDE w:val="0"/>
      <w:autoSpaceDN w:val="0"/>
      <w:adjustRightInd w:val="0"/>
      <w:spacing w:before="240" w:after="0" w:line="238" w:lineRule="auto"/>
      <w:textAlignment w:val="center"/>
    </w:pPr>
    <w:rPr>
      <w:rFonts w:ascii="Source Sans Pro Semibold" w:hAnsi="Source Sans Pro Semibold" w:cs="Source Sans Pro Semibold"/>
      <w:color w:val="000000"/>
      <w:spacing w:val="4"/>
      <w:kern w:val="0"/>
      <w:sz w:val="70"/>
      <w:szCs w:val="70"/>
      <w14:ligatures w14:val="none"/>
    </w:rPr>
  </w:style>
  <w:style w:type="paragraph" w:customStyle="1" w:styleId="ARTEsubtitelcover">
    <w:name w:val="_ARTE subtitel cover"/>
    <w:basedOn w:val="BasicParagraph"/>
    <w:qFormat/>
    <w:rsid w:val="00233BC1"/>
    <w:pPr>
      <w:spacing w:line="240" w:lineRule="auto"/>
    </w:pPr>
    <w:rPr>
      <w:rFonts w:ascii="Source Sans Pro" w:hAnsi="Source Sans Pro" w:cs="Source Sans Pro"/>
      <w:i/>
      <w:iCs/>
      <w:spacing w:val="10"/>
      <w:sz w:val="30"/>
      <w:szCs w:val="30"/>
      <w:lang w:val="en-US"/>
    </w:rPr>
  </w:style>
  <w:style w:type="paragraph" w:customStyle="1" w:styleId="ARTEfootercover">
    <w:name w:val="_ARTE footer cover"/>
    <w:basedOn w:val="BasicParagraph"/>
    <w:qFormat/>
    <w:rsid w:val="00C06A59"/>
    <w:rPr>
      <w:rFonts w:ascii="Source Sans Pro" w:hAnsi="Source Sans Pro" w:cs="Source Sans Pro"/>
      <w:sz w:val="19"/>
      <w:szCs w:val="19"/>
    </w:rPr>
  </w:style>
  <w:style w:type="paragraph" w:customStyle="1" w:styleId="ARTEfooter">
    <w:name w:val="_ARTE footer"/>
    <w:basedOn w:val="Standaard"/>
    <w:qFormat/>
    <w:rsid w:val="00CB75F6"/>
    <w:pPr>
      <w:pBdr>
        <w:top w:val="single" w:sz="4" w:space="5" w:color="auto"/>
      </w:pBdr>
      <w:tabs>
        <w:tab w:val="left" w:pos="709"/>
        <w:tab w:val="right" w:pos="9178"/>
      </w:tabs>
      <w:autoSpaceDE w:val="0"/>
      <w:autoSpaceDN w:val="0"/>
      <w:adjustRightInd w:val="0"/>
      <w:spacing w:after="0" w:line="260" w:lineRule="atLeast"/>
      <w:textAlignment w:val="center"/>
    </w:pPr>
    <w:rPr>
      <w:rFonts w:ascii="Source Sans Pro" w:hAnsi="Source Sans Pro" w:cs="Source Sans Pro"/>
      <w:color w:val="000000"/>
      <w:spacing w:val="2"/>
      <w:kern w:val="0"/>
      <w:sz w:val="16"/>
      <w:szCs w:val="16"/>
      <w:lang w:val="nl-NL"/>
      <w14:ligatures w14:val="none"/>
    </w:rPr>
  </w:style>
  <w:style w:type="character" w:styleId="Paginanummer">
    <w:name w:val="page number"/>
    <w:basedOn w:val="Standaardalinea-lettertype"/>
    <w:uiPriority w:val="99"/>
    <w:semiHidden/>
    <w:unhideWhenUsed/>
    <w:rsid w:val="00587020"/>
    <w:rPr>
      <w:rFonts w:ascii="Source Sans Pro" w:hAnsi="Source Sans Pro"/>
      <w:b w:val="0"/>
      <w:i w:val="0"/>
      <w:sz w:val="16"/>
    </w:rPr>
  </w:style>
  <w:style w:type="paragraph" w:customStyle="1" w:styleId="ARTEtitellijn">
    <w:name w:val="_ARTE titel lijn"/>
    <w:basedOn w:val="Standaard"/>
    <w:qFormat/>
    <w:rsid w:val="00CB75F6"/>
    <w:pPr>
      <w:pageBreakBefore/>
      <w:pBdr>
        <w:bottom w:val="single" w:sz="2" w:space="20" w:color="auto"/>
      </w:pBdr>
      <w:tabs>
        <w:tab w:val="left" w:pos="567"/>
        <w:tab w:val="left" w:pos="1134"/>
        <w:tab w:val="left" w:pos="1843"/>
      </w:tabs>
      <w:autoSpaceDE w:val="0"/>
      <w:autoSpaceDN w:val="0"/>
      <w:adjustRightInd w:val="0"/>
      <w:spacing w:after="400" w:line="264" w:lineRule="auto"/>
      <w:textAlignment w:val="center"/>
    </w:pPr>
    <w:rPr>
      <w:rFonts w:ascii="Source Sans Pro Semibold" w:hAnsi="Source Sans Pro Semibold" w:cs="Source Sans Pro Semibold"/>
      <w:color w:val="000000"/>
      <w:spacing w:val="15"/>
      <w:kern w:val="0"/>
      <w:sz w:val="36"/>
      <w:szCs w:val="36"/>
      <w14:ligatures w14:val="none"/>
    </w:rPr>
  </w:style>
  <w:style w:type="paragraph" w:customStyle="1" w:styleId="NoParagraphStyle">
    <w:name w:val="[No Paragraph Style]"/>
    <w:rsid w:val="00C24F96"/>
    <w:pPr>
      <w:autoSpaceDE w:val="0"/>
      <w:autoSpaceDN w:val="0"/>
      <w:adjustRightInd w:val="0"/>
      <w:spacing w:line="288" w:lineRule="auto"/>
      <w:textAlignment w:val="center"/>
    </w:pPr>
    <w:rPr>
      <w:rFonts w:ascii="Minion Pro" w:hAnsi="Minion Pro" w:cs="Minion Pro"/>
      <w:color w:val="000000"/>
      <w:lang w:val="nl-NL"/>
    </w:rPr>
  </w:style>
  <w:style w:type="paragraph" w:customStyle="1" w:styleId="ARTEsubtitel1">
    <w:name w:val="_ARTE subtitel 1."/>
    <w:basedOn w:val="Standaard"/>
    <w:next w:val="Standaard"/>
    <w:autoRedefine/>
    <w:qFormat/>
    <w:rsid w:val="00752A6C"/>
    <w:pPr>
      <w:keepNext/>
      <w:numPr>
        <w:numId w:val="2"/>
      </w:numPr>
      <w:tabs>
        <w:tab w:val="left" w:pos="567"/>
      </w:tabs>
      <w:autoSpaceDE w:val="0"/>
      <w:autoSpaceDN w:val="0"/>
      <w:adjustRightInd w:val="0"/>
      <w:spacing w:before="60" w:after="240" w:line="264" w:lineRule="auto"/>
      <w:textAlignment w:val="center"/>
    </w:pPr>
    <w:rPr>
      <w:rFonts w:ascii="Source Sans Pro" w:hAnsi="Source Sans Pro" w:cs="Source Sans Pro"/>
      <w:b/>
      <w:bCs/>
      <w:color w:val="000000"/>
      <w:spacing w:val="4"/>
      <w:kern w:val="0"/>
      <w:sz w:val="21"/>
      <w:szCs w:val="24"/>
      <w:lang w:val="nl-NL"/>
      <w14:ligatures w14:val="none"/>
    </w:rPr>
  </w:style>
  <w:style w:type="character" w:customStyle="1" w:styleId="Tekenstijl1">
    <w:name w:val="Tekenstijl 1"/>
    <w:uiPriority w:val="99"/>
    <w:rsid w:val="003B3118"/>
    <w:rPr>
      <w:u w:val="thick"/>
    </w:rPr>
  </w:style>
  <w:style w:type="paragraph" w:customStyle="1" w:styleId="ARTEsubtitel11TOC">
    <w:name w:val="_ARTE subtitel 1.1 TOC"/>
    <w:basedOn w:val="ARTEsubtitel1"/>
    <w:next w:val="Standaard"/>
    <w:autoRedefine/>
    <w:qFormat/>
    <w:rsid w:val="009E36FC"/>
    <w:pPr>
      <w:numPr>
        <w:ilvl w:val="1"/>
        <w:numId w:val="1"/>
      </w:numPr>
    </w:pPr>
    <w:rPr>
      <w:lang w:val="en-US"/>
    </w:rPr>
  </w:style>
  <w:style w:type="paragraph" w:customStyle="1" w:styleId="ARTEquotegrijs">
    <w:name w:val="_ARTE quote grijs"/>
    <w:basedOn w:val="BasicParagraph"/>
    <w:autoRedefine/>
    <w:qFormat/>
    <w:rsid w:val="00071F0E"/>
    <w:pPr>
      <w:tabs>
        <w:tab w:val="left" w:pos="567"/>
      </w:tabs>
      <w:spacing w:line="264" w:lineRule="auto"/>
      <w:ind w:left="567" w:right="1134"/>
    </w:pPr>
    <w:rPr>
      <w:rFonts w:ascii="Source Sans Pro" w:hAnsi="Source Sans Pro" w:cs="Source Sans Pro"/>
      <w:i/>
      <w:iCs/>
      <w:color w:val="7F7F7F" w:themeColor="text1" w:themeTint="80"/>
      <w:sz w:val="20"/>
      <w:szCs w:val="19"/>
      <w:lang w:val="en-US"/>
    </w:rPr>
  </w:style>
  <w:style w:type="paragraph" w:customStyle="1" w:styleId="ARTECAPSgrijs">
    <w:name w:val="_ARTE CAPS grijs"/>
    <w:basedOn w:val="BasicParagraph"/>
    <w:qFormat/>
    <w:rsid w:val="0068131E"/>
    <w:pPr>
      <w:tabs>
        <w:tab w:val="left" w:pos="567"/>
      </w:tabs>
      <w:spacing w:line="264" w:lineRule="auto"/>
      <w:ind w:left="567" w:right="1134"/>
    </w:pPr>
    <w:rPr>
      <w:rFonts w:ascii="Source Sans Pro Semibold" w:hAnsi="Source Sans Pro Semibold" w:cs="Source Sans Pro Semibold"/>
      <w:caps/>
      <w:color w:val="7F7F7F" w:themeColor="text1" w:themeTint="80"/>
      <w:sz w:val="14"/>
      <w:szCs w:val="14"/>
      <w:lang w:val="en-US"/>
    </w:rPr>
  </w:style>
  <w:style w:type="paragraph" w:customStyle="1" w:styleId="ARTEbijschrift1bold">
    <w:name w:val="_ARTE bijschrift 1 bold"/>
    <w:basedOn w:val="Standaard"/>
    <w:autoRedefine/>
    <w:qFormat/>
    <w:rsid w:val="004352F8"/>
    <w:pPr>
      <w:tabs>
        <w:tab w:val="left" w:pos="567"/>
        <w:tab w:val="left" w:pos="1134"/>
      </w:tabs>
      <w:autoSpaceDE w:val="0"/>
      <w:autoSpaceDN w:val="0"/>
      <w:adjustRightInd w:val="0"/>
      <w:spacing w:before="120" w:after="0" w:line="264" w:lineRule="auto"/>
      <w:textAlignment w:val="center"/>
    </w:pPr>
    <w:rPr>
      <w:rFonts w:ascii="Source Sans Pro Semibold" w:hAnsi="Source Sans Pro Semibold" w:cs="Source Sans Pro Semibold"/>
      <w:color w:val="000000"/>
      <w:spacing w:val="3"/>
      <w:kern w:val="0"/>
      <w:sz w:val="14"/>
      <w:szCs w:val="14"/>
      <w:lang w:val="en-US"/>
      <w14:ligatures w14:val="none"/>
    </w:rPr>
  </w:style>
  <w:style w:type="paragraph" w:customStyle="1" w:styleId="ARTEbijschrift2">
    <w:name w:val="_ARTE bijschrift 2"/>
    <w:basedOn w:val="Standaard"/>
    <w:autoRedefine/>
    <w:qFormat/>
    <w:rsid w:val="004352F8"/>
    <w:pPr>
      <w:tabs>
        <w:tab w:val="left" w:pos="567"/>
        <w:tab w:val="left" w:pos="1134"/>
      </w:tabs>
      <w:autoSpaceDE w:val="0"/>
      <w:autoSpaceDN w:val="0"/>
      <w:adjustRightInd w:val="0"/>
      <w:spacing w:after="240" w:line="264" w:lineRule="auto"/>
      <w:textAlignment w:val="center"/>
    </w:pPr>
    <w:rPr>
      <w:rFonts w:ascii="Source Sans Pro" w:hAnsi="Source Sans Pro" w:cs="Source Sans Pro"/>
      <w:color w:val="000000"/>
      <w:spacing w:val="3"/>
      <w:kern w:val="0"/>
      <w:sz w:val="14"/>
      <w:szCs w:val="14"/>
      <w:lang w:val="en-US"/>
      <w14:ligatures w14:val="none"/>
    </w:rPr>
  </w:style>
  <w:style w:type="table" w:styleId="Tabelraster">
    <w:name w:val="Table Grid"/>
    <w:basedOn w:val="Standaardtabel"/>
    <w:uiPriority w:val="39"/>
    <w:rsid w:val="009114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EtitellijnnrTOC">
    <w:name w:val="_ARTE titel lijn nr TOC"/>
    <w:basedOn w:val="ARTEtitellijn"/>
    <w:next w:val="ARTEsubtitel11TOC"/>
    <w:qFormat/>
    <w:rsid w:val="00AF569B"/>
    <w:pPr>
      <w:numPr>
        <w:numId w:val="1"/>
      </w:numPr>
      <w:tabs>
        <w:tab w:val="clear" w:pos="567"/>
        <w:tab w:val="clear" w:pos="1843"/>
      </w:tabs>
    </w:pPr>
    <w:rPr>
      <w:spacing w:val="6"/>
    </w:rPr>
  </w:style>
  <w:style w:type="paragraph" w:customStyle="1" w:styleId="ARTEkadergrijstitel">
    <w:name w:val="_ARTE kader grijs titel"/>
    <w:basedOn w:val="Standaard"/>
    <w:autoRedefine/>
    <w:qFormat/>
    <w:rsid w:val="00CD78C4"/>
    <w:pPr>
      <w:keepNext/>
      <w:tabs>
        <w:tab w:val="left" w:pos="567"/>
        <w:tab w:val="left" w:pos="1140"/>
      </w:tabs>
      <w:autoSpaceDE w:val="0"/>
      <w:autoSpaceDN w:val="0"/>
      <w:adjustRightInd w:val="0"/>
      <w:spacing w:before="120" w:after="0" w:line="260" w:lineRule="atLeast"/>
      <w:textAlignment w:val="center"/>
    </w:pPr>
    <w:rPr>
      <w:rFonts w:ascii="Source Sans Pro Semibold" w:hAnsi="Source Sans Pro Semibold" w:cs="Source Sans Pro Semibold"/>
      <w:i/>
      <w:iCs/>
      <w:color w:val="595959" w:themeColor="text1" w:themeTint="A6"/>
      <w:spacing w:val="4"/>
      <w:kern w:val="0"/>
      <w:sz w:val="21"/>
      <w:szCs w:val="24"/>
      <w:lang w:val="nl-NL"/>
      <w14:ligatures w14:val="none"/>
    </w:rPr>
  </w:style>
  <w:style w:type="paragraph" w:customStyle="1" w:styleId="ARTEkadergrijsbody">
    <w:name w:val="_ARTE kader grijs body"/>
    <w:basedOn w:val="Standaard"/>
    <w:autoRedefine/>
    <w:qFormat/>
    <w:rsid w:val="005F6E32"/>
    <w:pPr>
      <w:keepLines/>
      <w:autoSpaceDE w:val="0"/>
      <w:autoSpaceDN w:val="0"/>
      <w:adjustRightInd w:val="0"/>
      <w:spacing w:before="60" w:after="60" w:line="264" w:lineRule="auto"/>
      <w:textAlignment w:val="center"/>
    </w:pPr>
    <w:rPr>
      <w:rFonts w:ascii="Source Sans Pro" w:hAnsi="Source Sans Pro" w:cs="Source Sans Pro"/>
      <w:color w:val="595959" w:themeColor="text1" w:themeTint="A6"/>
      <w:spacing w:val="2"/>
      <w:kern w:val="0"/>
      <w:sz w:val="21"/>
      <w:szCs w:val="19"/>
      <w:lang w:val="fr-FR"/>
      <w14:ligatures w14:val="none"/>
    </w:rPr>
  </w:style>
  <w:style w:type="character" w:styleId="Tekstvantijdelijkeaanduiding">
    <w:name w:val="Placeholder Text"/>
    <w:basedOn w:val="Standaardalinea-lettertype"/>
    <w:uiPriority w:val="99"/>
    <w:semiHidden/>
    <w:rsid w:val="00967850"/>
    <w:rPr>
      <w:color w:val="808080"/>
    </w:rPr>
  </w:style>
  <w:style w:type="character" w:customStyle="1" w:styleId="Kop1Char">
    <w:name w:val="Kop 1 Char"/>
    <w:basedOn w:val="Standaardalinea-lettertype"/>
    <w:link w:val="Kop1"/>
    <w:uiPriority w:val="9"/>
    <w:rsid w:val="00BB1CF3"/>
    <w:rPr>
      <w:rFonts w:ascii="Source Sans Pro Semibold" w:hAnsi="Source Sans Pro Semibold" w:cs="Source Sans Pro Semibold"/>
      <w:color w:val="000000"/>
      <w:spacing w:val="6"/>
      <w:sz w:val="36"/>
      <w:szCs w:val="36"/>
      <w:lang w:val="en-GB"/>
    </w:rPr>
  </w:style>
  <w:style w:type="paragraph" w:styleId="Inhopg1">
    <w:name w:val="toc 1"/>
    <w:basedOn w:val="Standaard"/>
    <w:next w:val="Standaard"/>
    <w:autoRedefine/>
    <w:uiPriority w:val="39"/>
    <w:unhideWhenUsed/>
    <w:qFormat/>
    <w:rsid w:val="005E7AAD"/>
    <w:pPr>
      <w:tabs>
        <w:tab w:val="left" w:pos="284"/>
        <w:tab w:val="right" w:leader="dot" w:pos="9168"/>
      </w:tabs>
      <w:spacing w:before="240" w:after="240" w:line="264" w:lineRule="auto"/>
    </w:pPr>
    <w:rPr>
      <w:rFonts w:ascii="Source Sans Pro" w:hAnsi="Source Sans Pro" w:cs="Times New Roman (Body CS)"/>
      <w:b/>
      <w:noProof/>
      <w:spacing w:val="2"/>
      <w:kern w:val="0"/>
      <w:sz w:val="21"/>
      <w:szCs w:val="24"/>
      <w14:ligatures w14:val="none"/>
    </w:rPr>
  </w:style>
  <w:style w:type="character" w:customStyle="1" w:styleId="Kop2Char">
    <w:name w:val="Kop 2 Char"/>
    <w:basedOn w:val="Standaardalinea-lettertype"/>
    <w:link w:val="Kop2"/>
    <w:uiPriority w:val="9"/>
    <w:rsid w:val="00E33162"/>
    <w:rPr>
      <w:rFonts w:ascii="Source Sans Pro" w:hAnsi="Source Sans Pro" w:cs="Source Sans Pro"/>
      <w:b/>
      <w:bCs/>
      <w:color w:val="000000"/>
      <w:spacing w:val="4"/>
      <w:sz w:val="21"/>
      <w:lang w:val="fr-FR"/>
    </w:rPr>
  </w:style>
  <w:style w:type="character" w:customStyle="1" w:styleId="Kop3Char">
    <w:name w:val="Kop 3 Char"/>
    <w:basedOn w:val="Standaardalinea-lettertype"/>
    <w:link w:val="Kop3"/>
    <w:uiPriority w:val="9"/>
    <w:rsid w:val="00E33162"/>
    <w:rPr>
      <w:rFonts w:ascii="Source Sans Pro" w:hAnsi="Source Sans Pro" w:cs="Source Sans Pro"/>
      <w:i/>
      <w:color w:val="000000"/>
      <w:spacing w:val="2"/>
      <w:sz w:val="22"/>
      <w:szCs w:val="19"/>
      <w:lang w:val="fr-FR"/>
    </w:rPr>
  </w:style>
  <w:style w:type="character" w:customStyle="1" w:styleId="Kop4Char">
    <w:name w:val="Kop 4 Char"/>
    <w:basedOn w:val="Standaardalinea-lettertype"/>
    <w:link w:val="Kop4"/>
    <w:uiPriority w:val="9"/>
    <w:rsid w:val="009D2156"/>
    <w:rPr>
      <w:rFonts w:ascii="Source Sans Pro Semibold" w:eastAsiaTheme="majorEastAsia" w:hAnsi="Source Sans Pro Semibold" w:cstheme="majorBidi"/>
      <w:b/>
      <w:i/>
      <w:iCs/>
      <w:color w:val="000000" w:themeColor="text1"/>
      <w:spacing w:val="2"/>
      <w:sz w:val="22"/>
      <w:szCs w:val="19"/>
      <w:lang w:val="en-US"/>
    </w:rPr>
  </w:style>
  <w:style w:type="paragraph" w:styleId="Inhopg2">
    <w:name w:val="toc 2"/>
    <w:basedOn w:val="Standaard"/>
    <w:next w:val="Standaard"/>
    <w:autoRedefine/>
    <w:uiPriority w:val="39"/>
    <w:unhideWhenUsed/>
    <w:qFormat/>
    <w:rsid w:val="005E7AAD"/>
    <w:pPr>
      <w:tabs>
        <w:tab w:val="left" w:pos="709"/>
        <w:tab w:val="left" w:pos="960"/>
        <w:tab w:val="right" w:leader="dot" w:pos="9168"/>
      </w:tabs>
      <w:spacing w:after="0" w:line="264" w:lineRule="auto"/>
      <w:ind w:left="142" w:firstLine="142"/>
    </w:pPr>
    <w:rPr>
      <w:rFonts w:ascii="Source Sans Pro" w:hAnsi="Source Sans Pro" w:cs="Times New Roman (Body CS)"/>
      <w:noProof/>
      <w:spacing w:val="2"/>
      <w:kern w:val="0"/>
      <w:sz w:val="21"/>
      <w:szCs w:val="24"/>
      <w14:ligatures w14:val="none"/>
    </w:rPr>
  </w:style>
  <w:style w:type="character" w:styleId="Hyperlink">
    <w:name w:val="Hyperlink"/>
    <w:basedOn w:val="Standaardalinea-lettertype"/>
    <w:uiPriority w:val="99"/>
    <w:unhideWhenUsed/>
    <w:rsid w:val="005C7683"/>
    <w:rPr>
      <w:color w:val="000000" w:themeColor="hyperlink"/>
      <w:u w:val="single"/>
    </w:rPr>
  </w:style>
  <w:style w:type="paragraph" w:customStyle="1" w:styleId="ARTEsubtitel111TOC">
    <w:name w:val="_ARTE subtitel 1.1.1 TOC"/>
    <w:basedOn w:val="Standaard"/>
    <w:next w:val="Standaard"/>
    <w:autoRedefine/>
    <w:qFormat/>
    <w:rsid w:val="005F6E32"/>
    <w:pPr>
      <w:numPr>
        <w:ilvl w:val="2"/>
        <w:numId w:val="1"/>
      </w:numPr>
      <w:tabs>
        <w:tab w:val="left" w:pos="567"/>
      </w:tabs>
      <w:autoSpaceDE w:val="0"/>
      <w:autoSpaceDN w:val="0"/>
      <w:adjustRightInd w:val="0"/>
      <w:spacing w:after="120" w:line="264" w:lineRule="auto"/>
      <w:textAlignment w:val="center"/>
    </w:pPr>
    <w:rPr>
      <w:rFonts w:ascii="Source Sans Pro" w:hAnsi="Source Sans Pro" w:cs="Source Sans Pro"/>
      <w:i/>
      <w:color w:val="000000"/>
      <w:spacing w:val="2"/>
      <w:kern w:val="0"/>
      <w:szCs w:val="19"/>
      <w:lang w:val="fr-FR"/>
      <w14:ligatures w14:val="none"/>
    </w:rPr>
  </w:style>
  <w:style w:type="paragraph" w:styleId="Inhopg3">
    <w:name w:val="toc 3"/>
    <w:basedOn w:val="Standaard"/>
    <w:next w:val="Standaard"/>
    <w:autoRedefine/>
    <w:uiPriority w:val="39"/>
    <w:unhideWhenUsed/>
    <w:qFormat/>
    <w:rsid w:val="005E7AAD"/>
    <w:pPr>
      <w:tabs>
        <w:tab w:val="left" w:pos="1276"/>
        <w:tab w:val="right" w:leader="dot" w:pos="9168"/>
      </w:tabs>
      <w:spacing w:after="0" w:line="264" w:lineRule="auto"/>
      <w:ind w:left="709"/>
    </w:pPr>
    <w:rPr>
      <w:rFonts w:ascii="Source Sans Pro" w:hAnsi="Source Sans Pro" w:cs="Times New Roman (Body CS)"/>
      <w:noProof/>
      <w:spacing w:val="4"/>
      <w:kern w:val="0"/>
      <w:sz w:val="21"/>
      <w:szCs w:val="24"/>
      <w14:ligatures w14:val="none"/>
    </w:rPr>
  </w:style>
  <w:style w:type="paragraph" w:styleId="Inhopg4">
    <w:name w:val="toc 4"/>
    <w:basedOn w:val="Inhopg3"/>
    <w:next w:val="Standaard"/>
    <w:autoRedefine/>
    <w:uiPriority w:val="39"/>
    <w:unhideWhenUsed/>
    <w:qFormat/>
    <w:rsid w:val="00F47A8D"/>
    <w:pPr>
      <w:tabs>
        <w:tab w:val="clear" w:pos="1276"/>
        <w:tab w:val="left" w:pos="1985"/>
      </w:tabs>
      <w:ind w:left="1276"/>
    </w:pPr>
    <w:rPr>
      <w:lang w:val="nl-NL"/>
    </w:rPr>
  </w:style>
  <w:style w:type="paragraph" w:styleId="Kopvaninhoudsopgave">
    <w:name w:val="TOC Heading"/>
    <w:basedOn w:val="Kop1"/>
    <w:next w:val="Standaard"/>
    <w:uiPriority w:val="39"/>
    <w:unhideWhenUsed/>
    <w:qFormat/>
    <w:rsid w:val="00CA0763"/>
    <w:pPr>
      <w:numPr>
        <w:numId w:val="0"/>
      </w:numPr>
      <w:autoSpaceDE/>
      <w:autoSpaceDN/>
      <w:adjustRightInd/>
      <w:spacing w:after="0" w:line="259" w:lineRule="auto"/>
      <w:textAlignment w:val="auto"/>
      <w:outlineLvl w:val="9"/>
    </w:pPr>
    <w:rPr>
      <w:b/>
      <w:bCs/>
      <w:spacing w:val="0"/>
      <w:lang w:eastAsia="nl-NL"/>
    </w:rPr>
  </w:style>
  <w:style w:type="paragraph" w:customStyle="1" w:styleId="StijlARTEtitelcoverVerbreedmet02pt">
    <w:name w:val="Stijl _ARTE titel cover + Verbreed met  02 pt"/>
    <w:basedOn w:val="ARTEtitelcover"/>
    <w:autoRedefine/>
    <w:rsid w:val="00382D77"/>
  </w:style>
  <w:style w:type="paragraph" w:styleId="Revisie">
    <w:name w:val="Revision"/>
    <w:hidden/>
    <w:uiPriority w:val="99"/>
    <w:semiHidden/>
    <w:rsid w:val="002F1EF5"/>
    <w:rPr>
      <w:rFonts w:ascii="Source Sans Pro" w:hAnsi="Source Sans Pro" w:cs="Times New Roman (Body CS)"/>
      <w:spacing w:val="2"/>
      <w:sz w:val="21"/>
    </w:rPr>
  </w:style>
  <w:style w:type="character" w:styleId="Onopgelostemelding">
    <w:name w:val="Unresolved Mention"/>
    <w:basedOn w:val="Standaardalinea-lettertype"/>
    <w:uiPriority w:val="99"/>
    <w:semiHidden/>
    <w:unhideWhenUsed/>
    <w:rsid w:val="00E574BA"/>
    <w:rPr>
      <w:color w:val="605E5C"/>
      <w:shd w:val="clear" w:color="auto" w:fill="E1DFDD"/>
    </w:rPr>
  </w:style>
  <w:style w:type="character" w:styleId="Verwijzingopmerking">
    <w:name w:val="annotation reference"/>
    <w:basedOn w:val="Standaardalinea-lettertype"/>
    <w:uiPriority w:val="99"/>
    <w:semiHidden/>
    <w:unhideWhenUsed/>
    <w:rsid w:val="00333A58"/>
    <w:rPr>
      <w:sz w:val="16"/>
      <w:szCs w:val="16"/>
    </w:rPr>
  </w:style>
  <w:style w:type="paragraph" w:styleId="Tekstopmerking">
    <w:name w:val="annotation text"/>
    <w:basedOn w:val="Standaard"/>
    <w:link w:val="TekstopmerkingChar"/>
    <w:uiPriority w:val="99"/>
    <w:unhideWhenUsed/>
    <w:rsid w:val="00333A58"/>
    <w:pPr>
      <w:spacing w:line="240" w:lineRule="auto"/>
    </w:pPr>
    <w:rPr>
      <w:sz w:val="20"/>
      <w:szCs w:val="20"/>
    </w:rPr>
  </w:style>
  <w:style w:type="character" w:customStyle="1" w:styleId="TekstopmerkingChar">
    <w:name w:val="Tekst opmerking Char"/>
    <w:basedOn w:val="Standaardalinea-lettertype"/>
    <w:link w:val="Tekstopmerking"/>
    <w:uiPriority w:val="99"/>
    <w:rsid w:val="00333A58"/>
    <w:rPr>
      <w:kern w:val="2"/>
      <w:sz w:val="20"/>
      <w:szCs w:val="20"/>
      <w14:ligatures w14:val="standardContextual"/>
    </w:rPr>
  </w:style>
  <w:style w:type="table" w:styleId="Rastertabel2-Accent6">
    <w:name w:val="Grid Table 2 Accent 6"/>
    <w:basedOn w:val="Standaardtabel"/>
    <w:uiPriority w:val="47"/>
    <w:rsid w:val="00FE23A6"/>
    <w:tblPr>
      <w:tblStyleRowBandSize w:val="1"/>
      <w:tblStyleColBandSize w:val="1"/>
      <w:tblBorders>
        <w:top w:val="single" w:sz="2" w:space="0" w:color="FF4BB9" w:themeColor="accent6" w:themeTint="99"/>
        <w:bottom w:val="single" w:sz="2" w:space="0" w:color="FF4BB9" w:themeColor="accent6" w:themeTint="99"/>
        <w:insideH w:val="single" w:sz="2" w:space="0" w:color="FF4BB9" w:themeColor="accent6" w:themeTint="99"/>
        <w:insideV w:val="single" w:sz="2" w:space="0" w:color="FF4BB9" w:themeColor="accent6" w:themeTint="99"/>
      </w:tblBorders>
    </w:tblPr>
    <w:tblStylePr w:type="firstRow">
      <w:rPr>
        <w:b/>
        <w:bCs/>
      </w:rPr>
      <w:tblPr/>
      <w:tcPr>
        <w:tcBorders>
          <w:top w:val="nil"/>
          <w:bottom w:val="single" w:sz="12" w:space="0" w:color="FF4BB9" w:themeColor="accent6" w:themeTint="99"/>
          <w:insideH w:val="nil"/>
          <w:insideV w:val="nil"/>
        </w:tcBorders>
        <w:shd w:val="clear" w:color="auto" w:fill="FFFFFF" w:themeFill="background1"/>
      </w:tcPr>
    </w:tblStylePr>
    <w:tblStylePr w:type="lastRow">
      <w:rPr>
        <w:b/>
        <w:bCs/>
      </w:rPr>
      <w:tblPr/>
      <w:tcPr>
        <w:tcBorders>
          <w:top w:val="double" w:sz="2" w:space="0" w:color="FF4BB9"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3E7" w:themeFill="accent6" w:themeFillTint="33"/>
      </w:tcPr>
    </w:tblStylePr>
    <w:tblStylePr w:type="band1Horz">
      <w:tblPr/>
      <w:tcPr>
        <w:shd w:val="clear" w:color="auto" w:fill="FFC3E7" w:themeFill="accent6" w:themeFillTint="33"/>
      </w:tcPr>
    </w:tblStylePr>
  </w:style>
  <w:style w:type="table" w:styleId="Rastertabel2">
    <w:name w:val="Grid Table 2"/>
    <w:basedOn w:val="Standaardtabel"/>
    <w:uiPriority w:val="47"/>
    <w:rsid w:val="002361B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1licht">
    <w:name w:val="Grid Table 1 Light"/>
    <w:basedOn w:val="Standaardtabel"/>
    <w:uiPriority w:val="46"/>
    <w:rsid w:val="002361B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Onopgemaaktetabel1">
    <w:name w:val="Plain Table 1"/>
    <w:basedOn w:val="Standaardtabel"/>
    <w:uiPriority w:val="41"/>
    <w:rsid w:val="00B468A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A166F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A166F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A166F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rasterlicht">
    <w:name w:val="Grid Table Light"/>
    <w:basedOn w:val="Standaardtabel"/>
    <w:uiPriority w:val="40"/>
    <w:rsid w:val="005B6C2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elede1\Downloads\basis_nl%20(2).dotx" TargetMode="External"/></Relationships>
</file>

<file path=word/theme/theme1.xml><?xml version="1.0" encoding="utf-8"?>
<a:theme xmlns:a="http://schemas.openxmlformats.org/drawingml/2006/main" name="AHS_word">
  <a:themeElements>
    <a:clrScheme name="AHS">
      <a:dk1>
        <a:srgbClr val="000000"/>
      </a:dk1>
      <a:lt1>
        <a:srgbClr val="FFFFFF"/>
      </a:lt1>
      <a:dk2>
        <a:srgbClr val="919191"/>
      </a:dk2>
      <a:lt2>
        <a:srgbClr val="E6E6E6"/>
      </a:lt2>
      <a:accent1>
        <a:srgbClr val="F58732"/>
      </a:accent1>
      <a:accent2>
        <a:srgbClr val="00A5D9"/>
      </a:accent2>
      <a:accent3>
        <a:srgbClr val="7E57C5"/>
      </a:accent3>
      <a:accent4>
        <a:srgbClr val="ED0034"/>
      </a:accent4>
      <a:accent5>
        <a:srgbClr val="5AB946"/>
      </a:accent5>
      <a:accent6>
        <a:srgbClr val="D20082"/>
      </a:accent6>
      <a:hlink>
        <a:srgbClr val="000000"/>
      </a:hlink>
      <a:folHlink>
        <a:srgbClr val="7F7F7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HS thema_CORPORATE" id="{F457B33F-43FA-284D-93E0-6471772509C5}" vid="{6AF15539-3B95-F649-AF80-D16F606B08F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HS-Dinar-Document-CT" ma:contentTypeID="0x010100B58429747AA6B8418C14593960C5299E00C6575CB230C99E46945843624BACCDD2" ma:contentTypeVersion="18" ma:contentTypeDescription="" ma:contentTypeScope="" ma:versionID="45603a0cc826b0a672a13d69f2556a39">
  <xsd:schema xmlns:xsd="http://www.w3.org/2001/XMLSchema" xmlns:xs="http://www.w3.org/2001/XMLSchema" xmlns:p="http://schemas.microsoft.com/office/2006/metadata/properties" xmlns:ns2="12b8265c-be14-410d-b9a8-97e7c764ee96" xmlns:ns3="9e0fe7f4-60ad-485b-a5c1-5fd3b0ede552" targetNamespace="http://schemas.microsoft.com/office/2006/metadata/properties" ma:root="true" ma:fieldsID="8a9d0006264cedc42e9d0b9bfed5e194" ns2:_="" ns3:_="">
    <xsd:import namespace="12b8265c-be14-410d-b9a8-97e7c764ee96"/>
    <xsd:import namespace="9e0fe7f4-60ad-485b-a5c1-5fd3b0ede552"/>
    <xsd:element name="properties">
      <xsd:complexType>
        <xsd:sequence>
          <xsd:element name="documentManagement">
            <xsd:complexType>
              <xsd:all>
                <xsd:element ref="ns2:AHSLeesRechtenStudenten" minOccurs="0"/>
                <xsd:element ref="ns2:AHSOpmerking" minOccurs="0"/>
                <xsd:element ref="ns2:AHSSortering" minOccurs="0"/>
                <xsd:element ref="ns2:AHSArchive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2:SharedWithUsers" minOccurs="0"/>
                <xsd:element ref="ns2:SharedWithDetails" minOccurs="0"/>
                <xsd:element ref="ns3:MediaLengthInSeconds" minOccurs="0"/>
                <xsd:element ref="ns3:lcf76f155ced4ddcb4097134ff3c332f" minOccurs="0"/>
                <xsd:element ref="ns2:TaxCatchAll" minOccurs="0"/>
                <xsd:element ref="ns3:Preview"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b8265c-be14-410d-b9a8-97e7c764ee96" elementFormDefault="qualified">
    <xsd:import namespace="http://schemas.microsoft.com/office/2006/documentManagement/types"/>
    <xsd:import namespace="http://schemas.microsoft.com/office/infopath/2007/PartnerControls"/>
    <xsd:element name="AHSLeesRechtenStudenten" ma:index="8" nillable="true" ma:displayName="AHS LeesRechten Studenten" ma:default="0" ma:internalName="AHSLeesRechtenStudenten">
      <xsd:simpleType>
        <xsd:restriction base="dms:Boolean"/>
      </xsd:simpleType>
    </xsd:element>
    <xsd:element name="AHSOpmerking" ma:index="9" nillable="true" ma:displayName="AHS Opmerking" ma:internalName="AHSOpmerking">
      <xsd:simpleType>
        <xsd:restriction base="dms:Note">
          <xsd:maxLength value="255"/>
        </xsd:restriction>
      </xsd:simpleType>
    </xsd:element>
    <xsd:element name="AHSSortering" ma:index="10" nillable="true" ma:displayName="AHS Sortering" ma:decimals="0" ma:internalName="AHSSortering" ma:percentage="FALSE">
      <xsd:simpleType>
        <xsd:restriction base="dms:Number"/>
      </xsd:simpleType>
    </xsd:element>
    <xsd:element name="AHSArchived" ma:index="11" nillable="true" ma:displayName="AHS Archived" ma:default="0" ma:internalName="AHSArchived">
      <xsd:simpleType>
        <xsd:restriction base="dms:Boolean"/>
      </xsd:simple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c3a90fda-63fd-4c51-9973-1f3e96f2a714}" ma:internalName="TaxCatchAll" ma:showField="CatchAllData" ma:web="12b8265c-be14-410d-b9a8-97e7c764ee9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e0fe7f4-60ad-485b-a5c1-5fd3b0ede552"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446967e1-d23c-4646-b7e5-c146a5422805" ma:termSetId="09814cd3-568e-fe90-9814-8d621ff8fb84" ma:anchorId="fba54fb3-c3e1-fe81-a776-ca4b69148c4d" ma:open="true" ma:isKeyword="false">
      <xsd:complexType>
        <xsd:sequence>
          <xsd:element ref="pc:Terms" minOccurs="0" maxOccurs="1"/>
        </xsd:sequence>
      </xsd:complexType>
    </xsd:element>
    <xsd:element name="Preview" ma:index="25" nillable="true" ma:displayName="Preview" ma:format="Dropdown" ma:internalName="Preview">
      <xsd:simpleType>
        <xsd:restriction base="dms:Text">
          <xsd:maxLength value="255"/>
        </xsd:restrict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12b8265c-be14-410d-b9a8-97e7c764ee96" xsi:nil="true"/>
    <lcf76f155ced4ddcb4097134ff3c332f xmlns="9e0fe7f4-60ad-485b-a5c1-5fd3b0ede552">
      <Terms xmlns="http://schemas.microsoft.com/office/infopath/2007/PartnerControls"/>
    </lcf76f155ced4ddcb4097134ff3c332f>
    <AHSArchived xmlns="12b8265c-be14-410d-b9a8-97e7c764ee96">false</AHSArchived>
    <AHSOpmerking xmlns="12b8265c-be14-410d-b9a8-97e7c764ee96" xsi:nil="true"/>
    <Preview xmlns="9e0fe7f4-60ad-485b-a5c1-5fd3b0ede552" xsi:nil="true"/>
    <AHSLeesRechtenStudenten xmlns="12b8265c-be14-410d-b9a8-97e7c764ee96">true</AHSLeesRechtenStudenten>
    <AHSSortering xmlns="12b8265c-be14-410d-b9a8-97e7c764ee96" xsi:nil="true"/>
  </documentManagement>
</p:properties>
</file>

<file path=customXml/itemProps1.xml><?xml version="1.0" encoding="utf-8"?>
<ds:datastoreItem xmlns:ds="http://schemas.openxmlformats.org/officeDocument/2006/customXml" ds:itemID="{911ECCCB-A0A8-4B75-B667-39B04345F53A}">
  <ds:schemaRefs>
    <ds:schemaRef ds:uri="http://schemas.microsoft.com/sharepoint/v3/contenttype/forms"/>
  </ds:schemaRefs>
</ds:datastoreItem>
</file>

<file path=customXml/itemProps2.xml><?xml version="1.0" encoding="utf-8"?>
<ds:datastoreItem xmlns:ds="http://schemas.openxmlformats.org/officeDocument/2006/customXml" ds:itemID="{01BF2D88-046C-47C6-8260-419066DAC5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b8265c-be14-410d-b9a8-97e7c764ee96"/>
    <ds:schemaRef ds:uri="9e0fe7f4-60ad-485b-a5c1-5fd3b0ede5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A20D85-B0B9-4472-9A9D-0645E5FEC7B0}">
  <ds:schemaRefs>
    <ds:schemaRef ds:uri="http://schemas.openxmlformats.org/officeDocument/2006/bibliography"/>
  </ds:schemaRefs>
</ds:datastoreItem>
</file>

<file path=customXml/itemProps4.xml><?xml version="1.0" encoding="utf-8"?>
<ds:datastoreItem xmlns:ds="http://schemas.openxmlformats.org/officeDocument/2006/customXml" ds:itemID="{16032D07-8E52-4BE9-BF1C-731DF48BA49B}">
  <ds:schemaRefs>
    <ds:schemaRef ds:uri="http://schemas.microsoft.com/office/2006/metadata/properties"/>
    <ds:schemaRef ds:uri="http://schemas.microsoft.com/office/infopath/2007/PartnerControls"/>
    <ds:schemaRef ds:uri="12b8265c-be14-410d-b9a8-97e7c764ee96"/>
    <ds:schemaRef ds:uri="9e0fe7f4-60ad-485b-a5c1-5fd3b0ede552"/>
  </ds:schemaRefs>
</ds:datastoreItem>
</file>

<file path=docProps/app.xml><?xml version="1.0" encoding="utf-8"?>
<Properties xmlns="http://schemas.openxmlformats.org/officeDocument/2006/extended-properties" xmlns:vt="http://schemas.openxmlformats.org/officeDocument/2006/docPropsVTypes">
  <Template>basis_nl (2)</Template>
  <TotalTime>2</TotalTime>
  <Pages>3</Pages>
  <Words>1161</Words>
  <Characters>6388</Characters>
  <Application>Microsoft Office Word</Application>
  <DocSecurity>0</DocSecurity>
  <Lines>53</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Nele De Roo (PBAVPK, SUBOOG)</dc:creator>
  <cp:keywords/>
  <dc:description/>
  <cp:lastModifiedBy>Nele (VPK) De Roo</cp:lastModifiedBy>
  <cp:revision>6</cp:revision>
  <cp:lastPrinted>2020-03-11T12:42:00Z</cp:lastPrinted>
  <dcterms:created xsi:type="dcterms:W3CDTF">2026-10-02T14:59:00Z</dcterms:created>
  <dcterms:modified xsi:type="dcterms:W3CDTF">2026-10-02T17:07:00Z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7be93de8-961a-4162-bd9d-bb48d15bf8e2</vt:lpwstr>
  </property>
  <property fmtid="{D5CDD505-2E9C-101B-9397-08002B2CF9AE}" pid="3" name="TitusCorpClassification">
    <vt:lpwstr>Not Applicable</vt:lpwstr>
  </property>
  <property fmtid="{D5CDD505-2E9C-101B-9397-08002B2CF9AE}" pid="4" name="ContentTypeId">
    <vt:lpwstr>0x010100B58429747AA6B8418C14593960C5299E00C6575CB230C99E46945843624BACCDD2</vt:lpwstr>
  </property>
  <property fmtid="{D5CDD505-2E9C-101B-9397-08002B2CF9AE}" pid="5" name="MediaServiceImageTags">
    <vt:lpwstr/>
  </property>
</Properties>
</file>