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tbl>
      <w:tblPr>
        <w:tblStyle w:val="2"/>
        <w:tblW w:w="4999" w:type="pct"/>
        <w:tblInd w:w="0" w:type="dxa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shd w:val="clear" w:color="auto" w:fill="auto"/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071"/>
        <w:gridCol w:w="2465"/>
        <w:gridCol w:w="2534"/>
        <w:gridCol w:w="2256"/>
        <w:gridCol w:w="2337"/>
        <w:gridCol w:w="1337"/>
        <w:gridCol w:w="3611"/>
      </w:tblGrid>
      <w:tr w14:paraId="13E8336E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40" w:hRule="atLeast"/>
        </w:trPr>
        <w:tc>
          <w:tcPr>
            <w:tcW w:w="34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72F42B6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b/>
                <w:bCs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bookmarkStart w:id="0" w:name="_GoBack"/>
            <w:r>
              <w:rPr>
                <w:rFonts w:hint="default" w:ascii="Times New Roman" w:hAnsi="Times New Roman" w:eastAsia="宋体" w:cs="Times New Roman"/>
                <w:b/>
                <w:bCs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Time Period</w:t>
            </w:r>
          </w:p>
        </w:tc>
        <w:tc>
          <w:tcPr>
            <w:tcW w:w="78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42ED1E8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b/>
                <w:bCs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/>
                <w:bCs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Theme</w:t>
            </w:r>
          </w:p>
        </w:tc>
        <w:tc>
          <w:tcPr>
            <w:tcW w:w="81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2E6DD13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b/>
                <w:bCs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/>
                <w:bCs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Category</w:t>
            </w:r>
          </w:p>
        </w:tc>
        <w:tc>
          <w:tcPr>
            <w:tcW w:w="72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6B8D11A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b/>
                <w:bCs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/>
                <w:bCs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Subcategory</w:t>
            </w:r>
          </w:p>
        </w:tc>
        <w:tc>
          <w:tcPr>
            <w:tcW w:w="74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301F0FA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b/>
                <w:bCs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/>
                <w:bCs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Code</w:t>
            </w:r>
          </w:p>
        </w:tc>
        <w:tc>
          <w:tcPr>
            <w:tcW w:w="42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31737EB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b/>
                <w:bCs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/>
                <w:bCs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Frequency (n)</w:t>
            </w:r>
          </w:p>
        </w:tc>
        <w:tc>
          <w:tcPr>
            <w:tcW w:w="115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71741F9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b/>
                <w:bCs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/>
                <w:bCs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Representative Interview Excerpt</w:t>
            </w:r>
          </w:p>
        </w:tc>
      </w:tr>
      <w:tr w14:paraId="3A42D875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33" w:hRule="atLeast"/>
        </w:trPr>
        <w:tc>
          <w:tcPr>
            <w:tcW w:w="343" w:type="pct"/>
            <w:vMerge w:val="restart"/>
            <w:tcBorders>
              <w:top w:val="nil"/>
              <w:left w:val="nil"/>
              <w:right w:val="nil"/>
            </w:tcBorders>
            <w:shd w:val="clear" w:color="auto" w:fill="auto"/>
            <w:vAlign w:val="center"/>
          </w:tcPr>
          <w:p w14:paraId="314520C6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T0–T1</w:t>
            </w:r>
          </w:p>
        </w:tc>
        <w:tc>
          <w:tcPr>
            <w:tcW w:w="789" w:type="pct"/>
            <w:vMerge w:val="restart"/>
            <w:tcBorders>
              <w:top w:val="nil"/>
              <w:left w:val="nil"/>
              <w:right w:val="nil"/>
            </w:tcBorders>
            <w:shd w:val="clear" w:color="auto" w:fill="auto"/>
            <w:vAlign w:val="center"/>
          </w:tcPr>
          <w:p w14:paraId="1E15E01D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Synergy of Intrinsic Motivation and Multi-level Support</w:t>
            </w:r>
          </w:p>
        </w:tc>
        <w:tc>
          <w:tcPr>
            <w:tcW w:w="81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250AAF63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Individual Motivational Factors</w:t>
            </w:r>
          </w:p>
        </w:tc>
        <w:tc>
          <w:tcPr>
            <w:tcW w:w="72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00B37885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Intrinsic Motivation</w:t>
            </w:r>
          </w:p>
        </w:tc>
        <w:tc>
          <w:tcPr>
            <w:tcW w:w="74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68FC834F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Positive Professional Attitude and Enthusiasm</w:t>
            </w:r>
          </w:p>
        </w:tc>
        <w:tc>
          <w:tcPr>
            <w:tcW w:w="42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7BEC1432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12</w:t>
            </w:r>
          </w:p>
        </w:tc>
        <w:tc>
          <w:tcPr>
            <w:tcW w:w="115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4103C291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At the beginning of employment, I had strong professional enthusiasm and actively participated in clinical work.</w:t>
            </w:r>
          </w:p>
        </w:tc>
      </w:tr>
      <w:tr w14:paraId="15B715EC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110" w:hRule="atLeast"/>
        </w:trPr>
        <w:tc>
          <w:tcPr>
            <w:tcW w:w="343" w:type="pct"/>
            <w:vMerge w:val="continue"/>
            <w:tcBorders>
              <w:left w:val="nil"/>
              <w:right w:val="nil"/>
            </w:tcBorders>
            <w:shd w:val="clear" w:color="auto" w:fill="auto"/>
            <w:vAlign w:val="center"/>
          </w:tcPr>
          <w:p w14:paraId="6AAD070C">
            <w:pP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789" w:type="pct"/>
            <w:vMerge w:val="continue"/>
            <w:tcBorders>
              <w:left w:val="nil"/>
              <w:right w:val="nil"/>
            </w:tcBorders>
            <w:shd w:val="clear" w:color="auto" w:fill="auto"/>
            <w:vAlign w:val="center"/>
          </w:tcPr>
          <w:p w14:paraId="63802C7C">
            <w:pP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811" w:type="pct"/>
            <w:vMerge w:val="restart"/>
            <w:tcBorders>
              <w:top w:val="nil"/>
              <w:left w:val="nil"/>
              <w:right w:val="nil"/>
            </w:tcBorders>
            <w:shd w:val="clear" w:color="auto" w:fill="auto"/>
            <w:vAlign w:val="center"/>
          </w:tcPr>
          <w:p w14:paraId="580AF3D7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External Support System</w:t>
            </w:r>
          </w:p>
        </w:tc>
        <w:tc>
          <w:tcPr>
            <w:tcW w:w="72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2820E279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Teaching Support</w:t>
            </w:r>
          </w:p>
        </w:tc>
        <w:tc>
          <w:tcPr>
            <w:tcW w:w="74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426F1E6B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Mentor Encouragement and Guidance</w:t>
            </w:r>
          </w:p>
        </w:tc>
        <w:tc>
          <w:tcPr>
            <w:tcW w:w="42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553F788D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10</w:t>
            </w:r>
          </w:p>
        </w:tc>
        <w:tc>
          <w:tcPr>
            <w:tcW w:w="115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6B554683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My mentor’s teaching style had a great influence on me; when teachers provided encouragement and patience, I progressed quickly.</w:t>
            </w:r>
          </w:p>
        </w:tc>
      </w:tr>
      <w:tr w14:paraId="6212DAAA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55" w:hRule="atLeast"/>
        </w:trPr>
        <w:tc>
          <w:tcPr>
            <w:tcW w:w="343" w:type="pct"/>
            <w:vMerge w:val="continue"/>
            <w:tcBorders>
              <w:left w:val="nil"/>
              <w:right w:val="nil"/>
            </w:tcBorders>
            <w:shd w:val="clear" w:color="auto" w:fill="auto"/>
            <w:vAlign w:val="center"/>
          </w:tcPr>
          <w:p w14:paraId="0B528B03">
            <w:pP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789" w:type="pct"/>
            <w:vMerge w:val="continue"/>
            <w:tcBorders>
              <w:left w:val="nil"/>
              <w:right w:val="nil"/>
            </w:tcBorders>
            <w:shd w:val="clear" w:color="auto" w:fill="auto"/>
            <w:vAlign w:val="center"/>
          </w:tcPr>
          <w:p w14:paraId="5F111758">
            <w:pP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811" w:type="pct"/>
            <w:vMerge w:val="continue"/>
            <w:tcBorders>
              <w:left w:val="nil"/>
              <w:right w:val="nil"/>
            </w:tcBorders>
            <w:shd w:val="clear" w:color="auto" w:fill="auto"/>
            <w:vAlign w:val="center"/>
          </w:tcPr>
          <w:p w14:paraId="4909033A">
            <w:pP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72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28063D92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Emotional Support</w:t>
            </w:r>
          </w:p>
        </w:tc>
        <w:tc>
          <w:tcPr>
            <w:tcW w:w="74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063D1E67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Positive Patient Feedback</w:t>
            </w:r>
          </w:p>
        </w:tc>
        <w:tc>
          <w:tcPr>
            <w:tcW w:w="42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60C62021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4</w:t>
            </w:r>
          </w:p>
        </w:tc>
        <w:tc>
          <w:tcPr>
            <w:tcW w:w="115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4440DC20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Praise from patients gave me great confidence.</w:t>
            </w:r>
          </w:p>
        </w:tc>
      </w:tr>
      <w:tr w14:paraId="38C54011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33" w:hRule="atLeast"/>
        </w:trPr>
        <w:tc>
          <w:tcPr>
            <w:tcW w:w="343" w:type="pct"/>
            <w:vMerge w:val="continue"/>
            <w:tcBorders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4880C40B">
            <w:pP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789" w:type="pct"/>
            <w:vMerge w:val="continue"/>
            <w:tcBorders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781D9561">
            <w:pP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811" w:type="pct"/>
            <w:vMerge w:val="continue"/>
            <w:tcBorders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7B67092E">
            <w:pP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72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113FB40E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Practical Opportunities</w:t>
            </w:r>
          </w:p>
        </w:tc>
        <w:tc>
          <w:tcPr>
            <w:tcW w:w="74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67BD651C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Department Rotation Facilitating Skill Improvement</w:t>
            </w:r>
          </w:p>
        </w:tc>
        <w:tc>
          <w:tcPr>
            <w:tcW w:w="42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1366F15F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8</w:t>
            </w:r>
          </w:p>
        </w:tc>
        <w:tc>
          <w:tcPr>
            <w:tcW w:w="115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5F800A48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Rotating through the emergency department greatly improved my intravenous insertion skills.</w:t>
            </w:r>
          </w:p>
        </w:tc>
      </w:tr>
      <w:tr w14:paraId="4A944F69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33" w:hRule="atLeast"/>
        </w:trPr>
        <w:tc>
          <w:tcPr>
            <w:tcW w:w="343" w:type="pct"/>
            <w:vMerge w:val="restart"/>
            <w:tcBorders>
              <w:top w:val="nil"/>
              <w:left w:val="nil"/>
              <w:right w:val="nil"/>
            </w:tcBorders>
            <w:shd w:val="clear" w:color="auto" w:fill="auto"/>
            <w:vAlign w:val="center"/>
          </w:tcPr>
          <w:p w14:paraId="1A650FFF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T1–T2</w:t>
            </w:r>
          </w:p>
        </w:tc>
        <w:tc>
          <w:tcPr>
            <w:tcW w:w="789" w:type="pct"/>
            <w:vMerge w:val="restart"/>
            <w:tcBorders>
              <w:top w:val="nil"/>
              <w:left w:val="nil"/>
              <w:right w:val="nil"/>
            </w:tcBorders>
            <w:shd w:val="clear" w:color="auto" w:fill="auto"/>
            <w:vAlign w:val="center"/>
          </w:tcPr>
          <w:p w14:paraId="02D12AD4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Decline in Intrinsic Motivation and Adaptation Challenges</w:t>
            </w:r>
          </w:p>
        </w:tc>
        <w:tc>
          <w:tcPr>
            <w:tcW w:w="811" w:type="pct"/>
            <w:vMerge w:val="restart"/>
            <w:tcBorders>
              <w:top w:val="nil"/>
              <w:left w:val="nil"/>
              <w:right w:val="nil"/>
            </w:tcBorders>
            <w:shd w:val="clear" w:color="auto" w:fill="auto"/>
            <w:vAlign w:val="center"/>
          </w:tcPr>
          <w:p w14:paraId="699B2DBF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Decline in Intrinsic Motivation</w:t>
            </w:r>
          </w:p>
        </w:tc>
        <w:tc>
          <w:tcPr>
            <w:tcW w:w="72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26733331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Learning Fatigue</w:t>
            </w:r>
          </w:p>
        </w:tc>
        <w:tc>
          <w:tcPr>
            <w:tcW w:w="74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6BBD7E2D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Reduced Initiative</w:t>
            </w:r>
          </w:p>
        </w:tc>
        <w:tc>
          <w:tcPr>
            <w:tcW w:w="42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21BA7D4F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5</w:t>
            </w:r>
          </w:p>
        </w:tc>
        <w:tc>
          <w:tcPr>
            <w:tcW w:w="115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53B6DF56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After adapting to the department workflow, my learning motivation began to decrease.</w:t>
            </w:r>
          </w:p>
        </w:tc>
      </w:tr>
      <w:tr w14:paraId="3026C63F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33" w:hRule="atLeast"/>
        </w:trPr>
        <w:tc>
          <w:tcPr>
            <w:tcW w:w="343" w:type="pct"/>
            <w:vMerge w:val="continue"/>
            <w:tcBorders>
              <w:left w:val="nil"/>
              <w:right w:val="nil"/>
            </w:tcBorders>
            <w:shd w:val="clear" w:color="auto" w:fill="auto"/>
            <w:vAlign w:val="center"/>
          </w:tcPr>
          <w:p w14:paraId="11F9B624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</w:p>
        </w:tc>
        <w:tc>
          <w:tcPr>
            <w:tcW w:w="789" w:type="pct"/>
            <w:vMerge w:val="continue"/>
            <w:tcBorders>
              <w:left w:val="nil"/>
              <w:right w:val="nil"/>
            </w:tcBorders>
            <w:shd w:val="clear" w:color="auto" w:fill="auto"/>
            <w:vAlign w:val="center"/>
          </w:tcPr>
          <w:p w14:paraId="46922F92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</w:p>
        </w:tc>
        <w:tc>
          <w:tcPr>
            <w:tcW w:w="811" w:type="pct"/>
            <w:vMerge w:val="continue"/>
            <w:tcBorders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47AA8079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</w:p>
        </w:tc>
        <w:tc>
          <w:tcPr>
            <w:tcW w:w="72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59AE31AB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FF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FF0000"/>
                <w:kern w:val="0"/>
                <w:sz w:val="22"/>
                <w:szCs w:val="22"/>
                <w:u w:val="none"/>
                <w:lang w:val="en-US" w:eastAsia="zh-CN" w:bidi="ar"/>
              </w:rPr>
              <w:t>Unappreciated Work Efforts</w:t>
            </w:r>
          </w:p>
        </w:tc>
        <w:tc>
          <w:tcPr>
            <w:tcW w:w="74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4EBB8229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FF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FF0000"/>
                <w:kern w:val="0"/>
                <w:sz w:val="22"/>
                <w:szCs w:val="22"/>
                <w:u w:val="none"/>
                <w:lang w:val="en-US" w:eastAsia="zh-CN" w:bidi="ar"/>
              </w:rPr>
              <w:t>Efforts Unrecognized</w:t>
            </w:r>
            <w:r>
              <w:rPr>
                <w:rFonts w:hint="eastAsia" w:ascii="Times New Roman" w:hAnsi="Times New Roman" w:eastAsia="宋体" w:cs="Times New Roman"/>
                <w:i w:val="0"/>
                <w:iCs w:val="0"/>
                <w:color w:val="FF0000"/>
                <w:kern w:val="0"/>
                <w:sz w:val="22"/>
                <w:szCs w:val="22"/>
                <w:u w:val="none"/>
                <w:lang w:val="en-US" w:eastAsia="zh-CN" w:bidi="ar"/>
              </w:rPr>
              <w:t xml:space="preserve"> </w:t>
            </w: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FF0000"/>
                <w:kern w:val="0"/>
                <w:sz w:val="22"/>
                <w:szCs w:val="22"/>
                <w:u w:val="none"/>
                <w:lang w:val="en-US" w:eastAsia="zh-CN" w:bidi="ar"/>
              </w:rPr>
              <w:t>with Heavy Workload</w:t>
            </w:r>
          </w:p>
        </w:tc>
        <w:tc>
          <w:tcPr>
            <w:tcW w:w="42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38A6EED8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FF0000"/>
                <w:kern w:val="0"/>
                <w:sz w:val="22"/>
                <w:szCs w:val="22"/>
                <w:highlight w:val="none"/>
                <w:u w:val="none"/>
                <w:lang w:val="en-US" w:eastAsia="zh-CN" w:bidi="ar"/>
              </w:rPr>
              <w:t>4</w:t>
            </w:r>
          </w:p>
        </w:tc>
        <w:tc>
          <w:tcPr>
            <w:tcW w:w="115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32964BB1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FF0000"/>
                <w:kern w:val="0"/>
                <w:sz w:val="22"/>
                <w:szCs w:val="22"/>
                <w:u w:val="none"/>
                <w:lang w:val="en-US" w:eastAsia="zh-CN" w:bidi="ar"/>
              </w:rPr>
              <w:t>The workload is heavy, but the recognition from patients and families is low. Sometimes I feel my efforts are not valued.</w:t>
            </w:r>
          </w:p>
        </w:tc>
      </w:tr>
      <w:tr w14:paraId="140E205C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33" w:hRule="atLeast"/>
        </w:trPr>
        <w:tc>
          <w:tcPr>
            <w:tcW w:w="343" w:type="pct"/>
            <w:vMerge w:val="continue"/>
            <w:tcBorders>
              <w:left w:val="nil"/>
              <w:right w:val="nil"/>
            </w:tcBorders>
            <w:shd w:val="clear" w:color="auto" w:fill="auto"/>
            <w:vAlign w:val="center"/>
          </w:tcPr>
          <w:p w14:paraId="7690979F">
            <w:pP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789" w:type="pct"/>
            <w:vMerge w:val="continue"/>
            <w:tcBorders>
              <w:left w:val="nil"/>
              <w:right w:val="nil"/>
            </w:tcBorders>
            <w:shd w:val="clear" w:color="auto" w:fill="auto"/>
            <w:vAlign w:val="center"/>
          </w:tcPr>
          <w:p w14:paraId="5ECA1E27">
            <w:pP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811" w:type="pct"/>
            <w:vMerge w:val="restart"/>
            <w:tcBorders>
              <w:left w:val="nil"/>
              <w:right w:val="nil"/>
            </w:tcBorders>
            <w:shd w:val="clear" w:color="auto" w:fill="auto"/>
            <w:vAlign w:val="center"/>
          </w:tcPr>
          <w:p w14:paraId="45BA1BCB">
            <w:pP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highlight w:val="none"/>
                <w:u w:val="none"/>
                <w:lang w:val="en-US" w:eastAsia="zh-CN" w:bidi="ar"/>
              </w:rPr>
              <w:t>Psychological Stress and Role Transition Challenges</w:t>
            </w:r>
          </w:p>
        </w:tc>
        <w:tc>
          <w:tcPr>
            <w:tcW w:w="72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1D2CB52D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highlight w:val="yellow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Independent Practice Pressure</w:t>
            </w:r>
          </w:p>
        </w:tc>
        <w:tc>
          <w:tcPr>
            <w:tcW w:w="74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5E5CF9F7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highlight w:val="yellow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Night Shift Adaptation Stress</w:t>
            </w:r>
          </w:p>
        </w:tc>
        <w:tc>
          <w:tcPr>
            <w:tcW w:w="42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3BAA9198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highlight w:val="yellow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14</w:t>
            </w:r>
          </w:p>
        </w:tc>
        <w:tc>
          <w:tcPr>
            <w:tcW w:w="115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566FADCE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highlight w:val="yellow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When I started night shifts alone, I felt both pressure and responsibility.</w:t>
            </w:r>
          </w:p>
        </w:tc>
      </w:tr>
      <w:tr w14:paraId="4299280A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55" w:hRule="atLeast"/>
        </w:trPr>
        <w:tc>
          <w:tcPr>
            <w:tcW w:w="343" w:type="pct"/>
            <w:vMerge w:val="continue"/>
            <w:tcBorders>
              <w:left w:val="nil"/>
              <w:right w:val="nil"/>
            </w:tcBorders>
            <w:shd w:val="clear" w:color="auto" w:fill="auto"/>
            <w:vAlign w:val="center"/>
          </w:tcPr>
          <w:p w14:paraId="61820E94">
            <w:pP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789" w:type="pct"/>
            <w:vMerge w:val="continue"/>
            <w:tcBorders>
              <w:left w:val="nil"/>
              <w:right w:val="nil"/>
            </w:tcBorders>
            <w:shd w:val="clear" w:color="auto" w:fill="auto"/>
            <w:vAlign w:val="center"/>
          </w:tcPr>
          <w:p w14:paraId="0F9A0497">
            <w:pP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811" w:type="pct"/>
            <w:vMerge w:val="continue"/>
            <w:tcBorders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7EEC5A71">
            <w:pP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72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1B9DA274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Department Change</w:t>
            </w:r>
          </w:p>
        </w:tc>
        <w:tc>
          <w:tcPr>
            <w:tcW w:w="74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6735CF92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Difficulty Adapting Across Departments</w:t>
            </w:r>
          </w:p>
        </w:tc>
        <w:tc>
          <w:tcPr>
            <w:tcW w:w="42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044C0070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4</w:t>
            </w:r>
          </w:p>
        </w:tc>
        <w:tc>
          <w:tcPr>
            <w:tcW w:w="115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505B2BC9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Being urgently transferred to a new department made me feel overwhelmed.</w:t>
            </w:r>
          </w:p>
        </w:tc>
      </w:tr>
      <w:tr w14:paraId="2E7B1429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55" w:hRule="atLeast"/>
        </w:trPr>
        <w:tc>
          <w:tcPr>
            <w:tcW w:w="343" w:type="pct"/>
            <w:vMerge w:val="continue"/>
            <w:tcBorders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7FE474FE">
            <w:pP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789" w:type="pct"/>
            <w:vMerge w:val="continue"/>
            <w:tcBorders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7A7E0289">
            <w:pP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811" w:type="pct"/>
            <w:tcBorders>
              <w:top w:val="nil"/>
              <w:left w:val="nil"/>
              <w:right w:val="nil"/>
            </w:tcBorders>
            <w:shd w:val="clear" w:color="auto" w:fill="auto"/>
            <w:vAlign w:val="center"/>
          </w:tcPr>
          <w:p w14:paraId="120612CA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Career Development</w:t>
            </w:r>
          </w:p>
        </w:tc>
        <w:tc>
          <w:tcPr>
            <w:tcW w:w="72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163B0C5D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Self-Awareness</w:t>
            </w:r>
          </w:p>
        </w:tc>
        <w:tc>
          <w:tcPr>
            <w:tcW w:w="74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5D7ED8CC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Recognition of Strengths and Weaknesses</w:t>
            </w:r>
          </w:p>
        </w:tc>
        <w:tc>
          <w:tcPr>
            <w:tcW w:w="42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601F9532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10</w:t>
            </w:r>
          </w:p>
        </w:tc>
        <w:tc>
          <w:tcPr>
            <w:tcW w:w="115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3992A1BB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I clearly recognized my abilities and areas that need improvement.</w:t>
            </w:r>
          </w:p>
        </w:tc>
      </w:tr>
      <w:tr w14:paraId="5DEA03DD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55" w:hRule="atLeast"/>
        </w:trPr>
        <w:tc>
          <w:tcPr>
            <w:tcW w:w="343" w:type="pct"/>
            <w:vMerge w:val="restart"/>
            <w:tcBorders>
              <w:top w:val="nil"/>
              <w:left w:val="nil"/>
              <w:right w:val="nil"/>
            </w:tcBorders>
            <w:shd w:val="clear" w:color="auto" w:fill="auto"/>
            <w:vAlign w:val="center"/>
          </w:tcPr>
          <w:p w14:paraId="140B2B57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T2–T3</w:t>
            </w:r>
          </w:p>
        </w:tc>
        <w:tc>
          <w:tcPr>
            <w:tcW w:w="789" w:type="pct"/>
            <w:vMerge w:val="restart"/>
            <w:tcBorders>
              <w:top w:val="nil"/>
              <w:left w:val="nil"/>
              <w:right w:val="nil"/>
            </w:tcBorders>
            <w:shd w:val="clear" w:color="auto" w:fill="auto"/>
            <w:vAlign w:val="center"/>
          </w:tcPr>
          <w:p w14:paraId="5000E7DF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Clear Career Direction and Role Internalization</w:t>
            </w:r>
          </w:p>
        </w:tc>
        <w:tc>
          <w:tcPr>
            <w:tcW w:w="811" w:type="pct"/>
            <w:vMerge w:val="restart"/>
            <w:tcBorders>
              <w:left w:val="nil"/>
              <w:right w:val="nil"/>
            </w:tcBorders>
            <w:shd w:val="clear" w:color="auto" w:fill="auto"/>
            <w:vAlign w:val="center"/>
          </w:tcPr>
          <w:p w14:paraId="5072F07F">
            <w:pP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Role Internalization</w:t>
            </w:r>
          </w:p>
        </w:tc>
        <w:tc>
          <w:tcPr>
            <w:tcW w:w="72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20A1D0EB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Career Planning</w:t>
            </w:r>
          </w:p>
        </w:tc>
        <w:tc>
          <w:tcPr>
            <w:tcW w:w="74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10BE2C10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Exploration of Career Development Directions</w:t>
            </w:r>
          </w:p>
        </w:tc>
        <w:tc>
          <w:tcPr>
            <w:tcW w:w="42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1799DBC5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5</w:t>
            </w:r>
          </w:p>
        </w:tc>
        <w:tc>
          <w:tcPr>
            <w:tcW w:w="115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55841D27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As my skills improved, I began to consider my career direction.</w:t>
            </w:r>
          </w:p>
        </w:tc>
      </w:tr>
      <w:tr w14:paraId="0C803680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55" w:hRule="atLeast"/>
        </w:trPr>
        <w:tc>
          <w:tcPr>
            <w:tcW w:w="343" w:type="pct"/>
            <w:vMerge w:val="continue"/>
            <w:tcBorders>
              <w:left w:val="nil"/>
              <w:right w:val="nil"/>
            </w:tcBorders>
            <w:shd w:val="clear" w:color="auto" w:fill="auto"/>
            <w:vAlign w:val="center"/>
          </w:tcPr>
          <w:p w14:paraId="276DDCFD">
            <w:pP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789" w:type="pct"/>
            <w:vMerge w:val="continue"/>
            <w:tcBorders>
              <w:left w:val="nil"/>
              <w:right w:val="nil"/>
            </w:tcBorders>
            <w:shd w:val="clear" w:color="auto" w:fill="auto"/>
            <w:vAlign w:val="center"/>
          </w:tcPr>
          <w:p w14:paraId="61CB60AB">
            <w:pP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811" w:type="pct"/>
            <w:vMerge w:val="continue"/>
            <w:tcBorders>
              <w:left w:val="nil"/>
              <w:right w:val="nil"/>
            </w:tcBorders>
            <w:shd w:val="clear" w:color="auto" w:fill="auto"/>
            <w:vAlign w:val="center"/>
          </w:tcPr>
          <w:p w14:paraId="5CE2D682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72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0C6059DF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Identity Transformation</w:t>
            </w:r>
          </w:p>
        </w:tc>
        <w:tc>
          <w:tcPr>
            <w:tcW w:w="74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2EA3319F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Role Recognition from Student to Nurse</w:t>
            </w:r>
          </w:p>
        </w:tc>
        <w:tc>
          <w:tcPr>
            <w:tcW w:w="42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17547CCD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8</w:t>
            </w:r>
          </w:p>
        </w:tc>
        <w:tc>
          <w:tcPr>
            <w:tcW w:w="115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5CAA65EF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Working independently made me realize I was no longer a student; my sense of responsibility and caution increased.</w:t>
            </w:r>
          </w:p>
        </w:tc>
      </w:tr>
      <w:tr w14:paraId="3AC982CB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33" w:hRule="atLeast"/>
        </w:trPr>
        <w:tc>
          <w:tcPr>
            <w:tcW w:w="343" w:type="pct"/>
            <w:vMerge w:val="continue"/>
            <w:tcBorders>
              <w:left w:val="nil"/>
              <w:right w:val="nil"/>
            </w:tcBorders>
            <w:shd w:val="clear" w:color="auto" w:fill="auto"/>
            <w:vAlign w:val="center"/>
          </w:tcPr>
          <w:p w14:paraId="2EE36456">
            <w:pP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789" w:type="pct"/>
            <w:vMerge w:val="continue"/>
            <w:tcBorders>
              <w:left w:val="nil"/>
              <w:right w:val="nil"/>
            </w:tcBorders>
            <w:shd w:val="clear" w:color="auto" w:fill="auto"/>
            <w:vAlign w:val="center"/>
          </w:tcPr>
          <w:p w14:paraId="14DE238F">
            <w:pP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81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2C32B850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Capability Development</w:t>
            </w:r>
          </w:p>
        </w:tc>
        <w:tc>
          <w:tcPr>
            <w:tcW w:w="72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78A52921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Coping Ability</w:t>
            </w:r>
          </w:p>
        </w:tc>
        <w:tc>
          <w:tcPr>
            <w:tcW w:w="74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1F546E4D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Improvement in Emergency Handling Skills</w:t>
            </w:r>
          </w:p>
        </w:tc>
        <w:tc>
          <w:tcPr>
            <w:tcW w:w="42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33C7324C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</w:t>
            </w:r>
          </w:p>
        </w:tc>
        <w:tc>
          <w:tcPr>
            <w:tcW w:w="115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15A4E186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The initial difficulties during solo night shifts taught me how to respond calmly.</w:t>
            </w:r>
          </w:p>
        </w:tc>
      </w:tr>
      <w:tr w14:paraId="336E115E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55" w:hRule="atLeast"/>
        </w:trPr>
        <w:tc>
          <w:tcPr>
            <w:tcW w:w="343" w:type="pct"/>
            <w:vMerge w:val="continue"/>
            <w:tcBorders>
              <w:left w:val="nil"/>
              <w:right w:val="nil"/>
            </w:tcBorders>
            <w:shd w:val="clear" w:color="auto" w:fill="auto"/>
            <w:vAlign w:val="center"/>
          </w:tcPr>
          <w:p w14:paraId="799E029C">
            <w:pP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789" w:type="pct"/>
            <w:vMerge w:val="continue"/>
            <w:tcBorders>
              <w:left w:val="nil"/>
              <w:right w:val="nil"/>
            </w:tcBorders>
            <w:shd w:val="clear" w:color="auto" w:fill="auto"/>
            <w:vAlign w:val="center"/>
          </w:tcPr>
          <w:p w14:paraId="12EE7063">
            <w:pP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81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625749DA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Social Adaptation</w:t>
            </w:r>
          </w:p>
        </w:tc>
        <w:tc>
          <w:tcPr>
            <w:tcW w:w="72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3A881E1E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Team Integration</w:t>
            </w:r>
          </w:p>
        </w:tc>
        <w:tc>
          <w:tcPr>
            <w:tcW w:w="74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35DCEB5C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Enhanced Team Collaboration Awareness</w:t>
            </w:r>
          </w:p>
        </w:tc>
        <w:tc>
          <w:tcPr>
            <w:tcW w:w="42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2E83C8D4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4</w:t>
            </w:r>
          </w:p>
        </w:tc>
        <w:tc>
          <w:tcPr>
            <w:tcW w:w="115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6761ABDA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Independent work improved my communication with doctors and colleagues, enhancing my sense of team belonging.</w:t>
            </w:r>
          </w:p>
        </w:tc>
      </w:tr>
      <w:tr w14:paraId="7726E76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110" w:hRule="atLeast"/>
        </w:trPr>
        <w:tc>
          <w:tcPr>
            <w:tcW w:w="343" w:type="pct"/>
            <w:vMerge w:val="continue"/>
            <w:tcBorders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25D83CA0">
            <w:pP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789" w:type="pct"/>
            <w:vMerge w:val="continue"/>
            <w:tcBorders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16D9FFA5">
            <w:pP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81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7334A3CE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72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55562222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74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0895CD87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42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778BEE71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115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7D7EBD30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</w:tr>
      <w:bookmarkEnd w:id="0"/>
    </w:tbl>
    <w:p w14:paraId="453083DF"/>
    <w:sectPr>
      <w:pgSz w:w="16838" w:h="11906" w:orient="landscape"/>
      <w:pgMar w:top="720" w:right="720" w:bottom="720" w:left="72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  <w:font w:name="微软雅黑">
    <w:panose1 w:val="020B0503020204020204"/>
    <w:charset w:val="86"/>
    <w:family w:val="auto"/>
    <w:pitch w:val="default"/>
    <w:sig w:usb0="80000287" w:usb1="2ACF3C50" w:usb2="00000016" w:usb3="00000000" w:csb0="0004001F" w:csb1="00000000"/>
  </w:font>
  <w:font w:name="Tahoma">
    <w:panose1 w:val="020B0604030504040204"/>
    <w:charset w:val="00"/>
    <w:family w:val="auto"/>
    <w:pitch w:val="default"/>
    <w:sig w:usb0="E1002EFF" w:usb1="C000605B" w:usb2="00000029" w:usb3="00000000" w:csb0="200101FF" w:csb1="2028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82"/>
  <w:embedSystemFonts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doNotUseIndentAsNumberingTabStop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69604AA"/>
    <w:rsid w:val="069604AA"/>
    <w:rsid w:val="4D8D48D3"/>
    <w:rsid w:val="71695F9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3">
    <w:name w:val="Default Paragraph Font"/>
    <w:semiHidden/>
    <w:qFormat/>
    <w:uiPriority w:val="0"/>
  </w:style>
  <w:style w:type="table" w:default="1" w:styleId="2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2</Pages>
  <Words>358</Words>
  <Characters>2256</Characters>
  <Lines>0</Lines>
  <Paragraphs>0</Paragraphs>
  <TotalTime>6</TotalTime>
  <ScaleCrop>false</ScaleCrop>
  <LinksUpToDate>false</LinksUpToDate>
  <CharactersWithSpaces>2538</CharactersWithSpaces>
  <Application>WPS Office_12.1.0.19302_F1E327BC-269C-435d-A152-05C5408002CA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2026-04-02T02:17:00Z</dcterms:created>
  <dc:creator>吕紫瑶</dc:creator>
  <cp:lastModifiedBy>吕紫瑶</cp:lastModifiedBy>
  <dcterms:modified xsi:type="dcterms:W3CDTF">2026-06-06T08:43:48Z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2052-12.1.0.19302</vt:lpwstr>
  </property>
  <property fmtid="{D5CDD505-2E9C-101B-9397-08002B2CF9AE}" pid="3" name="ICV">
    <vt:lpwstr>93C7650E18544742ABED9221C67CC80C_11</vt:lpwstr>
  </property>
  <property fmtid="{D5CDD505-2E9C-101B-9397-08002B2CF9AE}" pid="4" name="KSOTemplateDocerSaveRecord">
    <vt:lpwstr>eyJoZGlkIjoiNTVlZmQ0ZGVhNDg4MzJiOTJjZmFlM2ZkMDZlMTJlMmEiLCJ1c2VySWQiOiIxNjYxNDMyMDc4In0=</vt:lpwstr>
  </property>
</Properties>
</file>