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F9E83" w14:textId="77777777" w:rsidR="00FF25C7" w:rsidRDefault="00000000">
      <w:pPr>
        <w:spacing w:after="160"/>
        <w:jc w:val="center"/>
      </w:pPr>
      <w:r>
        <w:rPr>
          <w:rFonts w:eastAsia="Times New Roman"/>
          <w:b/>
          <w:color w:val="222222"/>
          <w:sz w:val="32"/>
        </w:rPr>
        <w:t>Additional file 1. TREND checklist</w:t>
      </w:r>
    </w:p>
    <w:p w14:paraId="79B0EA58" w14:textId="77777777" w:rsidR="00FF25C7" w:rsidRDefault="00000000">
      <w:pPr>
        <w:spacing w:after="160" w:line="480" w:lineRule="auto"/>
        <w:jc w:val="both"/>
      </w:pPr>
      <w:r>
        <w:rPr>
          <w:rFonts w:eastAsia="Times New Roman"/>
          <w:color w:val="222222"/>
        </w:rPr>
        <w:t>Alidadi F, Zamanzadeh V, Monjazebi F, Ghadirian F. Effectiveness of a moral resilience-based supportive-educational intervention on moral distress among emergency nurses: a quasi-experimental study. BMC Nursing revision, submission dcdb1d45-339b-41db-a63d-ecff1c4ac33d. Items follow Des Jarlais et al., Am J Public Health 2004;94:361-6.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2"/>
        <w:gridCol w:w="2390"/>
        <w:gridCol w:w="2392"/>
        <w:gridCol w:w="2392"/>
      </w:tblGrid>
      <w:tr w:rsidR="00FF25C7" w14:paraId="3D42D9E9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1B3A4B"/>
          </w:tcPr>
          <w:p w14:paraId="131B1B3F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b/>
                <w:color w:val="FFFFFF"/>
                <w:sz w:val="18"/>
              </w:rPr>
              <w:t>Paper section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1B3A4B"/>
          </w:tcPr>
          <w:p w14:paraId="11F0FB4F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b/>
                <w:color w:val="FFFFFF"/>
                <w:sz w:val="18"/>
              </w:rPr>
              <w:t>Item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1B3A4B"/>
          </w:tcPr>
          <w:p w14:paraId="64E5BABF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b/>
                <w:color w:val="FFFFFF"/>
                <w:sz w:val="18"/>
              </w:rPr>
              <w:t>Descriptor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1B3A4B"/>
          </w:tcPr>
          <w:p w14:paraId="5C3A224D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b/>
                <w:color w:val="FFFFFF"/>
                <w:sz w:val="18"/>
              </w:rPr>
              <w:t>Where addressed in this revision</w:t>
            </w:r>
          </w:p>
        </w:tc>
      </w:tr>
      <w:tr w:rsidR="00FF25C7" w14:paraId="78B9505A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48AE95BD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Title and abstract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6CB3422F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1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33FEECB3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Information on how units were allocated to interventions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55CB70F5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Title states quasi-experimental design. Abstract states hospital-level coin-toss allocation and no within-hospital randomisation.</w:t>
            </w:r>
          </w:p>
        </w:tc>
      </w:tr>
      <w:tr w:rsidR="00FF25C7" w14:paraId="138E70B4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784C755E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Background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283F8DE9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2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2933F9BD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Scientific background and explanation of rationale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4A00962F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Background reviews moral distress, Rushton’s model, Iranian evidence and five literature gaps.</w:t>
            </w:r>
          </w:p>
        </w:tc>
      </w:tr>
      <w:tr w:rsidR="00FF25C7" w14:paraId="375D766C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5A8664E2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Methods — participants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70D9147B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3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52F39F7B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Eligibility criteria, method of recruitment, setting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673A01A1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Inclusion/exclusion listed. Census sampling of two emergency departments in Borujerd, March–September 2024.</w:t>
            </w:r>
          </w:p>
        </w:tc>
      </w:tr>
      <w:tr w:rsidR="00FF25C7" w14:paraId="37C5F3F2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1794ED85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Methods — interventions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4768CA74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4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1A2B9464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Details of interventions for each study condition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14E88869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Six Rushton sessions vs six communication-skills sessions; same facilitator, time and format.</w:t>
            </w:r>
          </w:p>
        </w:tc>
      </w:tr>
      <w:tr w:rsidR="00FF25C7" w14:paraId="1DF3E195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402C4F8C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Methods — objectives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7EF49661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5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083A165B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Specific objectives and hypotheses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37785223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Three a priori hypotheses. Hypothesis 3 declared untested.</w:t>
            </w:r>
          </w:p>
        </w:tc>
      </w:tr>
      <w:tr w:rsidR="00FF25C7" w14:paraId="0FD794AF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3021D4F1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Methods — outcomes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1CF2E3CA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6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2D1985BD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Clearly defined primary and secondary outcome measures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472C76D5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Primary: Persian Corley MDS at T0, T1, T2. Secondary: demographics, satisfaction, attendance. Moral resilience not measured.</w:t>
            </w:r>
          </w:p>
        </w:tc>
      </w:tr>
      <w:tr w:rsidR="00FF25C7" w14:paraId="2E6C7C00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5C6FC61A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Methods — sample size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470FCD0E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7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443A645B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How sample size was determined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0F28E1D6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G*Power for RM-ANOVA, f=0.25, 28/group +20% attrition. Design effect not included (k=2).</w:t>
            </w:r>
          </w:p>
        </w:tc>
      </w:tr>
      <w:tr w:rsidR="00FF25C7" w14:paraId="4859F19D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12DDDAC1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Methods — assignment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641DCDEA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8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667185DD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Unit of assignment, method used to assign units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2C2952CB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Unit = hospital. Single coin toss by an independent researcher after operational matching.</w:t>
            </w:r>
          </w:p>
        </w:tc>
      </w:tr>
      <w:tr w:rsidR="00FF25C7" w14:paraId="0A5A004D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3D96F2E5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Methods — blinding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62F11361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9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5581686C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Whether participants, those administering, those assessing were blinded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608FDE8F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Participants unblinded. Facilitator unblinded. Research assistants did not teach; complete analyst blinding not possible.</w:t>
            </w:r>
          </w:p>
        </w:tc>
      </w:tr>
      <w:tr w:rsidR="00FF25C7" w14:paraId="4133FF0E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39CA301D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Methods — unit of analysis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1CA48D79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10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6FD412A0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Description of the smallest unit analysed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35DB82C1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Nurses analysed as independent observations. Limitation of two-cluster design is stated.</w:t>
            </w:r>
          </w:p>
        </w:tc>
      </w:tr>
      <w:tr w:rsidR="00FF25C7" w14:paraId="74F94F42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02CC86DE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lastRenderedPageBreak/>
              <w:t>Methods — statistical methods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7B5EB0C3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11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7AB018EF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Statistical methods used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50B96F8D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Mixed 2×3 RM-ANOVA, Bonferroni simple effects, ηp² and Cohen’s d, ITT with LOCF, sensitivity imputation.</w:t>
            </w:r>
          </w:p>
        </w:tc>
      </w:tr>
      <w:tr w:rsidR="00FF25C7" w14:paraId="6959C8B9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1B628B6B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Results — participant flow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2E8B45D7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12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300304E6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Flow of participants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7EDFC371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Figure 1. Assessed 74; excluded 6; allocated 68; lost 1 control; analysed 68 ITT.</w:t>
            </w:r>
          </w:p>
        </w:tc>
      </w:tr>
      <w:tr w:rsidR="00FF25C7" w14:paraId="696CDB17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34765905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Results — recruitment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3B41D94D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13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683A398F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Dates defining periods of recruitment and follow-up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1CBF13F2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March–September 2024; T1 at 2 weeks; T2 at 3 months.</w:t>
            </w:r>
          </w:p>
        </w:tc>
      </w:tr>
      <w:tr w:rsidR="00FF25C7" w14:paraId="04DBC7B4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101DF9B2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Results — baseline data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6900CA33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14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5E59EAA1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Baseline demographic and clinical characteristics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3A8B161A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Table 1. No significant between-hospital differences on measured variables.</w:t>
            </w:r>
          </w:p>
        </w:tc>
      </w:tr>
      <w:tr w:rsidR="00FF25C7" w14:paraId="3BF02195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7E88F936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Results — baseline equivalence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67CD8EFE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15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53F38236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Baseline comparison of those analysed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3FD72696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Reported in Table 1 and text; unmeasured hospital factors cannot be excluded.</w:t>
            </w:r>
          </w:p>
        </w:tc>
      </w:tr>
      <w:tr w:rsidR="00FF25C7" w14:paraId="4AA98CA2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064529D9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Results — numbers analysed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26631FB5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16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43C42D3C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Number of participants in each analysis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58081F67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n=34 per arm ITT; one LOCF in control.</w:t>
            </w:r>
          </w:p>
        </w:tc>
      </w:tr>
      <w:tr w:rsidR="00FF25C7" w14:paraId="002E94A5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6584F100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Results — outcomes and estimation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381E7826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17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03F419E8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For each primary and secondary outcome, a summary of results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4692936D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Tables 2–3. Interaction F2,132=15.43, p&lt;0.001, ηp²=0.19. Between-group d=0.95 at T1 and 0.83 at T2.</w:t>
            </w:r>
          </w:p>
        </w:tc>
      </w:tr>
      <w:tr w:rsidR="00FF25C7" w14:paraId="3EC29D50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16091B77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Results — ancillary analyses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766F6D6F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18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2BC6354A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Summary of other analyses performed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6DF72E93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Hypothesis 3 not tested. No subgroup models.</w:t>
            </w:r>
          </w:p>
        </w:tc>
      </w:tr>
      <w:tr w:rsidR="00FF25C7" w14:paraId="5112ACD3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4B19CCB8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Results — adverse events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37CF93B3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19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3162003D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Summary of all important adverse events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17AFDF35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None reported.</w:t>
            </w:r>
          </w:p>
        </w:tc>
      </w:tr>
      <w:tr w:rsidR="00FF25C7" w14:paraId="561256C3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547CF9CF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Discussion — interpretation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59886E43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20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61FAE80A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Interpretation of the results, taking into account hypotheses, sources of potential bias, imprecision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71A4B074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Discussion framed as a two-site contrast. Mechanisms labelled unmeasured. Overstated implementation claims removed.</w:t>
            </w:r>
          </w:p>
        </w:tc>
      </w:tr>
      <w:tr w:rsidR="00FF25C7" w14:paraId="0D6E01C6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1897642A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Discussion — generalisability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02EA5343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21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7288E710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Generalisability (external validity)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/>
          </w:tcPr>
          <w:p w14:paraId="091533B9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Two teaching hospitals in one Iranian city. Transferability discussed as limited.</w:t>
            </w:r>
          </w:p>
        </w:tc>
      </w:tr>
      <w:tr w:rsidR="00FF25C7" w14:paraId="46263481" w14:textId="77777777"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5046B9EF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Discussion — overall evidence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4457D7B9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22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78FB9C23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General interpretation in the context of current evidence</w:t>
            </w:r>
          </w:p>
        </w:tc>
        <w:tc>
          <w:tcPr>
            <w:tcW w:w="239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4F7F8"/>
          </w:tcPr>
          <w:p w14:paraId="67A1D2F0" w14:textId="77777777" w:rsidR="00FF25C7" w:rsidRDefault="00000000">
            <w:pPr>
              <w:spacing w:before="40" w:after="40"/>
              <w:jc w:val="center"/>
            </w:pPr>
            <w:r>
              <w:rPr>
                <w:rFonts w:eastAsia="Times New Roman"/>
                <w:color w:val="222222"/>
                <w:sz w:val="18"/>
              </w:rPr>
              <w:t>Compared with Iranian and international educational studies (Table 4) without claiming superiority.</w:t>
            </w:r>
          </w:p>
        </w:tc>
      </w:tr>
    </w:tbl>
    <w:p w14:paraId="42B9013F" w14:textId="77777777" w:rsidR="00FF25C7" w:rsidRDefault="00FF25C7"/>
    <w:sectPr w:rsidR="00FF25C7" w:rsidSect="00034616">
      <w:pgSz w:w="12240" w:h="15840"/>
      <w:pgMar w:top="1247" w:right="124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0116655">
    <w:abstractNumId w:val="8"/>
  </w:num>
  <w:num w:numId="2" w16cid:durableId="95565382">
    <w:abstractNumId w:val="6"/>
  </w:num>
  <w:num w:numId="3" w16cid:durableId="704446649">
    <w:abstractNumId w:val="5"/>
  </w:num>
  <w:num w:numId="4" w16cid:durableId="876356842">
    <w:abstractNumId w:val="4"/>
  </w:num>
  <w:num w:numId="5" w16cid:durableId="927613682">
    <w:abstractNumId w:val="7"/>
  </w:num>
  <w:num w:numId="6" w16cid:durableId="970356319">
    <w:abstractNumId w:val="3"/>
  </w:num>
  <w:num w:numId="7" w16cid:durableId="7856">
    <w:abstractNumId w:val="2"/>
  </w:num>
  <w:num w:numId="8" w16cid:durableId="1264265478">
    <w:abstractNumId w:val="1"/>
  </w:num>
  <w:num w:numId="9" w16cid:durableId="222451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5094"/>
    <w:rsid w:val="0015074B"/>
    <w:rsid w:val="0029639D"/>
    <w:rsid w:val="00326F90"/>
    <w:rsid w:val="00AA1D8D"/>
    <w:rsid w:val="00B47730"/>
    <w:rsid w:val="00CB0664"/>
    <w:rsid w:val="00E63479"/>
    <w:rsid w:val="00FC693F"/>
    <w:rsid w:val="00FF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FFA1BA"/>
  <w14:defaultImageDpi w14:val="300"/>
  <w15:docId w15:val="{C7726584-B0BB-4AD8-A83E-A39846F5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amir zamanzadeh</cp:lastModifiedBy>
  <cp:revision>2</cp:revision>
  <dcterms:created xsi:type="dcterms:W3CDTF">2026-10-16T05:44:00Z</dcterms:created>
  <dcterms:modified xsi:type="dcterms:W3CDTF">2026-10-16T05:44:00Z</dcterms:modified>
  <cp:category/>
</cp:coreProperties>
</file>