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41204">
      <w:pPr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Supplementary Material</w:t>
      </w:r>
    </w:p>
    <w:p w14:paraId="3B1AB609">
      <w:pPr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Section S</w:t>
      </w:r>
      <w:r>
        <w:rPr>
          <w:rFonts w:hint="eastAsia" w:eastAsia="宋体" w:cs="Times New Roman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. SQUIRE 2.0 Item-to-Section Mapping</w:t>
      </w:r>
    </w:p>
    <w:p w14:paraId="0AC638AF">
      <w:pPr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Construction and Implementation of a Role-Competency-Based Three-Level Nursing Deployment Pool in a Maternal and Child Health Hospital: An Uncontrolled Before-and-After Quality-Improvement Evaluation</w:t>
      </w:r>
    </w:p>
    <w:p w14:paraId="71795B00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Reporting framework.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The manuscript was revised with reference to SQUIRE 2.0. This table maps the SQUIRE 2.0 reporting elements to the revised manuscript. The mapping is intended as a transparency aid and does not imply that every SQUIRE element was prospectively specified before the quality-improvement intervention.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2308"/>
        <w:gridCol w:w="3200"/>
        <w:gridCol w:w="8100"/>
      </w:tblGrid>
      <w:tr w14:paraId="1589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48" w:type="dxa"/>
            <w:vAlign w:val="center"/>
          </w:tcPr>
          <w:p w14:paraId="57A50F80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No.</w:t>
            </w:r>
          </w:p>
        </w:tc>
        <w:tc>
          <w:tcPr>
            <w:tcW w:w="2376" w:type="dxa"/>
            <w:vAlign w:val="center"/>
          </w:tcPr>
          <w:p w14:paraId="72508F1E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SQUIRE 2.0 item</w:t>
            </w:r>
          </w:p>
        </w:tc>
        <w:tc>
          <w:tcPr>
            <w:tcW w:w="3384" w:type="dxa"/>
            <w:vAlign w:val="center"/>
          </w:tcPr>
          <w:p w14:paraId="178F6823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Location in revised manuscript</w:t>
            </w:r>
          </w:p>
        </w:tc>
        <w:tc>
          <w:tcPr>
            <w:tcW w:w="8640" w:type="dxa"/>
            <w:vAlign w:val="center"/>
          </w:tcPr>
          <w:p w14:paraId="739AD277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How addressed / notes</w:t>
            </w:r>
          </w:p>
        </w:tc>
      </w:tr>
      <w:tr w14:paraId="4830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673EF12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76" w:type="dxa"/>
            <w:vAlign w:val="center"/>
          </w:tcPr>
          <w:p w14:paraId="68A767FE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Title</w:t>
            </w:r>
          </w:p>
        </w:tc>
        <w:tc>
          <w:tcPr>
            <w:tcW w:w="3384" w:type="dxa"/>
            <w:vAlign w:val="center"/>
          </w:tcPr>
          <w:p w14:paraId="794D6F0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Title page</w:t>
            </w:r>
          </w:p>
        </w:tc>
        <w:tc>
          <w:tcPr>
            <w:tcW w:w="8640" w:type="dxa"/>
            <w:vAlign w:val="center"/>
          </w:tcPr>
          <w:p w14:paraId="2AA99E76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Identifies the role-competency-based three-level nursing deployment intervention, maternal and child health hospital setting, and uncontrolled before-and-after quality-improvement evaluation.</w:t>
            </w:r>
          </w:p>
        </w:tc>
      </w:tr>
      <w:tr w14:paraId="513BD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1739F354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76" w:type="dxa"/>
            <w:vAlign w:val="center"/>
          </w:tcPr>
          <w:p w14:paraId="25388C0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Abstract</w:t>
            </w:r>
          </w:p>
        </w:tc>
        <w:tc>
          <w:tcPr>
            <w:tcW w:w="3384" w:type="dxa"/>
            <w:vAlign w:val="center"/>
          </w:tcPr>
          <w:p w14:paraId="05617A7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Abstract</w:t>
            </w:r>
          </w:p>
        </w:tc>
        <w:tc>
          <w:tcPr>
            <w:tcW w:w="8640" w:type="dxa"/>
            <w:vAlign w:val="center"/>
          </w:tcPr>
          <w:p w14:paraId="07A49D86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Structured abstract summarizes the local staffing problem, design, intervention timing, Level 1 pool composition, centralized Level 2/Level 3 request/fulfillment activity, patient satisfaction, nurse staffing-allocation findings, and cautious conclusion.</w:t>
            </w:r>
          </w:p>
        </w:tc>
      </w:tr>
      <w:tr w14:paraId="734F0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7F2159B5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76" w:type="dxa"/>
            <w:vAlign w:val="center"/>
          </w:tcPr>
          <w:p w14:paraId="3D7B7854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Problem description</w:t>
            </w:r>
          </w:p>
        </w:tc>
        <w:tc>
          <w:tcPr>
            <w:tcW w:w="3384" w:type="dxa"/>
            <w:vAlign w:val="center"/>
          </w:tcPr>
          <w:p w14:paraId="44C406DB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Background, opening paragraphs</w:t>
            </w:r>
          </w:p>
        </w:tc>
        <w:tc>
          <w:tcPr>
            <w:tcW w:w="8640" w:type="dxa"/>
            <w:vAlign w:val="center"/>
          </w:tcPr>
          <w:p w14:paraId="2F47DF51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Describes persistent nurse staffing shortages, variation in ward-level demand, and the operational challenge of short-term staffing maldistribution.</w:t>
            </w:r>
          </w:p>
        </w:tc>
      </w:tr>
      <w:tr w14:paraId="5FDF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39933953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76" w:type="dxa"/>
            <w:vAlign w:val="center"/>
          </w:tcPr>
          <w:p w14:paraId="600AEA9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Available knowledge</w:t>
            </w:r>
          </w:p>
        </w:tc>
        <w:tc>
          <w:tcPr>
            <w:tcW w:w="3384" w:type="dxa"/>
            <w:vAlign w:val="center"/>
          </w:tcPr>
          <w:p w14:paraId="1DD74B20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Background; Discussion 4.1</w:t>
            </w:r>
          </w:p>
        </w:tc>
        <w:tc>
          <w:tcPr>
            <w:tcW w:w="8640" w:type="dxa"/>
            <w:vAlign w:val="center"/>
          </w:tcPr>
          <w:p w14:paraId="6769C60B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Engages flexible staffing and temporary redeployment evidence substantively, including trade-offs between low baseline staffing, temporary staffing, patient outcomes, cost-effectiveness, team familiarity, and donor-ward consequences.</w:t>
            </w:r>
          </w:p>
        </w:tc>
      </w:tr>
      <w:tr w14:paraId="21B54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19C1D9B3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76" w:type="dxa"/>
            <w:vAlign w:val="center"/>
          </w:tcPr>
          <w:p w14:paraId="3CC9779A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Rationale</w:t>
            </w:r>
          </w:p>
        </w:tc>
        <w:tc>
          <w:tcPr>
            <w:tcW w:w="3384" w:type="dxa"/>
            <w:vAlign w:val="center"/>
          </w:tcPr>
          <w:p w14:paraId="17FE250A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Background; Section 2.2.2</w:t>
            </w:r>
          </w:p>
        </w:tc>
        <w:tc>
          <w:tcPr>
            <w:tcW w:w="8640" w:type="dxa"/>
            <w:vAlign w:val="center"/>
          </w:tcPr>
          <w:p w14:paraId="0BDFBF2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Explains why competency gating, local-first escalation, cross-specialty training, and hospital-wide reserve deployment were expected to improve the structured response to staffing gaps.</w:t>
            </w:r>
          </w:p>
        </w:tc>
      </w:tr>
      <w:tr w14:paraId="2CCFC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2C46563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76" w:type="dxa"/>
            <w:vAlign w:val="center"/>
          </w:tcPr>
          <w:p w14:paraId="0372695A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Specific aims</w:t>
            </w:r>
          </w:p>
        </w:tc>
        <w:tc>
          <w:tcPr>
            <w:tcW w:w="3384" w:type="dxa"/>
            <w:vAlign w:val="center"/>
          </w:tcPr>
          <w:p w14:paraId="574041C3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End of Background</w:t>
            </w:r>
          </w:p>
        </w:tc>
        <w:tc>
          <w:tcPr>
            <w:tcW w:w="8640" w:type="dxa"/>
            <w:vAlign w:val="center"/>
          </w:tcPr>
          <w:p w14:paraId="5727CC27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States four objectives: describe the three-level model, annual pool composition, and centrally recorded Level 2/Level 3 deployment activity; compare patient satisfaction; compare annual staffing-allocation scores with 2023; and describe head-nurse assessments of adaptation/workload sharing.</w:t>
            </w:r>
          </w:p>
        </w:tc>
      </w:tr>
      <w:tr w14:paraId="0DA3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3A0820F2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76" w:type="dxa"/>
            <w:vAlign w:val="center"/>
          </w:tcPr>
          <w:p w14:paraId="64E4A70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Context</w:t>
            </w:r>
          </w:p>
        </w:tc>
        <w:tc>
          <w:tcPr>
            <w:tcW w:w="3384" w:type="dxa"/>
            <w:vAlign w:val="center"/>
          </w:tcPr>
          <w:p w14:paraId="32E96DF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2.1; Table 1</w:t>
            </w:r>
          </w:p>
        </w:tc>
        <w:tc>
          <w:tcPr>
            <w:tcW w:w="8640" w:type="dxa"/>
            <w:vAlign w:val="center"/>
          </w:tcPr>
          <w:p w14:paraId="402CB18A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Provides hospital setting, nursing units, authorized beds, annual nursing headcount and obstetric delivery volume, implementation dates, and the distinction between the hospital workforce and analytic data sources.</w:t>
            </w:r>
          </w:p>
        </w:tc>
      </w:tr>
      <w:tr w14:paraId="6325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5FACF775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376" w:type="dxa"/>
            <w:vAlign w:val="center"/>
          </w:tcPr>
          <w:p w14:paraId="099E2C08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Intervention(s)</w:t>
            </w:r>
          </w:p>
        </w:tc>
        <w:tc>
          <w:tcPr>
            <w:tcW w:w="3384" w:type="dxa"/>
            <w:vAlign w:val="center"/>
          </w:tcPr>
          <w:p w14:paraId="140BF14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Sections 2.2.1-2.2.5; Tables 2-3; Figure 1</w:t>
            </w:r>
          </w:p>
        </w:tc>
        <w:tc>
          <w:tcPr>
            <w:tcW w:w="8640" w:type="dxa"/>
            <w:vAlign w:val="center"/>
          </w:tcPr>
          <w:p w14:paraId="2934A18A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Describes the implementation team, pool eligibility and selection, Level 1-3 escalation structure, cross-specialty training, information-system module, donor-ward safeguard, and incentive/performance-review mechanism.</w:t>
            </w:r>
          </w:p>
        </w:tc>
      </w:tr>
      <w:tr w14:paraId="65F5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25D8FDD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76" w:type="dxa"/>
            <w:vAlign w:val="center"/>
          </w:tcPr>
          <w:p w14:paraId="1A64F923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Study of the intervention(s)</w:t>
            </w:r>
          </w:p>
        </w:tc>
        <w:tc>
          <w:tcPr>
            <w:tcW w:w="3384" w:type="dxa"/>
            <w:vAlign w:val="center"/>
          </w:tcPr>
          <w:p w14:paraId="2EB6841D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Sections 2.1 and 2.3; Figure 2</w:t>
            </w:r>
          </w:p>
        </w:tc>
        <w:tc>
          <w:tcPr>
            <w:tcW w:w="8640" w:type="dxa"/>
            <w:vAlign w:val="center"/>
          </w:tcPr>
          <w:p w14:paraId="2AF7228E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Identifies the single-site uncontrolled before-and-after design and the four evaluation data sources. The manuscript explicitly states that the bundled design cannot isolate component-specific effects.</w:t>
            </w:r>
          </w:p>
        </w:tc>
      </w:tr>
      <w:tr w14:paraId="17E17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12CF75D4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376" w:type="dxa"/>
            <w:vAlign w:val="center"/>
          </w:tcPr>
          <w:p w14:paraId="3BE80122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Measures</w:t>
            </w:r>
          </w:p>
        </w:tc>
        <w:tc>
          <w:tcPr>
            <w:tcW w:w="3384" w:type="dxa"/>
            <w:vAlign w:val="center"/>
          </w:tcPr>
          <w:p w14:paraId="4E805B41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2.3</w:t>
            </w:r>
          </w:p>
        </w:tc>
        <w:tc>
          <w:tcPr>
            <w:tcW w:w="8640" w:type="dxa"/>
            <w:vAlign w:val="center"/>
          </w:tcPr>
          <w:p w14:paraId="2D39A7A7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Defines a centralized Level 2/Level 3 staffing-gap request as a request entered after ward-level resources were judged insufficient; states that Level 1 responses were managed locally and Level 1 deployment volume was not recorded centrally; describes deployment records, patient-satisfaction items, nurse staffing-allocation items and reliability, missing-item handling, and the structured head-nurse survey. Cost, clinical safety, and individual workload were not directly measured.</w:t>
            </w:r>
          </w:p>
        </w:tc>
      </w:tr>
      <w:tr w14:paraId="09428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0EE8034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376" w:type="dxa"/>
            <w:vAlign w:val="center"/>
          </w:tcPr>
          <w:p w14:paraId="18B91F1D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Analysis</w:t>
            </w:r>
          </w:p>
        </w:tc>
        <w:tc>
          <w:tcPr>
            <w:tcW w:w="3384" w:type="dxa"/>
            <w:vAlign w:val="center"/>
          </w:tcPr>
          <w:p w14:paraId="10EB554F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2.4; Tables 6-7</w:t>
            </w:r>
          </w:p>
        </w:tc>
        <w:tc>
          <w:tcPr>
            <w:tcW w:w="8640" w:type="dxa"/>
            <w:vAlign w:val="center"/>
          </w:tcPr>
          <w:p w14:paraId="2F346CE6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Specifies Welch independent-samples t tests, Hedges g, 95% confidence intervals, Holm adjustment across staffing comparisons, Fisher exact tests for binary patient satisfaction, and exploratory Mann-Whitney U tests for five-category responses.</w:t>
            </w:r>
          </w:p>
        </w:tc>
      </w:tr>
      <w:tr w14:paraId="784A1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59036FB1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376" w:type="dxa"/>
            <w:vAlign w:val="center"/>
          </w:tcPr>
          <w:p w14:paraId="73E0B024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Ethical considerations</w:t>
            </w:r>
          </w:p>
        </w:tc>
        <w:tc>
          <w:tcPr>
            <w:tcW w:w="3384" w:type="dxa"/>
            <w:vAlign w:val="center"/>
          </w:tcPr>
          <w:p w14:paraId="0DD242ED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2.5; Declarations</w:t>
            </w:r>
          </w:p>
        </w:tc>
        <w:tc>
          <w:tcPr>
            <w:tcW w:w="8640" w:type="dxa"/>
            <w:vAlign w:val="center"/>
          </w:tcPr>
          <w:p w14:paraId="565E3CA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Reports the regulatory basis used by the authors, voluntariness, anonymity/confidentiality protections, verbal informed consent, and competing-interests statement.</w:t>
            </w:r>
          </w:p>
        </w:tc>
      </w:tr>
      <w:tr w14:paraId="33F7B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CC5381C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376" w:type="dxa"/>
            <w:vAlign w:val="center"/>
          </w:tcPr>
          <w:p w14:paraId="4506698E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Results</w:t>
            </w:r>
          </w:p>
        </w:tc>
        <w:tc>
          <w:tcPr>
            <w:tcW w:w="3384" w:type="dxa"/>
            <w:vAlign w:val="center"/>
          </w:tcPr>
          <w:p w14:paraId="220C4F32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Sections 3.1-3.4; Tables 4-7</w:t>
            </w:r>
          </w:p>
        </w:tc>
        <w:tc>
          <w:tcPr>
            <w:tcW w:w="8640" w:type="dxa"/>
            <w:vAlign w:val="center"/>
          </w:tcPr>
          <w:p w14:paraId="4D46E623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Reports annual pool composition; centralized Level 2/Level 3 requests, fulfillment rates, distinct nurses and assignment duration; donor/recipient activity and donor alerts; patient satisfaction; nurse staffing perceptions; and head-nurse survey findings. No Level 1 resolution count or escalation proportion is reported because Level 1 deployment volume was not recorded centrally.</w:t>
            </w:r>
          </w:p>
        </w:tc>
      </w:tr>
      <w:tr w14:paraId="68579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1276B74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376" w:type="dxa"/>
            <w:vAlign w:val="center"/>
          </w:tcPr>
          <w:p w14:paraId="205216D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Summary</w:t>
            </w:r>
          </w:p>
        </w:tc>
        <w:tc>
          <w:tcPr>
            <w:tcW w:w="3384" w:type="dxa"/>
            <w:vAlign w:val="center"/>
          </w:tcPr>
          <w:p w14:paraId="0843C7F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4.1</w:t>
            </w:r>
          </w:p>
        </w:tc>
        <w:tc>
          <w:tcPr>
            <w:tcW w:w="8640" w:type="dxa"/>
            <w:vAlign w:val="center"/>
          </w:tcPr>
          <w:p w14:paraId="2B5B4AF7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highlight w:val="yellow"/>
              </w:rPr>
              <w:t>Summarizes implementation feasibility and the mixed pattern of findings: higher perceived staffing-adequacy and working-hours/intensity scores observed during implementation, high satisfaction without established equivalence, and less favorable team/reassignment indicators.</w:t>
            </w:r>
          </w:p>
        </w:tc>
      </w:tr>
      <w:tr w14:paraId="12BF2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04890D53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376" w:type="dxa"/>
            <w:vAlign w:val="center"/>
          </w:tcPr>
          <w:p w14:paraId="18D0E386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Interpretation</w:t>
            </w:r>
          </w:p>
        </w:tc>
        <w:tc>
          <w:tcPr>
            <w:tcW w:w="3384" w:type="dxa"/>
            <w:vAlign w:val="center"/>
          </w:tcPr>
          <w:p w14:paraId="20B55244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Sections 4.1-4.2</w:t>
            </w:r>
          </w:p>
        </w:tc>
        <w:tc>
          <w:tcPr>
            <w:tcW w:w="8640" w:type="dxa"/>
            <w:vAlign w:val="center"/>
          </w:tcPr>
          <w:p w14:paraId="6721B23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Interprets the intervention as a structured response to staffing maldistribution rather than a substitute for adequate permanent staffing; discusses temporary-staffing trade-offs, donor-ward capacity, training, sustainability, reassignment burden, and occupational fatigue.</w:t>
            </w:r>
          </w:p>
        </w:tc>
      </w:tr>
      <w:tr w14:paraId="37E8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4A0A9B16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376" w:type="dxa"/>
            <w:vAlign w:val="center"/>
          </w:tcPr>
          <w:p w14:paraId="13EC7D73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Limitations</w:t>
            </w:r>
          </w:p>
        </w:tc>
        <w:tc>
          <w:tcPr>
            <w:tcW w:w="3384" w:type="dxa"/>
            <w:vAlign w:val="center"/>
          </w:tcPr>
          <w:p w14:paraId="7295722D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4.3</w:t>
            </w:r>
          </w:p>
        </w:tc>
        <w:tc>
          <w:tcPr>
            <w:tcW w:w="8640" w:type="dxa"/>
            <w:vAlign w:val="center"/>
          </w:tcPr>
          <w:p w14:paraId="6A4A1A89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Addresses single-site generalizability, uncontrolled before-and-after design, secular trends, bundled intervention, self-selection, repeated anonymous surveys, unmodeled ward clustering, differential nonresponse, absent clinical/workload/economic outcomes, donor-ward limitations, unvalidated patient items, ceiling effects, and social desirability.</w:t>
            </w:r>
          </w:p>
        </w:tc>
      </w:tr>
      <w:tr w14:paraId="41657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7EC22306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376" w:type="dxa"/>
            <w:vAlign w:val="center"/>
          </w:tcPr>
          <w:p w14:paraId="78C6986F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Conclusions</w:t>
            </w:r>
          </w:p>
        </w:tc>
        <w:tc>
          <w:tcPr>
            <w:tcW w:w="3384" w:type="dxa"/>
            <w:vAlign w:val="center"/>
          </w:tcPr>
          <w:p w14:paraId="75D2D2E2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Section 4.4</w:t>
            </w:r>
          </w:p>
        </w:tc>
        <w:tc>
          <w:tcPr>
            <w:tcW w:w="8640" w:type="dxa"/>
            <w:vAlign w:val="center"/>
          </w:tcPr>
          <w:p w14:paraId="33F10BFB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Concludes that the model was feasible and provides a structured escalation pathway, while avoiding causal, equivalence, safety, and workload claims and identifying prospective evaluation needs.</w:t>
            </w:r>
          </w:p>
        </w:tc>
      </w:tr>
      <w:tr w14:paraId="41AE4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vAlign w:val="center"/>
          </w:tcPr>
          <w:p w14:paraId="6D2B4D50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376" w:type="dxa"/>
            <w:vAlign w:val="center"/>
          </w:tcPr>
          <w:p w14:paraId="3141F25F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Funding</w:t>
            </w:r>
          </w:p>
        </w:tc>
        <w:tc>
          <w:tcPr>
            <w:tcW w:w="3384" w:type="dxa"/>
            <w:vAlign w:val="center"/>
          </w:tcPr>
          <w:p w14:paraId="49FBE72D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Declarations - Funding</w:t>
            </w:r>
          </w:p>
        </w:tc>
        <w:tc>
          <w:tcPr>
            <w:tcW w:w="8640" w:type="dxa"/>
            <w:vAlign w:val="center"/>
          </w:tcPr>
          <w:p w14:paraId="5FE079D2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Lists the Medical Science and Technology Program of Henan Province grants supporting the study. No additional funder role is stated in the manuscript.</w:t>
            </w:r>
          </w:p>
        </w:tc>
      </w:tr>
    </w:tbl>
    <w:p w14:paraId="5664493A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Reference: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Ogrinc G, Davies L, Goodman D, Batalden P, Davidoff F, Stevens D. SQUIRE 2.0 (Standards for QUality Improvement Reporting Excellence): revised publication guidelines from a detailed consensus process. BMJ Qual Saf. 2016;25:986-992. doi:10.1136/bmjqs-2015-004411.</w:t>
      </w:r>
    </w:p>
    <w:p w14:paraId="34B7425E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pgSz w:w="15840" w:h="12240" w:orient="landscape"/>
          <w:pgMar w:top="792" w:right="792" w:bottom="792" w:left="792" w:header="720" w:footer="720" w:gutter="0"/>
          <w:cols w:space="720" w:num="1"/>
          <w:docGrid w:linePitch="360" w:charSpace="0"/>
        </w:sectPr>
      </w:pPr>
    </w:p>
    <w:p w14:paraId="14F72B54">
      <w:pPr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Section S</w:t>
      </w:r>
      <w:r>
        <w:rPr>
          <w:rFonts w:hint="eastAsia" w:eastAsia="宋体" w:cs="Times New Roman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. English-Language Structured Head-Nurse Survey Guide</w:t>
      </w:r>
    </w:p>
    <w:p w14:paraId="7143B3F5">
      <w:pPr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Construction and Implementation of a Role-Competency-Based Three-Level Nursing Deployment Pool in a Maternal and Child Health Hospital: An Uncontrolled Before-and-After Quality-Improvement Evaluation</w:t>
      </w:r>
    </w:p>
    <w:p w14:paraId="12D2E4A4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Purpose.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This structured survey was used to obtain head nurses' descriptive assessments of redeployed nurses after deployment to receiving departments. It was used for descriptive reporting and was not treated as a qualitative interview or a validated psychometric scale.</w:t>
      </w:r>
    </w:p>
    <w:p w14:paraId="38BDE4A9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highlight w:val="yellow"/>
        </w:rPr>
        <w:t>Administration. The surveys were administered in December 2024 and December 2025 to receiving-ward head nurses. Ten questionnaires were completed in 2024 and 20 in 2025 (30 pooled responses). The three structured domains were used for descriptive reporting; no validated psychometric scale or measured time-to-independence endpoint was available. Interviewers followed a standardized procedure and instructed participants not to disclose identifiable information about redeployed nurses.</w:t>
      </w:r>
    </w:p>
    <w:p w14:paraId="72FFE503">
      <w:pPr>
        <w:pStyle w:val="3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Structured survey prompts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4972"/>
        <w:gridCol w:w="2729"/>
      </w:tblGrid>
      <w:tr w14:paraId="7912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304" w:type="dxa"/>
            <w:vAlign w:val="center"/>
          </w:tcPr>
          <w:p w14:paraId="70D0A2EE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Domain</w:t>
            </w:r>
          </w:p>
        </w:tc>
        <w:tc>
          <w:tcPr>
            <w:tcW w:w="5328" w:type="dxa"/>
            <w:vAlign w:val="center"/>
          </w:tcPr>
          <w:p w14:paraId="23BD3CA4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Standardized English prompt</w:t>
            </w:r>
          </w:p>
        </w:tc>
        <w:tc>
          <w:tcPr>
            <w:tcW w:w="2880" w:type="dxa"/>
            <w:vAlign w:val="center"/>
          </w:tcPr>
          <w:p w14:paraId="6D92B18D">
            <w:pPr>
              <w:jc w:val="center"/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Head-nurse assessment / comments</w:t>
            </w:r>
          </w:p>
        </w:tc>
      </w:tr>
      <w:tr w14:paraId="41B4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04" w:type="dxa"/>
            <w:vAlign w:val="center"/>
          </w:tcPr>
          <w:p w14:paraId="1A782E0A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 Proficiency in nursing skills</w:t>
            </w:r>
          </w:p>
        </w:tc>
        <w:tc>
          <w:tcPr>
            <w:tcW w:w="5328" w:type="dxa"/>
            <w:vAlign w:val="center"/>
          </w:tcPr>
          <w:p w14:paraId="7EB5A17B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Please provide your assessment of the redeployed nurse's proficiency in the nursing skills required in the receiving department.</w:t>
            </w:r>
          </w:p>
        </w:tc>
        <w:tc>
          <w:tcPr>
            <w:tcW w:w="2880" w:type="dxa"/>
            <w:vAlign w:val="center"/>
          </w:tcPr>
          <w:p w14:paraId="626EC308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</w:tc>
      </w:tr>
      <w:tr w14:paraId="44640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04" w:type="dxa"/>
            <w:vAlign w:val="center"/>
          </w:tcPr>
          <w:p w14:paraId="71FF963C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 Adaptation to the receiving department</w:t>
            </w:r>
          </w:p>
        </w:tc>
        <w:tc>
          <w:tcPr>
            <w:tcW w:w="5328" w:type="dxa"/>
            <w:vAlign w:val="center"/>
          </w:tcPr>
          <w:p w14:paraId="4623E24E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Please provide your assessment of how readily the redeployed nurse adapted to the receiving department, including familiarity with the ward environment and routine work.</w:t>
            </w:r>
          </w:p>
        </w:tc>
        <w:tc>
          <w:tcPr>
            <w:tcW w:w="2880" w:type="dxa"/>
            <w:vAlign w:val="center"/>
          </w:tcPr>
          <w:p w14:paraId="1B823850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</w:tc>
      </w:tr>
      <w:tr w14:paraId="617C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04" w:type="dxa"/>
            <w:vAlign w:val="center"/>
          </w:tcPr>
          <w:p w14:paraId="2031B3F8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 Contribution to workload sharing</w:t>
            </w:r>
          </w:p>
        </w:tc>
        <w:tc>
          <w:tcPr>
            <w:tcW w:w="5328" w:type="dxa"/>
            <w:vAlign w:val="center"/>
          </w:tcPr>
          <w:p w14:paraId="7348558E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Please provide your assessment of the redeployed nurse's ability to contribute meaningfully to sharing the receiving department's workload.</w:t>
            </w:r>
          </w:p>
        </w:tc>
        <w:tc>
          <w:tcPr>
            <w:tcW w:w="2880" w:type="dxa"/>
            <w:vAlign w:val="center"/>
          </w:tcPr>
          <w:p w14:paraId="13C159EB">
            <w:pP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</w:tc>
      </w:tr>
    </w:tbl>
    <w:p w14:paraId="5F9C3ABE">
      <w:pPr>
        <w:pStyle w:val="3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Descriptive reporting rule used in the manuscript</w:t>
      </w:r>
    </w:p>
    <w:p w14:paraId="430FEF92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highlight w:val="yellow"/>
        </w:rPr>
        <w:t>Favorable overall assessment: The respondent expressed favorable perceptions of proficiency, adaptation, and contribution to workload sharing across the three structured domains; this does not establish an objective workload or adaptation benefit.</w:t>
      </w:r>
    </w:p>
    <w:p w14:paraId="11E32593">
      <w:pP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Remaining concerns: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Concerns remained regarding task allocation or role boundaries, or the three-domain assessment was not uniformly favorable.</w:t>
      </w:r>
    </w:p>
    <w:p w14:paraId="0279D560">
      <w:pPr>
        <w:rPr>
          <w:rFonts w:hint="eastAsia" w:eastAsia="宋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Note. 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The source study materials available for this revision specify the three survey domains and the standardized descriptive reporting approach but do not preserve a separate psychometric response scale. Accordingly, this English-language supplement presents the structured prompts and recording fields without adding an unsupported numerical scale</w:t>
      </w:r>
      <w:r>
        <w:rPr>
          <w:rFonts w:hint="eastAsia" w:eastAsia="宋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sectPr>
      <w:pgSz w:w="12240" w:h="15840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82ADE"/>
    <w:rsid w:val="00CB0664"/>
    <w:rsid w:val="00D4423C"/>
    <w:rsid w:val="00E44741"/>
    <w:rsid w:val="00FC693F"/>
    <w:rsid w:val="0850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59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line="480" w:lineRule="auto"/>
    </w:pPr>
  </w:style>
  <w:style w:type="paragraph" w:styleId="29">
    <w:name w:val="List Continue 2"/>
    <w:basedOn w:val="1"/>
    <w:unhideWhenUsed/>
    <w:qFormat/>
    <w:uiPriority w:val="99"/>
    <w:pPr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0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Table Text"/>
    <w:uiPriority w:val="0"/>
    <w:pPr>
      <w:spacing w:after="0" w:line="240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1021</Words>
  <Characters>7259</Characters>
  <DocSecurity>0</DocSecurity>
  <Lines>58</Lines>
  <Paragraphs>16</Paragraphs>
  <ScaleCrop>false</ScaleCrop>
  <LinksUpToDate>false</LinksUpToDate>
  <CharactersWithSpaces>8181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2026-09-17T05:37:00Z</dcterms:created>
  <dcterms:modified xsi:type="dcterms:W3CDTF">2026-09-19T09:27:53Z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eyJoZGlkIjoiOWUwOWY1OThjOTBmY2I1M2U5OGEyOWE4OWU3MTI0MDIiLCJ1c2VySWQiOiIyMjI3MDIyODQifQ==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AD76C7FFFFD444A6A32ADAD201F2DF4C_12</vt:lpwstr>
  </property>
</Properties>
</file>