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A2" w:rsidRDefault="00766AA2" w:rsidP="00766AA2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976037">
        <w:rPr>
          <w:rFonts w:ascii="Arial" w:hAnsi="Arial" w:cs="Arial"/>
          <w:b/>
          <w:lang w:val="en-US"/>
        </w:rPr>
        <w:t xml:space="preserve">Table 1. </w:t>
      </w:r>
      <w:bookmarkStart w:id="0" w:name="_GoBack"/>
      <w:bookmarkEnd w:id="0"/>
      <w:r w:rsidRPr="00976037">
        <w:rPr>
          <w:rFonts w:ascii="Arial" w:hAnsi="Arial" w:cs="Arial"/>
          <w:b/>
          <w:lang w:val="en-US"/>
        </w:rPr>
        <w:t xml:space="preserve">Interventions and outcomes of the two studies on interventions on FGM for healthcare professionals included in the systematic review. FGM= Female Genital Mutilation. IEC= Information, education and communication activities. TBA= Traditional birth attendants. ACOG= American College of Obstetricians and Gynecologists. CMMC=Central Maine Medical Center. DSFC= Division de santé familiale et communautaire. DRSP= Direction régionale de santé publique. ASDAP= Association de soutien au développement des activités de population. </w:t>
      </w:r>
    </w:p>
    <w:p w:rsidR="00766AA2" w:rsidRDefault="00766AA2" w:rsidP="00766AA2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:rsidR="00766AA2" w:rsidRDefault="00766AA2" w:rsidP="00766AA2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:rsidR="00766AA2" w:rsidRPr="00085660" w:rsidRDefault="00766AA2" w:rsidP="00766AA2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tbl>
      <w:tblPr>
        <w:tblStyle w:val="TableGrid"/>
        <w:tblW w:w="0" w:type="auto"/>
        <w:tblInd w:w="-1026" w:type="dxa"/>
        <w:tblLook w:val="04A0" w:firstRow="1" w:lastRow="0" w:firstColumn="1" w:lastColumn="0" w:noHBand="0" w:noVBand="1"/>
      </w:tblPr>
      <w:tblGrid>
        <w:gridCol w:w="723"/>
        <w:gridCol w:w="971"/>
        <w:gridCol w:w="957"/>
        <w:gridCol w:w="1308"/>
        <w:gridCol w:w="985"/>
        <w:gridCol w:w="993"/>
        <w:gridCol w:w="1066"/>
        <w:gridCol w:w="831"/>
        <w:gridCol w:w="1045"/>
        <w:gridCol w:w="663"/>
      </w:tblGrid>
      <w:tr w:rsidR="00766AA2" w:rsidRPr="00306B7E" w:rsidTr="00DD4314">
        <w:tc>
          <w:tcPr>
            <w:tcW w:w="854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Year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957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Study design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Setting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Population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Sample size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71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Comparison</w:t>
            </w:r>
          </w:p>
        </w:tc>
        <w:tc>
          <w:tcPr>
            <w:tcW w:w="978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Measures</w:t>
            </w:r>
          </w:p>
        </w:tc>
        <w:tc>
          <w:tcPr>
            <w:tcW w:w="105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Outcome reported</w:t>
            </w:r>
          </w:p>
        </w:tc>
        <w:tc>
          <w:tcPr>
            <w:tcW w:w="82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Strengths</w:t>
            </w:r>
          </w:p>
        </w:tc>
        <w:tc>
          <w:tcPr>
            <w:tcW w:w="1028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Weaknesses</w:t>
            </w:r>
          </w:p>
        </w:tc>
        <w:tc>
          <w:tcPr>
            <w:tcW w:w="655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Quality</w:t>
            </w:r>
          </w:p>
        </w:tc>
      </w:tr>
      <w:tr w:rsidR="00766AA2" w:rsidRPr="00306B7E" w:rsidTr="00DD4314">
        <w:tc>
          <w:tcPr>
            <w:tcW w:w="854" w:type="dxa"/>
          </w:tcPr>
          <w:p w:rsidR="00766AA2" w:rsidRPr="00306B7E" w:rsidRDefault="00766AA2" w:rsidP="00DD4314">
            <w:pPr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Sangaré </w:t>
            </w:r>
          </w:p>
          <w:p w:rsidR="00766AA2" w:rsidRPr="00306B7E" w:rsidRDefault="00766AA2" w:rsidP="00DD4314">
            <w:pPr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1998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Mali</w:t>
            </w:r>
          </w:p>
        </w:tc>
        <w:tc>
          <w:tcPr>
            <w:tcW w:w="957" w:type="dxa"/>
          </w:tcPr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Case control.</w:t>
            </w:r>
          </w:p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Eight experimental health centers compared with 6 control health centers in Bamako and Bla (Ségou region).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Health centers include 1 hospital; urban, district and community health centers and referral centers</w:t>
            </w:r>
          </w:p>
        </w:tc>
        <w:tc>
          <w:tcPr>
            <w:tcW w:w="942" w:type="dxa"/>
          </w:tcPr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 xml:space="preserve">108 health providers (OBGYN, family planning providers, certified nurses, nurses in training, nurses aides, midwives, TBA, health technicians): 59 received training, 49 no training. 1633 clients 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</w:tcPr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 xml:space="preserve">1) Four day training on  female anatomy, FGM, related complications and treatments. IEC activities. Visual aids. Role playing to simulate counseling. </w:t>
            </w:r>
          </w:p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2) FGM-related IEC activities within health talks at the clinics and during individual consultations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3) Supervision by trained health staff of the organizations conducting the study*</w:t>
            </w:r>
          </w:p>
        </w:tc>
        <w:tc>
          <w:tcPr>
            <w:tcW w:w="971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No education program</w:t>
            </w:r>
          </w:p>
        </w:tc>
        <w:tc>
          <w:tcPr>
            <w:tcW w:w="978" w:type="dxa"/>
          </w:tcPr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Interviews pre and post training.</w:t>
            </w:r>
          </w:p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Observations of the IEC activities.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Interviews with clients after their consultations</w:t>
            </w:r>
          </w:p>
        </w:tc>
        <w:tc>
          <w:tcPr>
            <w:tcW w:w="1050" w:type="dxa"/>
          </w:tcPr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Improved knowledge and attitude on FGM and consequences</w:t>
            </w:r>
          </w:p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Decreased attitude to FGM medicalization but in both experimental and control centers 30% think that FGM type Ia is not a health risk</w:t>
            </w:r>
          </w:p>
        </w:tc>
        <w:tc>
          <w:tcPr>
            <w:tcW w:w="82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Presence of a control group</w:t>
            </w:r>
          </w:p>
        </w:tc>
        <w:tc>
          <w:tcPr>
            <w:tcW w:w="1028" w:type="dxa"/>
          </w:tcPr>
          <w:p w:rsidR="00766AA2" w:rsidRPr="00306B7E" w:rsidRDefault="00766AA2" w:rsidP="00DD431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Descriptive statistics only, no statistical analysis provided.</w:t>
            </w:r>
          </w:p>
          <w:p w:rsidR="00766AA2" w:rsidRPr="00306B7E" w:rsidRDefault="00766AA2" w:rsidP="00DD431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Limits of sampling: loss of follow up of 4 caregivers post training, low number of women exposed to IEC activities. Impact of training on clients could not be evaluated.</w:t>
            </w:r>
          </w:p>
          <w:p w:rsidR="00766AA2" w:rsidRPr="00306B7E" w:rsidRDefault="00766AA2" w:rsidP="00DD431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Control group not trained but sensitized to FGM in the first steps of the study. No information on differences of the two </w:t>
            </w: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lastRenderedPageBreak/>
              <w:t>groups that could also affect knowledge and attitudes on FGM.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 randomization of caregivers assigned or not to education program</w:t>
            </w:r>
          </w:p>
        </w:tc>
        <w:tc>
          <w:tcPr>
            <w:tcW w:w="655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II-2</w:t>
            </w:r>
          </w:p>
        </w:tc>
      </w:tr>
      <w:tr w:rsidR="00766AA2" w:rsidRPr="00306B7E" w:rsidTr="00DD4314">
        <w:tc>
          <w:tcPr>
            <w:tcW w:w="854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>Author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Year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957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Study design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Setting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Population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Sample size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71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Comparison</w:t>
            </w:r>
          </w:p>
        </w:tc>
        <w:tc>
          <w:tcPr>
            <w:tcW w:w="978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Measures</w:t>
            </w:r>
          </w:p>
        </w:tc>
        <w:tc>
          <w:tcPr>
            <w:tcW w:w="105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Outcome reported</w:t>
            </w:r>
          </w:p>
        </w:tc>
        <w:tc>
          <w:tcPr>
            <w:tcW w:w="82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Strengths</w:t>
            </w:r>
          </w:p>
        </w:tc>
        <w:tc>
          <w:tcPr>
            <w:tcW w:w="1028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Weaknesses</w:t>
            </w:r>
          </w:p>
        </w:tc>
        <w:tc>
          <w:tcPr>
            <w:tcW w:w="655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b/>
                <w:sz w:val="16"/>
                <w:szCs w:val="16"/>
                <w:lang w:val="en-US"/>
              </w:rPr>
              <w:t>Quality</w:t>
            </w:r>
          </w:p>
        </w:tc>
      </w:tr>
      <w:tr w:rsidR="00766AA2" w:rsidRPr="00306B7E" w:rsidTr="00DD4314">
        <w:tc>
          <w:tcPr>
            <w:tcW w:w="854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Jacoby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2013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USA</w:t>
            </w:r>
          </w:p>
        </w:tc>
        <w:tc>
          <w:tcPr>
            <w:tcW w:w="957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 xml:space="preserve">Cohort study. 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Hospital. Central Maine, US</w:t>
            </w:r>
          </w:p>
        </w:tc>
        <w:tc>
          <w:tcPr>
            <w:tcW w:w="942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Eleven midwives (50 midwives were invited to voluntarily take part to the training and study).</w:t>
            </w:r>
          </w:p>
        </w:tc>
        <w:tc>
          <w:tcPr>
            <w:tcW w:w="1287" w:type="dxa"/>
          </w:tcPr>
          <w:p w:rsidR="00766AA2" w:rsidRPr="00306B7E" w:rsidRDefault="00766AA2" w:rsidP="00DD43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1) Didactic information (Microsoft PowerPoint presentation on the literature on FGM, case studies, ACOG recommendations)</w:t>
            </w:r>
          </w:p>
          <w:p w:rsidR="00766AA2" w:rsidRPr="00306B7E" w:rsidRDefault="00766AA2" w:rsidP="00DD43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2) Cultural roundtable with a Somali cultural broker and members of the International Medicine Clinic of the CMMC</w:t>
            </w:r>
          </w:p>
          <w:p w:rsidR="00766AA2" w:rsidRPr="00306B7E" w:rsidRDefault="00766AA2" w:rsidP="00DD43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3) Hands-on skills laboratory</w:t>
            </w:r>
          </w:p>
          <w:p w:rsidR="00766AA2" w:rsidRPr="00306B7E" w:rsidRDefault="00766AA2" w:rsidP="00DD43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method of training on defibulation using pelvic models after reviewing the technique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4) Distribution of a laminated card on defibulation</w:t>
            </w:r>
          </w:p>
        </w:tc>
        <w:tc>
          <w:tcPr>
            <w:tcW w:w="971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No comparison</w:t>
            </w:r>
          </w:p>
        </w:tc>
        <w:tc>
          <w:tcPr>
            <w:tcW w:w="978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Survey pre and post training on 9 learning objectives of the course measured by a 5 point Likert scale going from no confident to very confident</w:t>
            </w:r>
          </w:p>
        </w:tc>
        <w:tc>
          <w:tcPr>
            <w:tcW w:w="105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Increased confidence on the clinical management of women with FGM, with a focus on FGM type III, defibulation and obstetric management</w:t>
            </w:r>
          </w:p>
        </w:tc>
        <w:tc>
          <w:tcPr>
            <w:tcW w:w="820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Well designed</w:t>
            </w:r>
          </w:p>
        </w:tc>
        <w:tc>
          <w:tcPr>
            <w:tcW w:w="1028" w:type="dxa"/>
          </w:tcPr>
          <w:p w:rsidR="00766AA2" w:rsidRPr="00306B7E" w:rsidRDefault="00766AA2" w:rsidP="00DD431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Descriptive statistics only - no statistical analysis provided.</w:t>
            </w:r>
          </w:p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55" w:type="dxa"/>
          </w:tcPr>
          <w:p w:rsidR="00766AA2" w:rsidRPr="00306B7E" w:rsidRDefault="00766AA2" w:rsidP="00DD4314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6B7E">
              <w:rPr>
                <w:rFonts w:ascii="Arial" w:hAnsi="Arial" w:cs="Arial"/>
                <w:sz w:val="16"/>
                <w:szCs w:val="16"/>
                <w:lang w:val="en-US"/>
              </w:rPr>
              <w:t>II-2</w:t>
            </w:r>
          </w:p>
        </w:tc>
      </w:tr>
    </w:tbl>
    <w:p w:rsidR="00766AA2" w:rsidRPr="00AB5E0F" w:rsidRDefault="00766AA2" w:rsidP="00766AA2">
      <w:pPr>
        <w:spacing w:line="480" w:lineRule="auto"/>
        <w:jc w:val="both"/>
        <w:rPr>
          <w:rFonts w:ascii="Abadi MT Condensed Light" w:hAnsi="Abadi MT Condensed Light" w:cs="Arial"/>
          <w:b/>
          <w:lang w:val="en-US"/>
        </w:rPr>
      </w:pPr>
    </w:p>
    <w:p w:rsidR="00EB08FF" w:rsidRDefault="00EB08FF"/>
    <w:sectPr w:rsidR="00EB08FF" w:rsidSect="00711611">
      <w:footerReference w:type="even" r:id="rId5"/>
      <w:footerReference w:type="default" r:id="rId6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21" w:rsidRDefault="00766AA2" w:rsidP="00E523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1B21" w:rsidRDefault="00766AA2" w:rsidP="0071161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21" w:rsidRDefault="00766AA2" w:rsidP="00E523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D1B21" w:rsidRDefault="00766AA2" w:rsidP="0071161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A2"/>
    <w:rsid w:val="00766AA2"/>
    <w:rsid w:val="00EB08FF"/>
    <w:rsid w:val="00EE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C2DD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6A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AA2"/>
  </w:style>
  <w:style w:type="character" w:styleId="PageNumber">
    <w:name w:val="page number"/>
    <w:basedOn w:val="DefaultParagraphFont"/>
    <w:uiPriority w:val="99"/>
    <w:semiHidden/>
    <w:unhideWhenUsed/>
    <w:rsid w:val="00766AA2"/>
  </w:style>
  <w:style w:type="table" w:styleId="TableGrid">
    <w:name w:val="Table Grid"/>
    <w:basedOn w:val="TableNormal"/>
    <w:uiPriority w:val="59"/>
    <w:rsid w:val="00766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6AA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6A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AA2"/>
  </w:style>
  <w:style w:type="character" w:styleId="PageNumber">
    <w:name w:val="page number"/>
    <w:basedOn w:val="DefaultParagraphFont"/>
    <w:uiPriority w:val="99"/>
    <w:semiHidden/>
    <w:unhideWhenUsed/>
    <w:rsid w:val="00766AA2"/>
  </w:style>
  <w:style w:type="table" w:styleId="TableGrid">
    <w:name w:val="Table Grid"/>
    <w:basedOn w:val="TableNormal"/>
    <w:uiPriority w:val="59"/>
    <w:rsid w:val="00766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6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2887</Characters>
  <Application>Microsoft Macintosh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</dc:creator>
  <cp:keywords/>
  <dc:description/>
  <cp:lastModifiedBy>J A</cp:lastModifiedBy>
  <cp:revision>1</cp:revision>
  <dcterms:created xsi:type="dcterms:W3CDTF">2016-08-11T14:55:00Z</dcterms:created>
  <dcterms:modified xsi:type="dcterms:W3CDTF">2016-08-11T14:55:00Z</dcterms:modified>
</cp:coreProperties>
</file>