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BF" w:rsidRDefault="00127DA8" w:rsidP="007D48BF">
      <w:pPr>
        <w:pStyle w:val="Beschriftung"/>
      </w:pPr>
      <w:r w:rsidRPr="009C226F">
        <w:t xml:space="preserve">Table </w:t>
      </w:r>
      <w:r>
        <w:t>S</w:t>
      </w:r>
      <w:r w:rsidR="007D48BF">
        <w:t>2</w:t>
      </w:r>
      <w:r w:rsidRPr="009C226F">
        <w:t xml:space="preserve">: </w:t>
      </w:r>
      <w:r w:rsidR="007D48BF">
        <w:t>Utility data used for health states</w:t>
      </w:r>
    </w:p>
    <w:tbl>
      <w:tblPr>
        <w:tblStyle w:val="Tabellenraster"/>
        <w:tblW w:w="9889" w:type="dxa"/>
        <w:tblLayout w:type="fixed"/>
        <w:tblLook w:val="06E0" w:firstRow="1" w:lastRow="1" w:firstColumn="1" w:lastColumn="0" w:noHBand="1" w:noVBand="1"/>
      </w:tblPr>
      <w:tblGrid>
        <w:gridCol w:w="3085"/>
        <w:gridCol w:w="1385"/>
        <w:gridCol w:w="1376"/>
        <w:gridCol w:w="4043"/>
      </w:tblGrid>
      <w:tr w:rsidR="007D48BF" w:rsidRPr="007A5D8A" w:rsidTr="00DE376E">
        <w:trPr>
          <w:trHeight w:val="480"/>
        </w:trPr>
        <w:tc>
          <w:tcPr>
            <w:tcW w:w="3085" w:type="dxa"/>
          </w:tcPr>
          <w:p w:rsidR="007D48BF" w:rsidRPr="007A5D8A" w:rsidRDefault="007D48BF" w:rsidP="00DE376E">
            <w:pPr>
              <w:spacing w:line="480" w:lineRule="auto"/>
            </w:pPr>
            <w:r>
              <w:t>Health state</w:t>
            </w:r>
          </w:p>
        </w:tc>
        <w:tc>
          <w:tcPr>
            <w:tcW w:w="1385" w:type="dxa"/>
          </w:tcPr>
          <w:p w:rsidR="007D48BF" w:rsidRDefault="007D48BF" w:rsidP="00DE376E">
            <w:pPr>
              <w:spacing w:line="480" w:lineRule="auto"/>
            </w:pPr>
            <w:r>
              <w:t>Utility value</w:t>
            </w:r>
          </w:p>
        </w:tc>
        <w:tc>
          <w:tcPr>
            <w:tcW w:w="1376" w:type="dxa"/>
          </w:tcPr>
          <w:p w:rsidR="007D48BF" w:rsidRPr="007A5D8A" w:rsidRDefault="007D48BF" w:rsidP="00DE376E">
            <w:pPr>
              <w:spacing w:line="480" w:lineRule="auto"/>
            </w:pPr>
            <w:r>
              <w:t>Standard error</w:t>
            </w:r>
          </w:p>
        </w:tc>
        <w:tc>
          <w:tcPr>
            <w:tcW w:w="4043" w:type="dxa"/>
          </w:tcPr>
          <w:p w:rsidR="007D48BF" w:rsidRPr="007A5D8A" w:rsidRDefault="007D48BF" w:rsidP="00DE376E">
            <w:pPr>
              <w:spacing w:line="480" w:lineRule="auto"/>
            </w:pPr>
            <w:r>
              <w:t>Reference</w:t>
            </w:r>
          </w:p>
        </w:tc>
      </w:tr>
      <w:tr w:rsidR="007D48BF" w:rsidRPr="007A5D8A" w:rsidTr="00DE376E">
        <w:trPr>
          <w:trHeight w:val="543"/>
        </w:trPr>
        <w:tc>
          <w:tcPr>
            <w:tcW w:w="3085" w:type="dxa"/>
          </w:tcPr>
          <w:p w:rsidR="007D48BF" w:rsidRPr="007A5D8A" w:rsidRDefault="007D48BF" w:rsidP="00DE376E">
            <w:pPr>
              <w:spacing w:line="480" w:lineRule="auto"/>
            </w:pPr>
            <w:r>
              <w:t>P</w:t>
            </w:r>
            <w:r w:rsidRPr="00877634">
              <w:t>atients with no cure</w:t>
            </w:r>
          </w:p>
        </w:tc>
        <w:tc>
          <w:tcPr>
            <w:tcW w:w="1385" w:type="dxa"/>
          </w:tcPr>
          <w:p w:rsidR="007D48BF" w:rsidRPr="007A5D8A" w:rsidRDefault="007D48BF" w:rsidP="00DE376E">
            <w:pPr>
              <w:spacing w:line="480" w:lineRule="auto"/>
            </w:pPr>
            <w:r>
              <w:t>0.68</w:t>
            </w:r>
          </w:p>
        </w:tc>
        <w:tc>
          <w:tcPr>
            <w:tcW w:w="1376" w:type="dxa"/>
          </w:tcPr>
          <w:p w:rsidR="007D48BF" w:rsidRPr="007A5D8A" w:rsidRDefault="007D48BF" w:rsidP="00DE376E">
            <w:pPr>
              <w:spacing w:line="480" w:lineRule="auto"/>
            </w:pPr>
            <w:r>
              <w:t>0.14</w:t>
            </w:r>
          </w:p>
        </w:tc>
        <w:tc>
          <w:tcPr>
            <w:tcW w:w="4043" w:type="dxa"/>
          </w:tcPr>
          <w:p w:rsidR="007D48BF" w:rsidRPr="007A5D8A" w:rsidRDefault="007D48BF" w:rsidP="00DE376E">
            <w:pPr>
              <w:spacing w:line="480" w:lineRule="auto"/>
            </w:pPr>
            <w:r w:rsidRPr="00741795">
              <w:t xml:space="preserve">Jit, Stagg, Aldridge et al (2011) </w:t>
            </w:r>
          </w:p>
        </w:tc>
      </w:tr>
      <w:tr w:rsidR="007D48BF" w:rsidRPr="007A5D8A" w:rsidTr="00DE376E">
        <w:trPr>
          <w:trHeight w:val="706"/>
        </w:trPr>
        <w:tc>
          <w:tcPr>
            <w:tcW w:w="3085" w:type="dxa"/>
          </w:tcPr>
          <w:p w:rsidR="007D48BF" w:rsidRPr="007A5D8A" w:rsidRDefault="007D48BF" w:rsidP="00DE376E">
            <w:pPr>
              <w:spacing w:line="480" w:lineRule="auto"/>
            </w:pPr>
            <w:r>
              <w:t>P</w:t>
            </w:r>
            <w:r w:rsidRPr="00877634">
              <w:t xml:space="preserve">atients with </w:t>
            </w:r>
            <w:r>
              <w:t xml:space="preserve">treatment completed and </w:t>
            </w:r>
            <w:r w:rsidRPr="00877634">
              <w:t>cure</w:t>
            </w:r>
            <w:r>
              <w:t xml:space="preserve">d </w:t>
            </w:r>
            <w:r w:rsidRPr="00877634">
              <w:t>(first year)</w:t>
            </w:r>
          </w:p>
        </w:tc>
        <w:tc>
          <w:tcPr>
            <w:tcW w:w="1385" w:type="dxa"/>
          </w:tcPr>
          <w:p w:rsidR="007D48BF" w:rsidRPr="007A5D8A" w:rsidRDefault="007D48BF" w:rsidP="00DE376E">
            <w:pPr>
              <w:spacing w:line="480" w:lineRule="auto"/>
            </w:pPr>
            <w:r>
              <w:t>0.79</w:t>
            </w:r>
          </w:p>
        </w:tc>
        <w:tc>
          <w:tcPr>
            <w:tcW w:w="1376" w:type="dxa"/>
          </w:tcPr>
          <w:p w:rsidR="007D48BF" w:rsidRPr="007A5D8A" w:rsidRDefault="007D48BF" w:rsidP="00DE376E">
            <w:pPr>
              <w:spacing w:line="480" w:lineRule="auto"/>
            </w:pPr>
            <w:r>
              <w:t>0.04</w:t>
            </w:r>
          </w:p>
        </w:tc>
        <w:tc>
          <w:tcPr>
            <w:tcW w:w="4043" w:type="dxa"/>
          </w:tcPr>
          <w:p w:rsidR="007D48BF" w:rsidRPr="007A5D8A" w:rsidRDefault="007D48BF" w:rsidP="00DE376E">
            <w:pPr>
              <w:spacing w:line="480" w:lineRule="auto"/>
            </w:pPr>
            <w:r w:rsidRPr="00741795">
              <w:t>Jit, Stagg, Aldridge et al (2011)</w:t>
            </w:r>
          </w:p>
        </w:tc>
      </w:tr>
      <w:tr w:rsidR="007D48BF" w:rsidRPr="007A5D8A" w:rsidTr="00DE376E">
        <w:trPr>
          <w:trHeight w:val="816"/>
        </w:trPr>
        <w:tc>
          <w:tcPr>
            <w:tcW w:w="3085" w:type="dxa"/>
          </w:tcPr>
          <w:p w:rsidR="007D48BF" w:rsidRPr="007A5D8A" w:rsidRDefault="007D48BF" w:rsidP="00DE376E">
            <w:pPr>
              <w:spacing w:line="480" w:lineRule="auto"/>
            </w:pPr>
            <w:r>
              <w:t>P</w:t>
            </w:r>
            <w:r w:rsidRPr="00877634">
              <w:t xml:space="preserve">atients with </w:t>
            </w:r>
            <w:r>
              <w:t xml:space="preserve">treatment completed and </w:t>
            </w:r>
            <w:r w:rsidRPr="00877634">
              <w:t>cure</w:t>
            </w:r>
            <w:r>
              <w:t xml:space="preserve">d </w:t>
            </w:r>
            <w:r w:rsidRPr="00877634">
              <w:t>(subsequent years)</w:t>
            </w:r>
          </w:p>
        </w:tc>
        <w:tc>
          <w:tcPr>
            <w:tcW w:w="1385" w:type="dxa"/>
          </w:tcPr>
          <w:p w:rsidR="007D48BF" w:rsidRPr="007A5D8A" w:rsidRDefault="007D48BF" w:rsidP="00DE376E">
            <w:pPr>
              <w:spacing w:line="480" w:lineRule="auto"/>
            </w:pPr>
            <w:r>
              <w:t>0.81</w:t>
            </w:r>
          </w:p>
        </w:tc>
        <w:tc>
          <w:tcPr>
            <w:tcW w:w="1376" w:type="dxa"/>
          </w:tcPr>
          <w:p w:rsidR="007D48BF" w:rsidRPr="007A5D8A" w:rsidRDefault="007D48BF" w:rsidP="00DE376E">
            <w:pPr>
              <w:spacing w:line="480" w:lineRule="auto"/>
            </w:pPr>
            <w:r>
              <w:t>0.04</w:t>
            </w:r>
          </w:p>
        </w:tc>
        <w:tc>
          <w:tcPr>
            <w:tcW w:w="4043" w:type="dxa"/>
          </w:tcPr>
          <w:p w:rsidR="007D48BF" w:rsidRPr="007A5D8A" w:rsidRDefault="007D48BF" w:rsidP="00DE376E">
            <w:pPr>
              <w:spacing w:line="480" w:lineRule="auto"/>
            </w:pPr>
            <w:r w:rsidRPr="00741795">
              <w:t>Jit, Stagg, Aldridge et al (2011)</w:t>
            </w:r>
          </w:p>
        </w:tc>
      </w:tr>
      <w:tr w:rsidR="007D48BF" w:rsidRPr="007A5D8A" w:rsidTr="00DE376E">
        <w:trPr>
          <w:trHeight w:val="416"/>
        </w:trPr>
        <w:tc>
          <w:tcPr>
            <w:tcW w:w="3085" w:type="dxa"/>
          </w:tcPr>
          <w:p w:rsidR="007D48BF" w:rsidRPr="007A5D8A" w:rsidRDefault="007D48BF" w:rsidP="00DE376E">
            <w:pPr>
              <w:spacing w:line="480" w:lineRule="auto"/>
            </w:pPr>
            <w:r>
              <w:t xml:space="preserve">Patients </w:t>
            </w:r>
            <w:r w:rsidRPr="00877634">
              <w:t>lost to follow-up</w:t>
            </w:r>
          </w:p>
        </w:tc>
        <w:tc>
          <w:tcPr>
            <w:tcW w:w="1385" w:type="dxa"/>
          </w:tcPr>
          <w:p w:rsidR="007D48BF" w:rsidRPr="007A5D8A" w:rsidRDefault="007D48BF" w:rsidP="00DE376E">
            <w:pPr>
              <w:spacing w:line="480" w:lineRule="auto"/>
            </w:pPr>
            <w:r>
              <w:t>0.68</w:t>
            </w:r>
          </w:p>
        </w:tc>
        <w:tc>
          <w:tcPr>
            <w:tcW w:w="1376" w:type="dxa"/>
          </w:tcPr>
          <w:p w:rsidR="007D48BF" w:rsidRPr="007A5D8A" w:rsidRDefault="007D48BF" w:rsidP="00DE376E">
            <w:pPr>
              <w:spacing w:line="480" w:lineRule="auto"/>
            </w:pPr>
            <w:r>
              <w:t>0.14</w:t>
            </w:r>
          </w:p>
        </w:tc>
        <w:tc>
          <w:tcPr>
            <w:tcW w:w="4043" w:type="dxa"/>
          </w:tcPr>
          <w:p w:rsidR="007D48BF" w:rsidRPr="007A5D8A" w:rsidRDefault="007D48BF" w:rsidP="00DE376E">
            <w:pPr>
              <w:spacing w:line="480" w:lineRule="auto"/>
            </w:pPr>
            <w:r w:rsidRPr="00741795">
              <w:t xml:space="preserve">Assumed to be the same utility weight as </w:t>
            </w:r>
            <w:r>
              <w:t xml:space="preserve">patients with </w:t>
            </w:r>
            <w:r w:rsidRPr="00741795">
              <w:t>active TB (no cure)</w:t>
            </w:r>
          </w:p>
        </w:tc>
      </w:tr>
      <w:tr w:rsidR="007D48BF" w:rsidRPr="007A5D8A" w:rsidTr="00DE376E">
        <w:trPr>
          <w:trHeight w:val="409"/>
        </w:trPr>
        <w:tc>
          <w:tcPr>
            <w:tcW w:w="3085" w:type="dxa"/>
          </w:tcPr>
          <w:p w:rsidR="007D48BF" w:rsidRPr="007A5D8A" w:rsidRDefault="007D48BF" w:rsidP="00DE376E">
            <w:pPr>
              <w:spacing w:line="480" w:lineRule="auto"/>
            </w:pPr>
            <w:r w:rsidRPr="00877634">
              <w:t>End of Life</w:t>
            </w:r>
            <w:r>
              <w:t xml:space="preserve"> care</w:t>
            </w:r>
          </w:p>
        </w:tc>
        <w:tc>
          <w:tcPr>
            <w:tcW w:w="1385" w:type="dxa"/>
          </w:tcPr>
          <w:p w:rsidR="007D48BF" w:rsidRPr="007A5D8A" w:rsidRDefault="007D48BF" w:rsidP="00DE376E">
            <w:pPr>
              <w:spacing w:line="480" w:lineRule="auto"/>
            </w:pPr>
            <w:r>
              <w:t>0.68</w:t>
            </w:r>
          </w:p>
        </w:tc>
        <w:tc>
          <w:tcPr>
            <w:tcW w:w="1376" w:type="dxa"/>
          </w:tcPr>
          <w:p w:rsidR="007D48BF" w:rsidRPr="007A5D8A" w:rsidRDefault="007D48BF" w:rsidP="00DE376E">
            <w:pPr>
              <w:spacing w:line="480" w:lineRule="auto"/>
            </w:pPr>
            <w:r>
              <w:t>0.14</w:t>
            </w:r>
          </w:p>
        </w:tc>
        <w:tc>
          <w:tcPr>
            <w:tcW w:w="4043" w:type="dxa"/>
          </w:tcPr>
          <w:p w:rsidR="007D48BF" w:rsidRPr="00944D92" w:rsidRDefault="007D48BF" w:rsidP="00DE376E">
            <w:pPr>
              <w:spacing w:line="480" w:lineRule="auto"/>
            </w:pPr>
            <w:r w:rsidRPr="00741795">
              <w:t xml:space="preserve">Assumed to be the same utility weight as </w:t>
            </w:r>
            <w:r>
              <w:t xml:space="preserve">patients with </w:t>
            </w:r>
            <w:r w:rsidRPr="00741795">
              <w:t>active TB (no cure)</w:t>
            </w:r>
          </w:p>
        </w:tc>
      </w:tr>
      <w:tr w:rsidR="007D48BF" w:rsidRPr="007A5D8A" w:rsidTr="00DE376E">
        <w:trPr>
          <w:trHeight w:val="415"/>
        </w:trPr>
        <w:tc>
          <w:tcPr>
            <w:tcW w:w="3085" w:type="dxa"/>
          </w:tcPr>
          <w:p w:rsidR="007D48BF" w:rsidRPr="00877634" w:rsidRDefault="007D48BF" w:rsidP="00DE376E">
            <w:pPr>
              <w:spacing w:line="480" w:lineRule="auto"/>
            </w:pPr>
            <w:r>
              <w:t>Dead</w:t>
            </w:r>
          </w:p>
        </w:tc>
        <w:tc>
          <w:tcPr>
            <w:tcW w:w="1385" w:type="dxa"/>
          </w:tcPr>
          <w:p w:rsidR="007D48BF" w:rsidRPr="007A5D8A" w:rsidRDefault="007D48BF" w:rsidP="00DE376E">
            <w:pPr>
              <w:spacing w:line="480" w:lineRule="auto"/>
            </w:pPr>
            <w:r>
              <w:t>0.00</w:t>
            </w:r>
          </w:p>
        </w:tc>
        <w:tc>
          <w:tcPr>
            <w:tcW w:w="1376" w:type="dxa"/>
          </w:tcPr>
          <w:p w:rsidR="007D48BF" w:rsidRPr="007A5D8A" w:rsidRDefault="007D48BF" w:rsidP="00DE376E">
            <w:pPr>
              <w:spacing w:line="480" w:lineRule="auto"/>
            </w:pPr>
          </w:p>
        </w:tc>
        <w:tc>
          <w:tcPr>
            <w:tcW w:w="4043" w:type="dxa"/>
          </w:tcPr>
          <w:p w:rsidR="007D48BF" w:rsidRPr="00944D92" w:rsidRDefault="007D48BF" w:rsidP="00DE376E">
            <w:pPr>
              <w:spacing w:line="480" w:lineRule="auto"/>
            </w:pPr>
          </w:p>
        </w:tc>
      </w:tr>
    </w:tbl>
    <w:p w:rsidR="007D48BF" w:rsidRDefault="007D48BF" w:rsidP="007D48BF">
      <w:pPr>
        <w:spacing w:line="480" w:lineRule="auto"/>
        <w:jc w:val="both"/>
        <w:rPr>
          <w:b/>
        </w:rPr>
      </w:pPr>
    </w:p>
    <w:p w:rsidR="00127DA8" w:rsidRPr="00127DA8" w:rsidRDefault="00127DA8" w:rsidP="007D48BF">
      <w:pPr>
        <w:pStyle w:val="Beschriftung"/>
      </w:pPr>
      <w:r>
        <w:t xml:space="preserve"> </w:t>
      </w:r>
      <w:bookmarkStart w:id="0" w:name="_GoBack"/>
      <w:bookmarkEnd w:id="0"/>
    </w:p>
    <w:sectPr w:rsidR="00127DA8" w:rsidRPr="00127DA8" w:rsidSect="000B0C48"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A8"/>
    <w:rsid w:val="000B0C48"/>
    <w:rsid w:val="00127DA8"/>
    <w:rsid w:val="007D48BF"/>
    <w:rsid w:val="00932110"/>
    <w:rsid w:val="00A9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0B82"/>
  <w15:chartTrackingRefBased/>
  <w15:docId w15:val="{87D853DB-AA93-4560-87D1-02587DA9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aliases w:val="- H44"/>
    <w:qFormat/>
    <w:rsid w:val="00127DA8"/>
    <w:pPr>
      <w:keepLines/>
      <w:widowControl w:val="0"/>
      <w:spacing w:after="0" w:line="240" w:lineRule="auto"/>
    </w:pPr>
    <w:rPr>
      <w:rFonts w:ascii="Arial" w:eastAsia="Times New Roman" w:hAnsi="Arial" w:cs="Times New Roman"/>
      <w:color w:val="000000" w:themeColor="text1"/>
      <w:sz w:val="16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aliases w:val="- H17,Bayer Caption,IB Caption,Medical Caption,B Caption"/>
    <w:basedOn w:val="Textkrper"/>
    <w:next w:val="Textkrper"/>
    <w:uiPriority w:val="35"/>
    <w:qFormat/>
    <w:rsid w:val="00127DA8"/>
    <w:pPr>
      <w:keepNext/>
      <w:keepLines/>
      <w:widowControl w:val="0"/>
      <w:spacing w:before="360" w:line="240" w:lineRule="auto"/>
      <w:jc w:val="both"/>
    </w:pPr>
    <w:rPr>
      <w:rFonts w:ascii="Arial" w:eastAsia="Times New Roman" w:hAnsi="Arial" w:cs="Times New Roman"/>
      <w:b/>
      <w:bCs/>
      <w:color w:val="000000" w:themeColor="text1"/>
      <w:sz w:val="16"/>
      <w:szCs w:val="20"/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27DA8"/>
    <w:pPr>
      <w:keepLines w:val="0"/>
      <w:widowControl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27DA8"/>
  </w:style>
  <w:style w:type="paragraph" w:customStyle="1" w:styleId="TableBodyText-H54">
    <w:name w:val="Table Body Text - H54"/>
    <w:basedOn w:val="Textkrper"/>
    <w:link w:val="TableBodyText-H54Char"/>
    <w:qFormat/>
    <w:rsid w:val="00127DA8"/>
    <w:pPr>
      <w:keepLines/>
      <w:widowControl w:val="0"/>
      <w:spacing w:before="40" w:after="40" w:line="240" w:lineRule="auto"/>
    </w:pPr>
    <w:rPr>
      <w:rFonts w:ascii="Arial" w:eastAsia="Times New Roman" w:hAnsi="Arial" w:cs="Times New Roman"/>
      <w:color w:val="000000" w:themeColor="text1"/>
      <w:sz w:val="16"/>
      <w:szCs w:val="20"/>
      <w:lang w:val="en-GB"/>
    </w:rPr>
  </w:style>
  <w:style w:type="character" w:customStyle="1" w:styleId="TableBodyText-H54Char">
    <w:name w:val="Table Body Text - H54 Char"/>
    <w:basedOn w:val="Absatz-Standardschriftart"/>
    <w:link w:val="TableBodyText-H54"/>
    <w:rsid w:val="00127DA8"/>
    <w:rPr>
      <w:rFonts w:ascii="Arial" w:eastAsia="Times New Roman" w:hAnsi="Arial" w:cs="Times New Roman"/>
      <w:color w:val="000000" w:themeColor="text1"/>
      <w:sz w:val="16"/>
      <w:szCs w:val="20"/>
      <w:lang w:val="en-GB"/>
    </w:rPr>
  </w:style>
  <w:style w:type="paragraph" w:customStyle="1" w:styleId="TableNote-H58">
    <w:name w:val="Table Note - H58"/>
    <w:basedOn w:val="Textkrper"/>
    <w:qFormat/>
    <w:rsid w:val="00127DA8"/>
    <w:pPr>
      <w:keepLines/>
      <w:tabs>
        <w:tab w:val="left" w:pos="680"/>
      </w:tabs>
      <w:spacing w:before="45" w:line="240" w:lineRule="auto"/>
      <w:jc w:val="both"/>
    </w:pPr>
    <w:rPr>
      <w:rFonts w:ascii="Arial" w:eastAsia="Times New Roman" w:hAnsi="Arial" w:cs="Times New Roman"/>
      <w:bCs/>
      <w:color w:val="000000" w:themeColor="text1"/>
      <w:sz w:val="12"/>
      <w:szCs w:val="12"/>
      <w:lang w:val="en-GB"/>
    </w:rPr>
  </w:style>
  <w:style w:type="table" w:styleId="Tabellenraster">
    <w:name w:val="Table Grid"/>
    <w:basedOn w:val="NormaleTabelle"/>
    <w:uiPriority w:val="59"/>
    <w:rsid w:val="00127DA8"/>
    <w:pPr>
      <w:spacing w:after="0" w:line="240" w:lineRule="auto"/>
    </w:pPr>
    <w:rPr>
      <w:rFonts w:ascii="Tahoma" w:eastAsia="Tahoma" w:hAnsi="Tahom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Wirth, Daniel [JACDE]</dc:creator>
  <cp:keywords/>
  <dc:description/>
  <cp:lastModifiedBy>Wirth, Daniel [JACDE]</cp:lastModifiedBy>
  <cp:revision>3</cp:revision>
  <dcterms:created xsi:type="dcterms:W3CDTF">2017-02-22T09:51:00Z</dcterms:created>
  <dcterms:modified xsi:type="dcterms:W3CDTF">2017-02-22T09:52:00Z</dcterms:modified>
</cp:coreProperties>
</file>