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7C5" w:rsidRPr="008F1C23" w:rsidRDefault="004F0229" w:rsidP="003347C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1.</w:t>
      </w:r>
      <w:proofErr w:type="gramEnd"/>
      <w:r w:rsidR="003347C5" w:rsidRPr="008F1C23">
        <w:rPr>
          <w:rFonts w:ascii="Times New Roman" w:hAnsi="Times New Roman" w:cs="Times New Roman"/>
          <w:b/>
          <w:sz w:val="24"/>
          <w:szCs w:val="24"/>
        </w:rPr>
        <w:t xml:space="preserve"> The 1</w:t>
      </w:r>
      <w:r>
        <w:rPr>
          <w:rFonts w:ascii="Times New Roman" w:hAnsi="Times New Roman" w:cs="Times New Roman"/>
          <w:b/>
          <w:sz w:val="24"/>
          <w:szCs w:val="24"/>
        </w:rPr>
        <w:t>2 components of the RED Toolkit</w:t>
      </w:r>
    </w:p>
    <w:tbl>
      <w:tblPr>
        <w:tblStyle w:val="TableGrid"/>
        <w:tblW w:w="10191" w:type="dxa"/>
        <w:tblLook w:val="04A0"/>
      </w:tblPr>
      <w:tblGrid>
        <w:gridCol w:w="2643"/>
        <w:gridCol w:w="7548"/>
      </w:tblGrid>
      <w:tr w:rsidR="003347C5" w:rsidRPr="008F1C23" w:rsidTr="00946ED1">
        <w:trPr>
          <w:trHeight w:val="219"/>
        </w:trPr>
        <w:tc>
          <w:tcPr>
            <w:tcW w:w="2643" w:type="dxa"/>
            <w:shd w:val="clear" w:color="auto" w:fill="9CC2E5" w:themeFill="accent1" w:themeFillTint="99"/>
          </w:tcPr>
          <w:p w:rsidR="003347C5" w:rsidRPr="008F1C23" w:rsidRDefault="003347C5" w:rsidP="00946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8F1C23">
              <w:rPr>
                <w:rFonts w:ascii="Times New Roman" w:hAnsi="Times New Roman" w:cs="Times New Roman"/>
                <w:b/>
                <w:sz w:val="24"/>
                <w:szCs w:val="24"/>
              </w:rPr>
              <w:t>ED Component</w:t>
            </w:r>
          </w:p>
        </w:tc>
        <w:tc>
          <w:tcPr>
            <w:tcW w:w="7548" w:type="dxa"/>
            <w:shd w:val="clear" w:color="auto" w:fill="9CC2E5" w:themeFill="accent1" w:themeFillTint="99"/>
          </w:tcPr>
          <w:p w:rsidR="003347C5" w:rsidRPr="008F1C23" w:rsidRDefault="003347C5" w:rsidP="00946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C23">
              <w:rPr>
                <w:rFonts w:ascii="Times New Roman" w:hAnsi="Times New Roman" w:cs="Times New Roman"/>
                <w:b/>
                <w:sz w:val="24"/>
                <w:szCs w:val="24"/>
              </w:rPr>
              <w:t>Responsibilities</w:t>
            </w:r>
          </w:p>
        </w:tc>
      </w:tr>
      <w:tr w:rsidR="003347C5" w:rsidRPr="008F1C23" w:rsidTr="00946ED1">
        <w:trPr>
          <w:trHeight w:val="728"/>
        </w:trPr>
        <w:tc>
          <w:tcPr>
            <w:tcW w:w="2643" w:type="dxa"/>
            <w:shd w:val="clear" w:color="auto" w:fill="DEEAF6" w:themeFill="accent1" w:themeFillTint="33"/>
          </w:tcPr>
          <w:p w:rsidR="003347C5" w:rsidRPr="008F1C23" w:rsidRDefault="003347C5" w:rsidP="00946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C23">
              <w:rPr>
                <w:rFonts w:ascii="Times New Roman" w:hAnsi="Times New Roman" w:cs="Times New Roman"/>
                <w:b/>
                <w:sz w:val="24"/>
                <w:szCs w:val="24"/>
              </w:rPr>
              <w:t>1. Ascertain need for and obtain language assistance.</w:t>
            </w:r>
          </w:p>
        </w:tc>
        <w:tc>
          <w:tcPr>
            <w:tcW w:w="7548" w:type="dxa"/>
          </w:tcPr>
          <w:p w:rsidR="003347C5" w:rsidRPr="008F1C23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C23">
              <w:rPr>
                <w:rFonts w:ascii="Times New Roman" w:hAnsi="Times New Roman" w:cs="Times New Roman"/>
                <w:sz w:val="24"/>
                <w:szCs w:val="24"/>
              </w:rPr>
              <w:t>• Find out about preferred languages for oral communication and written materials.</w:t>
            </w:r>
          </w:p>
          <w:p w:rsidR="003347C5" w:rsidRPr="008F1C23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C23">
              <w:rPr>
                <w:rFonts w:ascii="Times New Roman" w:hAnsi="Times New Roman" w:cs="Times New Roman"/>
                <w:sz w:val="24"/>
                <w:szCs w:val="24"/>
              </w:rPr>
              <w:t>• Determine patient and caregivers’ English proficiency</w:t>
            </w:r>
          </w:p>
          <w:p w:rsidR="003347C5" w:rsidRPr="008F1C23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C23">
              <w:rPr>
                <w:rFonts w:ascii="Times New Roman" w:hAnsi="Times New Roman" w:cs="Times New Roman"/>
                <w:sz w:val="24"/>
                <w:szCs w:val="24"/>
              </w:rPr>
              <w:t>• Arrange for language assistance as needed, including translation of written materials.</w:t>
            </w:r>
          </w:p>
        </w:tc>
      </w:tr>
      <w:tr w:rsidR="003347C5" w:rsidRPr="008F1C23" w:rsidTr="00946ED1">
        <w:trPr>
          <w:trHeight w:val="3050"/>
        </w:trPr>
        <w:tc>
          <w:tcPr>
            <w:tcW w:w="2643" w:type="dxa"/>
            <w:shd w:val="clear" w:color="auto" w:fill="DEEAF6" w:themeFill="accent1" w:themeFillTint="33"/>
          </w:tcPr>
          <w:p w:rsidR="003347C5" w:rsidRPr="008F1C23" w:rsidRDefault="003347C5" w:rsidP="00946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C23">
              <w:rPr>
                <w:rFonts w:ascii="Times New Roman" w:hAnsi="Times New Roman" w:cs="Times New Roman"/>
                <w:b/>
                <w:sz w:val="24"/>
                <w:szCs w:val="24"/>
              </w:rPr>
              <w:t>2. Make appointments for follow-up medical appointments and post discharge tests/labs.</w:t>
            </w:r>
          </w:p>
        </w:tc>
        <w:tc>
          <w:tcPr>
            <w:tcW w:w="7548" w:type="dxa"/>
          </w:tcPr>
          <w:p w:rsidR="003347C5" w:rsidRPr="008F1C23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C23">
              <w:rPr>
                <w:rFonts w:ascii="Times New Roman" w:hAnsi="Times New Roman" w:cs="Times New Roman"/>
                <w:sz w:val="24"/>
                <w:szCs w:val="24"/>
              </w:rPr>
              <w:t>• Determine primary care and specialty follow-up needs.</w:t>
            </w:r>
          </w:p>
          <w:p w:rsidR="003347C5" w:rsidRPr="008F1C23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C23">
              <w:rPr>
                <w:rFonts w:ascii="Times New Roman" w:hAnsi="Times New Roman" w:cs="Times New Roman"/>
                <w:sz w:val="24"/>
                <w:szCs w:val="24"/>
              </w:rPr>
              <w:t>• Find a primary care provider (if patient does not have one) based on patient preferences: gender, location, specialty, health plan participation, etc.</w:t>
            </w:r>
          </w:p>
          <w:p w:rsidR="003347C5" w:rsidRPr="008F1C23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C23">
              <w:rPr>
                <w:rFonts w:ascii="Times New Roman" w:hAnsi="Times New Roman" w:cs="Times New Roman"/>
                <w:sz w:val="24"/>
                <w:szCs w:val="24"/>
              </w:rPr>
              <w:t>• Determine need for scheduling future tests.</w:t>
            </w:r>
          </w:p>
          <w:p w:rsidR="003347C5" w:rsidRPr="008F1C23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C23">
              <w:rPr>
                <w:rFonts w:ascii="Times New Roman" w:hAnsi="Times New Roman" w:cs="Times New Roman"/>
                <w:sz w:val="24"/>
                <w:szCs w:val="24"/>
              </w:rPr>
              <w:t>• Make appointments with input from the patient regarding the best time and date for the appointments.</w:t>
            </w:r>
          </w:p>
          <w:p w:rsidR="003347C5" w:rsidRPr="008F1C23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C23">
              <w:rPr>
                <w:rFonts w:ascii="Times New Roman" w:hAnsi="Times New Roman" w:cs="Times New Roman"/>
                <w:sz w:val="24"/>
                <w:szCs w:val="24"/>
              </w:rPr>
              <w:t>• Instruct patient in any preparation required for future tests and confirm understanding.</w:t>
            </w:r>
          </w:p>
          <w:p w:rsidR="003347C5" w:rsidRPr="008F1C23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C23">
              <w:rPr>
                <w:rFonts w:ascii="Times New Roman" w:hAnsi="Times New Roman" w:cs="Times New Roman"/>
                <w:sz w:val="24"/>
                <w:szCs w:val="24"/>
              </w:rPr>
              <w:t>• Discuss importance of clinician appointments and labs/tests.</w:t>
            </w:r>
          </w:p>
          <w:p w:rsidR="003347C5" w:rsidRPr="008F1C23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C23">
              <w:rPr>
                <w:rFonts w:ascii="Times New Roman" w:hAnsi="Times New Roman" w:cs="Times New Roman"/>
                <w:sz w:val="24"/>
                <w:szCs w:val="24"/>
              </w:rPr>
              <w:t>• Inquire about traditional healers and assure that traditional healing and conventional medicine are complementary.</w:t>
            </w:r>
          </w:p>
          <w:p w:rsidR="003347C5" w:rsidRPr="008F1C23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C23">
              <w:rPr>
                <w:rFonts w:ascii="Times New Roman" w:hAnsi="Times New Roman" w:cs="Times New Roman"/>
                <w:sz w:val="24"/>
                <w:szCs w:val="24"/>
              </w:rPr>
              <w:t>• Confirm that the patient knows where to go and has a plan about how to get to appointments; review transportation options and address other barriers to keeping appointments (e.g., lack of day care for children).</w:t>
            </w:r>
          </w:p>
        </w:tc>
      </w:tr>
      <w:tr w:rsidR="003347C5" w:rsidRPr="008F1C23" w:rsidTr="00946ED1">
        <w:trPr>
          <w:trHeight w:val="914"/>
        </w:trPr>
        <w:tc>
          <w:tcPr>
            <w:tcW w:w="2643" w:type="dxa"/>
            <w:shd w:val="clear" w:color="auto" w:fill="DEEAF6" w:themeFill="accent1" w:themeFillTint="33"/>
          </w:tcPr>
          <w:p w:rsidR="003347C5" w:rsidRPr="008F1C23" w:rsidRDefault="003347C5" w:rsidP="00946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C23">
              <w:rPr>
                <w:rFonts w:ascii="Times New Roman" w:hAnsi="Times New Roman" w:cs="Times New Roman"/>
                <w:b/>
                <w:sz w:val="24"/>
                <w:szCs w:val="24"/>
              </w:rPr>
              <w:t>3. Plan for the follow-up of results from lab tests or studies that are pending at discharge.</w:t>
            </w:r>
          </w:p>
        </w:tc>
        <w:tc>
          <w:tcPr>
            <w:tcW w:w="7548" w:type="dxa"/>
          </w:tcPr>
          <w:p w:rsidR="003347C5" w:rsidRPr="008F1C23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C23">
              <w:rPr>
                <w:rFonts w:ascii="Times New Roman" w:hAnsi="Times New Roman" w:cs="Times New Roman"/>
                <w:sz w:val="24"/>
                <w:szCs w:val="24"/>
              </w:rPr>
              <w:t>• Identify the lab work and tests with pending results.</w:t>
            </w:r>
          </w:p>
          <w:p w:rsidR="003347C5" w:rsidRPr="008F1C23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C23">
              <w:rPr>
                <w:rFonts w:ascii="Times New Roman" w:hAnsi="Times New Roman" w:cs="Times New Roman"/>
                <w:sz w:val="24"/>
                <w:szCs w:val="24"/>
              </w:rPr>
              <w:t>• Discuss who will be reviewing the results, and when and how the patient will receive this information.</w:t>
            </w:r>
          </w:p>
        </w:tc>
      </w:tr>
      <w:tr w:rsidR="003347C5" w:rsidRPr="008F1C23" w:rsidTr="00946ED1">
        <w:trPr>
          <w:trHeight w:val="1152"/>
        </w:trPr>
        <w:tc>
          <w:tcPr>
            <w:tcW w:w="2643" w:type="dxa"/>
            <w:shd w:val="clear" w:color="auto" w:fill="DEEAF6" w:themeFill="accent1" w:themeFillTint="33"/>
          </w:tcPr>
          <w:p w:rsidR="003347C5" w:rsidRPr="008314CE" w:rsidRDefault="003347C5" w:rsidP="00946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b/>
                <w:sz w:val="24"/>
                <w:szCs w:val="24"/>
              </w:rPr>
              <w:t>4. Organize post-discharge outpatient services and medical equipment.</w:t>
            </w:r>
          </w:p>
        </w:tc>
        <w:tc>
          <w:tcPr>
            <w:tcW w:w="7548" w:type="dxa"/>
          </w:tcPr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• Collaborate with the case manager to ensure that durable medical equipment is obtained.</w:t>
            </w:r>
          </w:p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 xml:space="preserve">• Document all contact information for medical equipment companies and at-home services in the </w:t>
            </w:r>
            <w:proofErr w:type="spellStart"/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AHCP</w:t>
            </w:r>
            <w:proofErr w:type="spellEnd"/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• Assess social support available at home.</w:t>
            </w:r>
          </w:p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• Collaborate with the medical team and case managers to arrange necessary at-home services.</w:t>
            </w:r>
          </w:p>
        </w:tc>
      </w:tr>
      <w:tr w:rsidR="003347C5" w:rsidRPr="008F1C23" w:rsidTr="00946ED1">
        <w:trPr>
          <w:trHeight w:val="323"/>
        </w:trPr>
        <w:tc>
          <w:tcPr>
            <w:tcW w:w="2643" w:type="dxa"/>
            <w:shd w:val="clear" w:color="auto" w:fill="DEEAF6" w:themeFill="accent1" w:themeFillTint="33"/>
          </w:tcPr>
          <w:p w:rsidR="003347C5" w:rsidRPr="008314CE" w:rsidRDefault="003347C5" w:rsidP="00946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b/>
                <w:sz w:val="24"/>
                <w:szCs w:val="24"/>
              </w:rPr>
              <w:t>5. Identify the correct medicines and a plan for the patient to obtain and take them.</w:t>
            </w:r>
          </w:p>
        </w:tc>
        <w:tc>
          <w:tcPr>
            <w:tcW w:w="7548" w:type="dxa"/>
          </w:tcPr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• Review all medicine lists with patient, including, when possible, the inpatient medicine list, the outpatient medicine list, the outpatient pharmacy list, and what the patient reports taking.</w:t>
            </w:r>
          </w:p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• Ascertain what vitamins, herbal medicines, or other dietary supplements the patient takes.</w:t>
            </w:r>
          </w:p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• Explain what medicines to take, emphasizing any changes in the regimen.</w:t>
            </w:r>
          </w:p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• Review each medicine’s purpose, how to take each medicine correctly, and important side effects.</w:t>
            </w:r>
          </w:p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• Ensure a realistic plan for obtaining medicines is in place.</w:t>
            </w:r>
          </w:p>
          <w:p w:rsidR="003347C5" w:rsidRPr="008314CE" w:rsidRDefault="003347C5" w:rsidP="00946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• Assess patient’s concerns about medicine plan.</w:t>
            </w:r>
          </w:p>
        </w:tc>
      </w:tr>
      <w:tr w:rsidR="003347C5" w:rsidRPr="008F1C23" w:rsidTr="00946ED1">
        <w:trPr>
          <w:trHeight w:val="677"/>
        </w:trPr>
        <w:tc>
          <w:tcPr>
            <w:tcW w:w="2643" w:type="dxa"/>
            <w:shd w:val="clear" w:color="auto" w:fill="DEEAF6" w:themeFill="accent1" w:themeFillTint="33"/>
          </w:tcPr>
          <w:p w:rsidR="003347C5" w:rsidRPr="008314CE" w:rsidRDefault="003347C5" w:rsidP="00946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b/>
                <w:sz w:val="24"/>
                <w:szCs w:val="24"/>
              </w:rPr>
              <w:t>6. Reconcile the discharge plan with national guidelines.</w:t>
            </w:r>
          </w:p>
        </w:tc>
        <w:tc>
          <w:tcPr>
            <w:tcW w:w="7548" w:type="dxa"/>
          </w:tcPr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• Compare the treatment plan with National Guidelines Clearinghouse recommendations for patient’s diagnosis and alert the medical team of discrepancies.</w:t>
            </w:r>
          </w:p>
        </w:tc>
      </w:tr>
      <w:tr w:rsidR="003347C5" w:rsidRPr="008F1C23" w:rsidTr="00946ED1">
        <w:trPr>
          <w:trHeight w:val="896"/>
        </w:trPr>
        <w:tc>
          <w:tcPr>
            <w:tcW w:w="2643" w:type="dxa"/>
            <w:shd w:val="clear" w:color="auto" w:fill="DEEAF6" w:themeFill="accent1" w:themeFillTint="33"/>
          </w:tcPr>
          <w:p w:rsidR="003347C5" w:rsidRPr="008314CE" w:rsidRDefault="003347C5" w:rsidP="00946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Teach a written discharge plan the patient can understand.</w:t>
            </w:r>
          </w:p>
        </w:tc>
        <w:tc>
          <w:tcPr>
            <w:tcW w:w="7548" w:type="dxa"/>
          </w:tcPr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 xml:space="preserve">• Create an </w:t>
            </w:r>
            <w:proofErr w:type="spellStart"/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AHCP</w:t>
            </w:r>
            <w:proofErr w:type="spellEnd"/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, the easy-to-understand discharge plan sent home with patient.</w:t>
            </w:r>
          </w:p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 xml:space="preserve">• Review and orient patient to all aspects of </w:t>
            </w:r>
            <w:proofErr w:type="spellStart"/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AHCP</w:t>
            </w:r>
            <w:proofErr w:type="spellEnd"/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• Encourage patients to ask.</w:t>
            </w:r>
          </w:p>
        </w:tc>
      </w:tr>
      <w:tr w:rsidR="003347C5" w:rsidRPr="008F1C23" w:rsidTr="00946ED1">
        <w:trPr>
          <w:trHeight w:val="914"/>
        </w:trPr>
        <w:tc>
          <w:tcPr>
            <w:tcW w:w="2643" w:type="dxa"/>
            <w:shd w:val="clear" w:color="auto" w:fill="DEEAF6" w:themeFill="accent1" w:themeFillTint="33"/>
          </w:tcPr>
          <w:p w:rsidR="003347C5" w:rsidRPr="008314CE" w:rsidRDefault="003347C5" w:rsidP="00946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b/>
                <w:sz w:val="24"/>
                <w:szCs w:val="24"/>
              </w:rPr>
              <w:t>8. Educate the patient about his or her diagnosis.</w:t>
            </w:r>
          </w:p>
        </w:tc>
        <w:tc>
          <w:tcPr>
            <w:tcW w:w="7548" w:type="dxa"/>
          </w:tcPr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• Research the patient’s medical history and current condition.</w:t>
            </w:r>
          </w:p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• Communicate with the inpatient team regarding ongoing plans for discharge.</w:t>
            </w:r>
          </w:p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• Meet with the patient, family, and/or other caregivers to provide education and to begin discharge preparation.</w:t>
            </w:r>
          </w:p>
        </w:tc>
      </w:tr>
      <w:tr w:rsidR="003347C5" w:rsidRPr="008F1C23" w:rsidTr="00946ED1">
        <w:trPr>
          <w:trHeight w:val="914"/>
        </w:trPr>
        <w:tc>
          <w:tcPr>
            <w:tcW w:w="2643" w:type="dxa"/>
            <w:shd w:val="clear" w:color="auto" w:fill="DEEAF6" w:themeFill="accent1" w:themeFillTint="33"/>
          </w:tcPr>
          <w:p w:rsidR="003347C5" w:rsidRPr="008314CE" w:rsidRDefault="003347C5" w:rsidP="00946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b/>
                <w:sz w:val="24"/>
                <w:szCs w:val="24"/>
              </w:rPr>
              <w:t>9. Assess the degree of the patient’s understanding of the discharge plan.</w:t>
            </w:r>
          </w:p>
        </w:tc>
        <w:tc>
          <w:tcPr>
            <w:tcW w:w="7548" w:type="dxa"/>
          </w:tcPr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• Ask patients to explain in their own words the details of the plan (the teach-back technique).</w:t>
            </w:r>
          </w:p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• May require contacting family members and/or other caregivers who will share in the care-giving responsibilities.</w:t>
            </w:r>
          </w:p>
        </w:tc>
      </w:tr>
      <w:tr w:rsidR="003347C5" w:rsidRPr="008F1C23" w:rsidTr="00946ED1">
        <w:trPr>
          <w:trHeight w:val="896"/>
        </w:trPr>
        <w:tc>
          <w:tcPr>
            <w:tcW w:w="2643" w:type="dxa"/>
            <w:shd w:val="clear" w:color="auto" w:fill="DEEAF6" w:themeFill="accent1" w:themeFillTint="33"/>
          </w:tcPr>
          <w:p w:rsidR="003347C5" w:rsidRPr="008314CE" w:rsidRDefault="003347C5" w:rsidP="00946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b/>
                <w:sz w:val="24"/>
                <w:szCs w:val="24"/>
              </w:rPr>
              <w:t>10. Review with the patient what to do if a problem arises.</w:t>
            </w:r>
          </w:p>
        </w:tc>
        <w:tc>
          <w:tcPr>
            <w:tcW w:w="7548" w:type="dxa"/>
          </w:tcPr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• Instruct on a specific plan of how to contact the primary care provider (PCP) by providing contact numbers, including evenings and weekends.</w:t>
            </w:r>
          </w:p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• Instruct on what constitutes an emergency and what to do in cases of emergency.</w:t>
            </w:r>
          </w:p>
        </w:tc>
      </w:tr>
      <w:tr w:rsidR="003347C5" w:rsidRPr="008F1C23" w:rsidTr="00946ED1">
        <w:trPr>
          <w:trHeight w:val="980"/>
        </w:trPr>
        <w:tc>
          <w:tcPr>
            <w:tcW w:w="2643" w:type="dxa"/>
            <w:shd w:val="clear" w:color="auto" w:fill="DEEAF6" w:themeFill="accent1" w:themeFillTint="33"/>
          </w:tcPr>
          <w:p w:rsidR="003347C5" w:rsidRPr="008314CE" w:rsidRDefault="003347C5" w:rsidP="00946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b/>
                <w:sz w:val="24"/>
                <w:szCs w:val="24"/>
              </w:rPr>
              <w:t>11. Expedite transmission of the discharge summary to clinicians accepting care of the patient.</w:t>
            </w:r>
          </w:p>
        </w:tc>
        <w:tc>
          <w:tcPr>
            <w:tcW w:w="7548" w:type="dxa"/>
          </w:tcPr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 xml:space="preserve">• Deliver discharge summary and </w:t>
            </w:r>
            <w:proofErr w:type="spellStart"/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AHCP</w:t>
            </w:r>
            <w:proofErr w:type="spellEnd"/>
            <w:r w:rsidRPr="008314CE">
              <w:rPr>
                <w:rFonts w:ascii="Times New Roman" w:hAnsi="Times New Roman" w:cs="Times New Roman"/>
                <w:sz w:val="24"/>
                <w:szCs w:val="24"/>
              </w:rPr>
              <w:t xml:space="preserve"> to clinicians (e.g., PCP, visiting nurses) within 24 hours of discharge.</w:t>
            </w:r>
          </w:p>
        </w:tc>
      </w:tr>
      <w:tr w:rsidR="003347C5" w:rsidRPr="008F1C23" w:rsidTr="00946ED1">
        <w:trPr>
          <w:trHeight w:val="1116"/>
        </w:trPr>
        <w:tc>
          <w:tcPr>
            <w:tcW w:w="2643" w:type="dxa"/>
            <w:shd w:val="clear" w:color="auto" w:fill="DEEAF6" w:themeFill="accent1" w:themeFillTint="33"/>
          </w:tcPr>
          <w:p w:rsidR="003347C5" w:rsidRPr="008314CE" w:rsidRDefault="003347C5" w:rsidP="00946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b/>
                <w:sz w:val="24"/>
                <w:szCs w:val="24"/>
              </w:rPr>
              <w:t>12. Provide telephone reinforcement of the Discharge Plan.</w:t>
            </w:r>
          </w:p>
        </w:tc>
        <w:tc>
          <w:tcPr>
            <w:tcW w:w="7548" w:type="dxa"/>
          </w:tcPr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• Call the patient within 3 days of discharge to reinforce the discharge plan and help with problem-solving.</w:t>
            </w:r>
          </w:p>
          <w:p w:rsidR="003347C5" w:rsidRPr="008314CE" w:rsidRDefault="003347C5" w:rsidP="0094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 xml:space="preserve">• Staff DE Help Line. Answer phone calls from patients, family, and/or other caregivers with questions about the </w:t>
            </w:r>
            <w:proofErr w:type="spellStart"/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AHCP</w:t>
            </w:r>
            <w:proofErr w:type="spellEnd"/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, hospitalization, and follow-up plan in order to help patient transition from hospital care to outpatient care setting.</w:t>
            </w:r>
          </w:p>
        </w:tc>
      </w:tr>
    </w:tbl>
    <w:p w:rsidR="006321BF" w:rsidRDefault="006321BF"/>
    <w:sectPr w:rsidR="006321BF" w:rsidSect="007454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docVars>
    <w:docVar w:name="Total_Editing_Time" w:val="1"/>
  </w:docVars>
  <w:rsids>
    <w:rsidRoot w:val="003347C5"/>
    <w:rsid w:val="003347C5"/>
    <w:rsid w:val="004F0229"/>
    <w:rsid w:val="006321BF"/>
    <w:rsid w:val="00745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4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3852</Characters>
  <Application>Microsoft Office Word</Application>
  <DocSecurity>0</DocSecurity>
  <Lines>116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Medical Center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Laurens, Vivian</dc:creator>
  <cp:keywords/>
  <dc:description/>
  <cp:lastModifiedBy>ARABINA</cp:lastModifiedBy>
  <cp:revision>2</cp:revision>
  <dcterms:created xsi:type="dcterms:W3CDTF">2016-09-08T13:48:00Z</dcterms:created>
  <dcterms:modified xsi:type="dcterms:W3CDTF">2017-04-11T20:08:00Z</dcterms:modified>
</cp:coreProperties>
</file>