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2DD2F" w14:textId="305CB4BB" w:rsidR="00063BE1" w:rsidRPr="00A379EE" w:rsidRDefault="00063BE1" w:rsidP="00063BE1">
      <w:pPr>
        <w:pStyle w:val="Heading2"/>
        <w:numPr>
          <w:ilvl w:val="0"/>
          <w:numId w:val="0"/>
        </w:numPr>
      </w:pPr>
      <w:bookmarkStart w:id="0" w:name="_Toc307341709"/>
      <w:r w:rsidRPr="00A379EE">
        <w:t>A</w:t>
      </w:r>
      <w:r>
        <w:t xml:space="preserve">dditional file </w:t>
      </w:r>
      <w:r w:rsidR="00922135">
        <w:t>1</w:t>
      </w:r>
      <w:r w:rsidRPr="00A379EE">
        <w:t xml:space="preserve">: List </w:t>
      </w:r>
      <w:r>
        <w:t xml:space="preserve">and sources </w:t>
      </w:r>
      <w:r w:rsidRPr="00A379EE">
        <w:t xml:space="preserve">of </w:t>
      </w:r>
      <w:r>
        <w:t>a</w:t>
      </w:r>
      <w:r w:rsidRPr="00A379EE">
        <w:t xml:space="preserve">ll items </w:t>
      </w:r>
      <w:r>
        <w:t>in quantitative structured observation tool</w:t>
      </w:r>
      <w:bookmarkEnd w:id="0"/>
    </w:p>
    <w:tbl>
      <w:tblPr>
        <w:tblStyle w:val="TableGrid"/>
        <w:tblW w:w="0" w:type="auto"/>
        <w:tblLook w:val="04A0" w:firstRow="1" w:lastRow="0" w:firstColumn="1" w:lastColumn="0" w:noHBand="0" w:noVBand="1"/>
      </w:tblPr>
      <w:tblGrid>
        <w:gridCol w:w="1036"/>
        <w:gridCol w:w="5433"/>
        <w:gridCol w:w="1522"/>
        <w:gridCol w:w="2157"/>
        <w:gridCol w:w="2121"/>
        <w:gridCol w:w="1907"/>
      </w:tblGrid>
      <w:tr w:rsidR="003128BD" w:rsidRPr="004D340D" w14:paraId="6B1193B1" w14:textId="6563943D" w:rsidTr="003128BD">
        <w:tc>
          <w:tcPr>
            <w:tcW w:w="1036" w:type="dxa"/>
          </w:tcPr>
          <w:p w14:paraId="452C437E" w14:textId="77777777" w:rsidR="003128BD" w:rsidRPr="00A70A90" w:rsidRDefault="003128BD" w:rsidP="00CB527A">
            <w:pPr>
              <w:spacing w:after="0" w:line="240" w:lineRule="auto"/>
              <w:jc w:val="center"/>
              <w:rPr>
                <w:rFonts w:ascii="Times New Roman" w:hAnsi="Times New Roman" w:cs="Times New Roman"/>
                <w:b/>
              </w:rPr>
            </w:pPr>
            <w:r w:rsidRPr="00A70A90">
              <w:rPr>
                <w:rFonts w:ascii="Times New Roman" w:hAnsi="Times New Roman" w:cs="Times New Roman"/>
                <w:b/>
              </w:rPr>
              <w:t>Variable Number</w:t>
            </w:r>
          </w:p>
        </w:tc>
        <w:tc>
          <w:tcPr>
            <w:tcW w:w="5433" w:type="dxa"/>
          </w:tcPr>
          <w:p w14:paraId="4E26166F" w14:textId="77777777" w:rsidR="003128BD" w:rsidRPr="00A70A90" w:rsidRDefault="003128BD" w:rsidP="00CB527A">
            <w:pPr>
              <w:spacing w:after="0" w:line="240" w:lineRule="auto"/>
              <w:jc w:val="center"/>
              <w:rPr>
                <w:rFonts w:ascii="Times New Roman" w:hAnsi="Times New Roman" w:cs="Times New Roman"/>
                <w:b/>
              </w:rPr>
            </w:pPr>
            <w:r w:rsidRPr="00A70A90">
              <w:rPr>
                <w:rFonts w:ascii="Times New Roman" w:hAnsi="Times New Roman" w:cs="Times New Roman"/>
                <w:b/>
              </w:rPr>
              <w:t>Item</w:t>
            </w:r>
          </w:p>
        </w:tc>
        <w:tc>
          <w:tcPr>
            <w:tcW w:w="1522" w:type="dxa"/>
          </w:tcPr>
          <w:p w14:paraId="26377C1D" w14:textId="77777777" w:rsidR="003128BD" w:rsidRPr="00A70A90" w:rsidRDefault="003128BD" w:rsidP="00CB527A">
            <w:pPr>
              <w:spacing w:after="0" w:line="240" w:lineRule="auto"/>
              <w:jc w:val="center"/>
              <w:rPr>
                <w:rFonts w:ascii="Times New Roman" w:hAnsi="Times New Roman" w:cs="Times New Roman"/>
                <w:b/>
              </w:rPr>
            </w:pPr>
            <w:r>
              <w:rPr>
                <w:rFonts w:ascii="Times New Roman" w:hAnsi="Times New Roman" w:cs="Times New Roman"/>
                <w:b/>
              </w:rPr>
              <w:t>Item number in the final scale</w:t>
            </w:r>
          </w:p>
        </w:tc>
        <w:tc>
          <w:tcPr>
            <w:tcW w:w="2157" w:type="dxa"/>
          </w:tcPr>
          <w:p w14:paraId="39A12B91" w14:textId="77777777" w:rsidR="003128BD" w:rsidRPr="00A70A90" w:rsidRDefault="003128BD" w:rsidP="00CB527A">
            <w:pPr>
              <w:spacing w:after="0" w:line="240" w:lineRule="auto"/>
              <w:jc w:val="center"/>
              <w:rPr>
                <w:rFonts w:ascii="Times New Roman" w:hAnsi="Times New Roman" w:cs="Times New Roman"/>
                <w:b/>
              </w:rPr>
            </w:pPr>
            <w:r w:rsidRPr="00A70A90">
              <w:rPr>
                <w:rFonts w:ascii="Times New Roman" w:hAnsi="Times New Roman" w:cs="Times New Roman"/>
                <w:b/>
              </w:rPr>
              <w:t>Source: formative (qualitative) research</w:t>
            </w:r>
          </w:p>
        </w:tc>
        <w:tc>
          <w:tcPr>
            <w:tcW w:w="2121" w:type="dxa"/>
          </w:tcPr>
          <w:p w14:paraId="77113B01" w14:textId="77777777" w:rsidR="003128BD" w:rsidRPr="00A70A90" w:rsidRDefault="003128BD" w:rsidP="00CB527A">
            <w:pPr>
              <w:spacing w:after="0" w:line="240" w:lineRule="auto"/>
              <w:jc w:val="center"/>
              <w:rPr>
                <w:rFonts w:ascii="Times New Roman" w:hAnsi="Times New Roman" w:cs="Times New Roman"/>
                <w:b/>
              </w:rPr>
            </w:pPr>
            <w:r w:rsidRPr="00A70A90">
              <w:rPr>
                <w:rFonts w:ascii="Times New Roman" w:hAnsi="Times New Roman" w:cs="Times New Roman"/>
                <w:b/>
              </w:rPr>
              <w:t>Source: literature review</w:t>
            </w:r>
          </w:p>
        </w:tc>
        <w:tc>
          <w:tcPr>
            <w:tcW w:w="1907" w:type="dxa"/>
          </w:tcPr>
          <w:p w14:paraId="383AE478" w14:textId="7C049B6F" w:rsidR="003128BD" w:rsidRPr="00A70A90" w:rsidRDefault="003128BD" w:rsidP="00CB527A">
            <w:pPr>
              <w:spacing w:after="0" w:line="240" w:lineRule="auto"/>
              <w:jc w:val="center"/>
              <w:rPr>
                <w:rFonts w:ascii="Times New Roman" w:hAnsi="Times New Roman" w:cs="Times New Roman"/>
                <w:b/>
              </w:rPr>
            </w:pPr>
            <w:r>
              <w:rPr>
                <w:rFonts w:ascii="Times New Roman" w:hAnsi="Times New Roman" w:cs="Times New Roman"/>
                <w:b/>
              </w:rPr>
              <w:t>Reference</w:t>
            </w:r>
          </w:p>
        </w:tc>
      </w:tr>
      <w:tr w:rsidR="003128BD" w:rsidRPr="004D340D" w14:paraId="3CCC0CBA" w14:textId="465B902F" w:rsidTr="003128BD">
        <w:tc>
          <w:tcPr>
            <w:tcW w:w="1036" w:type="dxa"/>
          </w:tcPr>
          <w:p w14:paraId="1C5BD0BC"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1</w:t>
            </w:r>
          </w:p>
        </w:tc>
        <w:tc>
          <w:tcPr>
            <w:tcW w:w="5433" w:type="dxa"/>
          </w:tcPr>
          <w:p w14:paraId="09637146"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Greetings by doctor</w:t>
            </w:r>
          </w:p>
        </w:tc>
        <w:tc>
          <w:tcPr>
            <w:tcW w:w="1522" w:type="dxa"/>
          </w:tcPr>
          <w:p w14:paraId="46FD4E04"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7</w:t>
            </w:r>
          </w:p>
        </w:tc>
        <w:tc>
          <w:tcPr>
            <w:tcW w:w="2157" w:type="dxa"/>
          </w:tcPr>
          <w:p w14:paraId="7EA6C325"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5E995E85"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41B72494" w14:textId="073F89BD"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"DOI" : "10.1016/S0738-3991(01)00136-7", "ISBN" : "0738-3991 (Print) 0738-3991 (Linking)", "ISSN" : "0738-3991 (Print) 0738-3991 (Linking)", "PMID" : "11602365", "abstract" : "This article examines uses and characteristics of the SEGUE Framework, a research-based checklist of medical communication tasks. A recent survey of US and Canadian medical schools indicates that the SEGUE Framework is the most widely used structure for communication skills teaching and assessment in North America. Student and faculty response to the SEGUE Framework as a teaching tool has been positive. Data drawn from clinical skills assessments with standardized patients provide evidence of concurrent and construct validity. Analysis of visits between general internists and their patients reinforces validity of the SEGUE Framework in an actual practice setting. Interrater reliability is high when standardized patients are recording student performance immediately after a live encounter, and when coders are evaluating videotaped or audiotaped encounters; intrarater reliability is strong as well. The SEGUE Framework has a high degree of acceptability, can be used reliably, has evidence of validity, and is applicable to a variety of contexts. Studies of predictive validity are needed.", "author" : [ { "dropping-particle" : "", "family" : "Makoul", "given" : "G", "non-dropping-particle" : "", "parse-names" : false, "suffix" : "" } ], "container-title" : "Patient education and counseling", "id" : "ITEM-1", "issue" : "1", "issued" : { "date-parts" : [ [ "2001" ] ] }, "page" : "23-34", "title" : "The SEGUE Framework for teaching and assessing communication skills.", "type" : "article-journal", "volume" : "45" }, "uris" : [ "http://www.mendeley.com/documents/?uuid=910716af-5254-4057-bdec-635dc3a0b4f5" ] }, { "id" : "ITEM-2", "itemData" : { "DOI" : "10.1016/j.pec.2007.06.011", "ISBN" : "0738-3991", "ISSN" : "07383991", "PMID" : "17689042", "abstract" : "Objective: Active listening is a prerequisite for a successful healthcare encounter, bearing potential therapeutic value especially in clinical situations that require no specific medical intervention. Although generally acknowledged as such, active listening has not been studied in depth. This paper describes the development of the Active Listening Observation Scale (ALOS-global), an observation instrument measuring active listening and its validation in a sample of general practice consultations for minor ailments. Methods: Five hundred and twenty-four videotaped general practice consultations involving minor ailments were observed with the ALOS-global. Hypotheses were tested to determine validity, incorporating patients' perception of GPs' affective performance, GPs' verbal attention, patients' self-reported anxiety level and gender differences. Results: The final 7-item ALOS-global had acceptable inter- and intra-observer agreement. Factor analysis revealed one homogeneous dimension. The scalescore was positively related to verbal attention measured by RIAS, to patients' perception of GPs' performance and to their pre-visit anxiety level. Female GPs received higher active listening scores. Conclusion: The results of this study are promising concerning the psychometric properties of the ALOS-global. More research is needed to confirm these preliminary findings. Practice implications: After establishing how active listening differentiates between health professionals, the ALOS-global may become a valuable tool in feedback and training aimed at increasing listening skills. \u00a9 2007 Elsevier Ireland Ltd. All rights reserved.", "author" : [ { "dropping-particle" : "", "family" : "Fassaert", "given" : "Thijs", "non-dropping-particle" : "", "parse-names" : false, "suffix" : "" }, { "dropping-particle" : "", "family" : "Dulmen", "given" : "Sandra", "non-dropping-particle" : "van", "parse-names" : false, "suffix" : "" }, { "dropping-particle" : "", "family" : "Schellevis", "given" : "Fran\u00e7ois", "non-dropping-particle" : "", "parse-names" : false, "suffix" : "" }, { "dropping-particle" : "", "family" : "Bensing", "given" : "Jozien", "non-dropping-particle" : "", "parse-names" : false, "suffix" : "" } ], "container-title" : "Patient Education and Counseling", "id" : "ITEM-2", "issue" : "3", "issued" : { "date-parts" : [ [ "2007" ] ] }, "page" : "258-264", "title" : "Active listening in medical consultations: Development of the Active Listening Observation Scale (ALOS-global)", "type" : "article-journal", "volume" : "68" }, "uris" : [ "http://www.mendeley.com/documents/?uuid=61b75c76-3e9f-4047-8028-aabb238a33d8" ] } ], "mendeley" : { "formattedCitation" : "(Fassaert, van Dulmen, Schellevis, &amp; Bensing, 2007; Makoul, 2001)", "manualFormatting" : "Fassaert et al., 2007; Makoul, 2001", "plainTextFormattedCitation" : "(Fassaert, van Dulmen, Schellevis, &amp; Bensing, 2007; Makoul, 2001)", "previouslyFormattedCitation" : "(Fassaert et al., 2007; Makoul, 2001)"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Fassaert et al., 2007; Makoul, 2001</w:t>
            </w:r>
            <w:r w:rsidRPr="00A70A90">
              <w:rPr>
                <w:rFonts w:ascii="Times New Roman" w:hAnsi="Times New Roman" w:cs="Times New Roman"/>
              </w:rPr>
              <w:fldChar w:fldCharType="end"/>
            </w:r>
          </w:p>
        </w:tc>
      </w:tr>
      <w:tr w:rsidR="003128BD" w:rsidRPr="004D340D" w14:paraId="14645973" w14:textId="2A0322E0" w:rsidTr="003128BD">
        <w:tc>
          <w:tcPr>
            <w:tcW w:w="1036" w:type="dxa"/>
          </w:tcPr>
          <w:p w14:paraId="7B11116F"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2</w:t>
            </w:r>
          </w:p>
        </w:tc>
        <w:tc>
          <w:tcPr>
            <w:tcW w:w="5433" w:type="dxa"/>
          </w:tcPr>
          <w:p w14:paraId="58D6D5AB" w14:textId="77777777" w:rsidR="003128BD" w:rsidRPr="00A70A90" w:rsidRDefault="003128BD" w:rsidP="003128BD">
            <w:pPr>
              <w:spacing w:after="0" w:line="240" w:lineRule="auto"/>
              <w:rPr>
                <w:rFonts w:ascii="Times New Roman" w:hAnsi="Times New Roman" w:cs="Times New Roman"/>
                <w:i/>
              </w:rPr>
            </w:pPr>
            <w:r w:rsidRPr="00A70A90">
              <w:rPr>
                <w:rFonts w:ascii="Times New Roman" w:hAnsi="Times New Roman" w:cs="Times New Roman"/>
                <w:i/>
              </w:rPr>
              <w:t>Response of doctor to patient's greetings</w:t>
            </w:r>
          </w:p>
        </w:tc>
        <w:tc>
          <w:tcPr>
            <w:tcW w:w="1522" w:type="dxa"/>
          </w:tcPr>
          <w:p w14:paraId="44CFF52F" w14:textId="77777777" w:rsidR="003128BD" w:rsidRPr="00A70A90" w:rsidRDefault="003128BD" w:rsidP="003128BD">
            <w:pPr>
              <w:spacing w:after="0" w:line="240" w:lineRule="auto"/>
              <w:jc w:val="center"/>
              <w:rPr>
                <w:rFonts w:ascii="Times New Roman" w:hAnsi="Times New Roman" w:cs="Times New Roman"/>
              </w:rPr>
            </w:pPr>
          </w:p>
        </w:tc>
        <w:tc>
          <w:tcPr>
            <w:tcW w:w="2157" w:type="dxa"/>
          </w:tcPr>
          <w:p w14:paraId="78FDF3C6"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417DDBC1" w14:textId="77777777" w:rsidR="003128BD" w:rsidRPr="00A70A90" w:rsidRDefault="003128BD" w:rsidP="003128BD">
            <w:pPr>
              <w:spacing w:after="0" w:line="240" w:lineRule="auto"/>
              <w:jc w:val="center"/>
              <w:rPr>
                <w:rFonts w:ascii="Times New Roman" w:hAnsi="Times New Roman" w:cs="Times New Roman"/>
              </w:rPr>
            </w:pPr>
          </w:p>
        </w:tc>
        <w:tc>
          <w:tcPr>
            <w:tcW w:w="1907" w:type="dxa"/>
          </w:tcPr>
          <w:p w14:paraId="555DAE6F" w14:textId="77777777" w:rsidR="003128BD" w:rsidRPr="00A70A90" w:rsidRDefault="003128BD" w:rsidP="003128BD">
            <w:pPr>
              <w:spacing w:after="0" w:line="240" w:lineRule="auto"/>
              <w:jc w:val="center"/>
              <w:rPr>
                <w:rFonts w:ascii="Times New Roman" w:hAnsi="Times New Roman" w:cs="Times New Roman"/>
              </w:rPr>
            </w:pPr>
          </w:p>
        </w:tc>
      </w:tr>
      <w:tr w:rsidR="003128BD" w:rsidRPr="004D340D" w14:paraId="1A469D58" w14:textId="05F9C7F9" w:rsidTr="003128BD">
        <w:tc>
          <w:tcPr>
            <w:tcW w:w="1036" w:type="dxa"/>
          </w:tcPr>
          <w:p w14:paraId="68C85E8D"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3</w:t>
            </w:r>
          </w:p>
        </w:tc>
        <w:tc>
          <w:tcPr>
            <w:tcW w:w="5433" w:type="dxa"/>
          </w:tcPr>
          <w:p w14:paraId="69E035E4" w14:textId="77777777" w:rsidR="003128BD" w:rsidRPr="00A70A90" w:rsidRDefault="003128BD" w:rsidP="003128BD">
            <w:pPr>
              <w:spacing w:after="0" w:line="240" w:lineRule="auto"/>
              <w:rPr>
                <w:rFonts w:ascii="Times New Roman" w:hAnsi="Times New Roman" w:cs="Times New Roman"/>
              </w:rPr>
            </w:pPr>
            <w:r w:rsidRPr="00A70A90">
              <w:rPr>
                <w:rFonts w:ascii="Times New Roman" w:hAnsi="Times New Roman" w:cs="Times New Roman"/>
              </w:rPr>
              <w:t>Self Identification by doctor</w:t>
            </w:r>
          </w:p>
        </w:tc>
        <w:tc>
          <w:tcPr>
            <w:tcW w:w="1522" w:type="dxa"/>
          </w:tcPr>
          <w:p w14:paraId="59805088" w14:textId="77777777" w:rsidR="003128BD" w:rsidRPr="00A70A90" w:rsidRDefault="003128BD" w:rsidP="003128BD">
            <w:pPr>
              <w:spacing w:after="0" w:line="240" w:lineRule="auto"/>
              <w:jc w:val="center"/>
              <w:rPr>
                <w:rFonts w:ascii="Times New Roman" w:hAnsi="Times New Roman" w:cs="Times New Roman"/>
              </w:rPr>
            </w:pPr>
          </w:p>
        </w:tc>
        <w:tc>
          <w:tcPr>
            <w:tcW w:w="2157" w:type="dxa"/>
          </w:tcPr>
          <w:p w14:paraId="2A9E500B" w14:textId="77777777" w:rsidR="003128BD" w:rsidRPr="00A70A90" w:rsidRDefault="003128BD" w:rsidP="003128BD">
            <w:pPr>
              <w:spacing w:after="0" w:line="240" w:lineRule="auto"/>
              <w:jc w:val="center"/>
              <w:rPr>
                <w:rFonts w:ascii="Times New Roman" w:hAnsi="Times New Roman" w:cs="Times New Roman"/>
              </w:rPr>
            </w:pPr>
          </w:p>
        </w:tc>
        <w:tc>
          <w:tcPr>
            <w:tcW w:w="2121" w:type="dxa"/>
          </w:tcPr>
          <w:p w14:paraId="16717949"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5A79414B" w14:textId="44EB4E18"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lang w:eastAsia="zh-CN"/>
              </w:rPr>
              <w:fldChar w:fldCharType="begin" w:fldLock="1"/>
            </w:r>
            <w:r w:rsidR="002B2DFD">
              <w:rPr>
                <w:rFonts w:ascii="Times New Roman" w:hAnsi="Times New Roman" w:cs="Times New Roman"/>
                <w:lang w:eastAsia="zh-CN"/>
              </w:rPr>
              <w:instrText>ADDIN CSL_CITATION { "citationItems" : [ { "id" : "ITEM-1", "itemData" : { "ISSN" : "0080-6234", "PMID" : "22441281", "abstract" : "Responsiveness is a quality indicator presented by the World Health Organization in the field of health evaluation. Therefore, the objective of this study was to develop an instrument to evaluate the clients' opinions regarding the responsiveness of the nursing service of a public university hospital. The research was developed in the following stages: developing the instrument based on a literature review, apparent validation, applicability test and pilot test. The instrument allows the identification of the clients' expectations and perceptions, subdivided into aspects related to the Structure Process and Outcomes, measured using a 7-point Likert scale. Based on the results of the pilot test it was possible to establish a numerical indication of the Relative Satisfaction Rate and its interval. The study promoted the development of an acceptability percentage scale for the interval, which indicates the extent to which the nursing service meets the clients' expectations.", "author" : [ { "dropping-particle" : "", "family" : "Rodriguez", "given" : "Ana Vanessa Deffaccio", "non-dropping-particle" : "", "parse-names" : false, "suffix" : "" }, { "dropping-particle" : "", "family" : "Vituri", "given" : "Dagmar Willamowius", "non-dropping-particle" : "", "parse-names" : false, "suffix" : "" }, { "dropping-particle" : "", "family" : "Haddad", "given" : "Maria do Carmo Lourenco", "non-dropping-particle" : "", "parse-names" : false, "suffix" : "" }, { "dropping-particle" : "", "family" : "Vannuchi", "given" : "Marli Terezinha Oliveira", "non-dropping-particle" : "", "parse-names" : false, "suffix" : "" }, { "dropping-particle" : "de", "family" : "Oliveira", "given" : "William Tiago", "non-dropping-particle" : "", "parse-names" : false, "suffix" : "" } ], "container-title" : "Revista da Escola de Enfermagem da USP", "id" : "ITEM-1", "issue" : "1", "issued" : { "date-parts" : [ [ "2012", "2" ] ] }, "page" : "167-74", "title" : "The development of an instrument to assess nursing care responsiveness at a university hospital", "type" : "article-journal", "volume" : "46" }, "uris" : [ "http://www.mendeley.com/documents/?uuid=9b4e97c3-fab0-4bf5-b502-a4edefdcc679" ] }, { "id" : "ITEM-2", "itemData" : { "ISSN" : "00034819", "PMID" : "6638726", "abstract" : "Physician behavior during inpatient rounds was observed and quantified for 394 interactions between patients with cancer and physicians. Most patients had solid tumors (90%) and a limited prognosis despite treatment (61%). The physicians spent 1.45 +/- 0.58 h on morning rounds seeing an average of 9.3 +/- 3.39 patients. For each patient an average of 3.61 +/- 2.83 min was spent in the room. The rest of the time was involved in reviewing the results of diagnostic tests, discussing treatment plans, and updating patient's charts. Time spent in the room was significantly related to the patient's sex and diagnosis. Physicians spent more time with patients having the poorest prognosis (p = 0.009). Specific behaviors were analyzed using a Physician Behavior Check List that allows accurate recording of behavior during a brief patients-physician encounter. Factor analysis of responses to the check list resulted in four factors that explained 58.7% of the variance. The physician behavior factor scores failed to correlate with factor scores from the responses of the same physicians to the Cancer Attitude Survey. In addition, the physicians were unable to accurately estimate the time they actually spent with patients or the frequency of specific behaviors that occurred during these interactions.", "author" : [ { "dropping-particle" : "", "family" : "Blanchard", "given" : "C. G.", "non-dropping-particle" : "", "parse-names" : false, "suffix" : "" }, { "dropping-particle" : "", "family" : "Ruckdeschel", "given" : "J. C.", "non-dropping-particle" : "", "parse-names" : false, "suffix" : "" }, { "dropping-particle" : "", "family" : "Blanchard", "given" : "E B", "non-dropping-particle" : "", "parse-names" : false, "suffix" : "" }, { "dropping-particle" : "", "family" : "Arena", "given" : "J. G.", "non-dropping-particle" : "", "parse-names" : false, "suffix" : "" }, { "dropping-particle" : "", "family" : "Saunders", "given" : "N. L.", "non-dropping-particle" : "", "parse-names" : false, "suffix" : "" }, { "dropping-particle" : "", "family" : "Malloy", "given" : "E. D.", "non-dropping-particle" : "", "parse-names" : false, "suffix" : "" } ], "container-title" : "Annals of Internal Medicine", "id" : "ITEM-2", "issue" : "5", "issued" : { "date-parts" : [ [ "1983" ] ] }, "page" : "694-699", "title" : "Interactions between oncologists and patients during rounds", "type" : "article-journal", "volume" : "99" }, "uris" : [ "http://www.mendeley.com/documents/?uuid=dddcb62e-f3da-4c1b-92b6-5b6e1fd4b417" ] } ], "mendeley" : { "formattedCitation" : "(Blanchard et al., 1983; Rodriguez, Vituri, Haddad, Vannuchi, &amp; Oliveira, 2012)", "manualFormatting" : "Blanchard et al., 1983; Rodriguez et al., 2012", "plainTextFormattedCitation" : "(Blanchard et al., 1983; Rodriguez, Vituri, Haddad, Vannuchi, &amp; Oliveira, 2012)", "previouslyFormattedCitation" : "(Blanchard et al., 1983; Rodriguez et al., 2012)" }, "properties" : { "noteIndex" : 0 }, "schema" : "https://github.com/citation-style-language/schema/raw/master/csl-citation.json" }</w:instrText>
            </w:r>
            <w:r w:rsidRPr="00A70A90">
              <w:rPr>
                <w:rFonts w:ascii="Times New Roman" w:hAnsi="Times New Roman" w:cs="Times New Roman"/>
                <w:lang w:eastAsia="zh-CN"/>
              </w:rPr>
              <w:fldChar w:fldCharType="separate"/>
            </w:r>
            <w:r w:rsidRPr="00A70A90">
              <w:rPr>
                <w:rFonts w:ascii="Times New Roman" w:hAnsi="Times New Roman" w:cs="Times New Roman"/>
                <w:noProof/>
                <w:lang w:eastAsia="zh-CN"/>
              </w:rPr>
              <w:t>Blanchard et al., 1983; Rodriguez et al., 2012</w:t>
            </w:r>
            <w:r w:rsidRPr="00A70A90">
              <w:rPr>
                <w:rFonts w:ascii="Times New Roman" w:hAnsi="Times New Roman" w:cs="Times New Roman"/>
                <w:lang w:eastAsia="zh-CN"/>
              </w:rPr>
              <w:fldChar w:fldCharType="end"/>
            </w:r>
          </w:p>
        </w:tc>
      </w:tr>
      <w:tr w:rsidR="003128BD" w:rsidRPr="004D340D" w14:paraId="2C35B21C" w14:textId="78CAD008" w:rsidTr="003128BD">
        <w:tc>
          <w:tcPr>
            <w:tcW w:w="1036" w:type="dxa"/>
          </w:tcPr>
          <w:p w14:paraId="220EF8CF"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4</w:t>
            </w:r>
          </w:p>
        </w:tc>
        <w:tc>
          <w:tcPr>
            <w:tcW w:w="5433" w:type="dxa"/>
          </w:tcPr>
          <w:p w14:paraId="336BEDC0"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Asking patient's name</w:t>
            </w:r>
          </w:p>
        </w:tc>
        <w:tc>
          <w:tcPr>
            <w:tcW w:w="1522" w:type="dxa"/>
          </w:tcPr>
          <w:p w14:paraId="4E8C9C57"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1</w:t>
            </w:r>
          </w:p>
        </w:tc>
        <w:tc>
          <w:tcPr>
            <w:tcW w:w="2157" w:type="dxa"/>
          </w:tcPr>
          <w:p w14:paraId="03569B4A"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2C9005A7"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179BB16E" w14:textId="1E39509C"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noProof/>
                <w:lang w:eastAsia="zh-CN"/>
              </w:rPr>
              <w:fldChar w:fldCharType="begin" w:fldLock="1"/>
            </w:r>
            <w:r w:rsidR="002B2DFD">
              <w:rPr>
                <w:rFonts w:ascii="Times New Roman" w:hAnsi="Times New Roman" w:cs="Times New Roman"/>
                <w:noProof/>
                <w:lang w:eastAsia="zh-CN"/>
              </w:rPr>
              <w:instrText>ADDIN CSL_CITATION { "citationItems" : [ { "id" : "ITEM-1", "itemData" : { "DOI" : "10.1186/1471-2296-7-72", "ISBN" : "1471-2296 (Electronic)\\r1471-2296 (Linking)", "ISSN" : "1471-2296", "PMID" : "17156424", "abstract" : "BACKGROUND: A good patient-physician interaction is particularly important in chronic diseases like diabetes. There are so far no published data regarding the interaction between the primary health-care providers and patients with type 2 diabetes in Oman, where diabetes is a major and growing health problem. This study aimed at exploring how health-care providers interact with patients with type 2 diabetes at primary health-care level in Muscat, Oman, focusing on the consultation environment, and some aspects of care and information. METHODS: Direct observations of 90 consultations between 23 doctors and 13 diabetes nurses concerned with diabetes management during their consultations with type 2 diabetes patients in six primary health-care centres in the Muscat region, using checklists developed from the National Diabetes Guidelines. Consultations were assessed as optimal if more than 75% of observed aspects were fulfilled and sub-optimal if less than 50% were fulfilled. RESULTS: Overall 52% of the doctors' consultations were not optimal. Some important aspects for a positive consultation environment were fulfilled in only about half of the doctors' consultations: ensuring privacy of consultation (49%), eye contact (49%), good attention (52%), encouraging asking questions (47%), and emphasizing on the patients' understanding of the provided information (52%). The doctors inquired about adverse effects of anti-diabetes drugs in less than 10% of consultations. The quality of the nurses' consultations was sub-optimal in about 75% of 85 consultations regarding aspects of consultation environment, care and information. CONCLUSION: The performance of the primary health-care doctors and diabetes nurses needs to be improved. The role of the diabetes nurses and the teamwork should be enhanced. We suggest a multidisciplinary team approach, training and education to the providers to upgrade their skills regarding communication and care. Barriers to compliance with the guidelines need to be further explored. Improving the work situation mainly for the diabetes nurses and further improvement in the organizational efficiency of diabetes services such as lowering the number of patients in diabetes clinic, are suggested.", "author" : [ { "dropping-particle" : "", "family" : "Abdulhadi", "given" : "Nadia", "non-dropping-particle" : "", "parse-names" : false, "suffix" : "" }, { "dropping-particle" : "", "family" : "Al-Shafaee", "given" : "Mohammed Ali", "non-dropping-particle" : "", "parse-names" : false, "suffix" : "" }, { "dropping-particle" : "", "family" : "Ostenson", "given" : "Claes-G\u00f6ran", "non-dropping-particle" : "", "parse-names" : false, "suffix" : "" }, { "dropping-particle" : "", "family" : "Vernby", "given" : "Asa", "non-dropping-particle" : "", "parse-names" : false, "suffix" : "" }, { "dropping-particle" : "", "family" : "Wahlstr\u00f6m", "given" : "Rolf", "non-dropping-particle" : "", "parse-names" : false, "suffix" : "" } ], "container-title" : "BMC family practice", "id" : "ITEM-1", "issued" : { "date-parts" : [ [ "2006" ] ] }, "page" : "72", "title" : "Quality of interaction between primary health-care providers and patients with type 2 diabetes in Muscat, Oman: an observational study.", "type" : "article-journal", "volume" : "7" }, "uris" : [ "http://www.mendeley.com/documents/?uuid=dafc7419-ac9f-4d97-9f44-e78781973afe" ] }, { "id" : "ITEM-2", "itemData" : { "DOI" : "10.1007/BF00846695", "ISBN" : "0160-7715 (Print)\\r0160-7715 (Linking)", "ISSN" : "0160-7715", "PMID" : "755868", "abstract" : "Patient satisfaction is a variable of increasing interest to researchers, clinicians, and medical educators. Of several studies reviewed, only a few have shown evidence of careful methodology. Most surveys have focused on general evaluations of doctors and/or health care services or of a particular facility. The present article reports the development of a scale to measure patient satisfaction with an encounter with a physician or other primary care provider. Methods of item generation and pretesting are detailed. The overall reliability of the scale (Cronbach's coefficient alpha) is 0.93. The distribution of satisfaction scores is broader than that reported for other scales and approaches the normal in shape. Clinical and research applications of the scale are suggested.", "author" : [ { "dropping-particle" : "", "family" : "Wolf", "given" : "Matthew H", "non-dropping-particle" : "", "parse-names" : false, "suffix" : "" }, { "dropping-particle" : "", "family" : "Putnam", "given" : "Samuel M", "non-dropping-particle" : "", "parse-names" : false, "suffix" : "" }, { "dropping-particle" : "", "family" : "James", "given" : "Sherman A", "non-dropping-particle" : "", "parse-names" : false, "suffix" : "" }, { "dropping-particle" : "", "family" : "Stiles", "given" : "William B", "non-dropping-particle" : "", "parse-names" : false, "suffix" : "" } ], "container-title" : "Journal of Behavioral Medicine", "id" : "ITEM-2", "issue" : "4", "issued" : { "date-parts" : [ [ "1978" ] ] }, "page" : "391-401", "title" : "The Medical Interview Satisfaction Scale: development of a scale to measure patient perceptions of physician behavior", "type" : "article-journal", "volume" : "1" }, "uris" : [ "http://www.mendeley.com/documents/?uuid=c97fc6f6-322d-44b9-9957-aa43f8a64bbd" ] }, { "id" : "ITEM-3", "itemData" : { "ISBN" : "0025-7079", "ISSN" : "0025-7079", "PMID" : "8366685", "abstract" : "This study describes the results of a four-year research effort to develop inpatient and outpatient questionnaires that have sufficient validity and reliability to be used to measure patient perceptions of quality. As part of this effort, over 50,000 inpatients, emergency room patients, and ambulatory surgery patients from over 300 hospitals representing every US census region were surveyed. Separate questionnaires, called Quality of Care Monitors, were developed for inpatients and outpatients. The inpatient questionnaire consisted of 8 scales: Physician Care, Nursing Care, Medical Outcome, Courtesy, Food Service, Comfort and Cleanliness, Admissions/Billing, and Religious Care. The outpatient questionnaire had 7 scales: Physician Care, Nursing Care, Medical Outcome, Facility Characteristics, Waiting Time, Testing Services and Registration Process. The study found strong evidence of construct validity, predictive validity, and internal consistency for both questionnaires. Each questionnaire is capable of measuring separate dimensions of patient experience. A data bank developed from these questionnaires is currently accessed regularly by participating hospitals to assess quality improvement and to make benchmark comparisons with similar hospitals.", "author" : [ { "dropping-particle" : "", "family" : "Carey", "given" : "R G", "non-dropping-particle" : "", "parse-names" : false, "suffix" : "" }, { "dropping-particle" : "", "family" : "Seibert", "given" : "J H", "non-dropping-particle" : "", "parse-names" : false, "suffix" : "" } ], "container-title" : "Medical care", "id" : "ITEM-3", "issue" : "9", "issued" : { "date-parts" : [ [ "1993" ] ] }, "page" : "834-845", "title" : "A patient survey system to measure quality improvement: questionnaire reliability and validity.", "type" : "article-journal", "volume" : "31" }, "uris" : [ "http://www.mendeley.com/documents/?uuid=9acfae34-deec-414d-9e8c-5ee44b3aa962" ] }, { "id" : "ITEM-4", "itemData" : { "ISSN" : "0080-6234", "PMID" : "22441281", "abstract" : "Responsiveness is a quality indicator presented by the World Health Organization in the field of health evaluation. Therefore, the objective of this study was to develop an instrument to evaluate the clients' opinions regarding the responsiveness of the nursing service of a public university hospital. The research was developed in the following stages: developing the instrument based on a literature review, apparent validation, applicability test and pilot test. The instrument allows the identification of the clients' expectations and perceptions, subdivided into aspects related to the Structure Process and Outcomes, measured using a 7-point Likert scale. Based on the results of the pilot test it was possible to establish a numerical indication of the Relative Satisfaction Rate and its interval. The study promoted the development of an acceptability percentage scale for the interval, which indicates the extent to which the nursing service meets the clients' expectations.", "author" : [ { "dropping-particle" : "", "family" : "Rodriguez", "given" : "Ana Vanessa Deffaccio", "non-dropping-particle" : "", "parse-names" : false, "suffix" : "" }, { "dropping-particle" : "", "family" : "Vituri", "given" : "Dagmar Willamowius", "non-dropping-particle" : "", "parse-names" : false, "suffix" : "" }, { "dropping-particle" : "", "family" : "Haddad", "given" : "Maria do Carmo Lourenco", "non-dropping-particle" : "", "parse-names" : false, "suffix" : "" }, { "dropping-particle" : "", "family" : "Vannuchi", "given" : "Marli Terezinha Oliveira", "non-dropping-particle" : "", "parse-names" : false, "suffix" : "" }, { "dropping-particle" : "de", "family" : "Oliveira", "given" : "William Tiago", "non-dropping-particle" : "", "parse-names" : false, "suffix" : "" } ], "container-title" : "Revista da Escola de Enfermagem da USP", "id" : "ITEM-4", "issue" : "1", "issued" : { "date-parts" : [ [ "2012", "2" ] ] }, "page" : "167-74", "title" : "The development of an instrument to assess nursing care responsiveness at a university hospital", "type" : "article-journal", "volume" : "46" }, "uris" : [ "http://www.mendeley.com/documents/?uuid=9b4e97c3-fab0-4bf5-b502-a4edefdcc679" ] }, { "id" : "ITEM-5", "itemData" : { "DOI" : "10.1186/1472-6963-11-325", "ISSN" : "1472-6963", "PMID" : "22115499", "abstract" : "BACKGROUND: Individuals' experience of interacting with the healthcare system has significant impact on their overall health and well-being. To relate patients' experiences to a common set of standards, the World Health Organization (WHO) developed the concept of health system responsiveness. This study aimed to assess if the WHO responsiveness concept reflected the non-medical expectations of mental healthcare users in Teheran.\n\nMETHODS: In this qualitative study, four mixed focus group discussions were formed, comprising 53 mental health service users in Tehran, Iran, in 2010. Content analysis was performed for data analysis. Responses were examined in relation to the eight domains of the WHO's responsiveness model.\n\nRESULTS: There were many commonalities between the findings of this study and the eight domains of the WHO responsiveness model, although some variations were found. Effective care was a new domain generated from our findings. In addition, the domain of prompt attention was included in two new labelled domains: attention and access to care. Participants could not differentiate autonomy from choice of healthcare provider, believing that free choice is part of autonomy. Therefore these domains were unified under the name of autonomy. The domains of quality of basic amenities, access to social support, dignity and confidentiality were considered to be important for the responsiveness concept. Some differences regarding how these domains should be defined were observed, however.\n\nCONCLUSIONS: The results showed that the concept of responsiveness developed by the WHO is applicable to mental health services in Iran. These findings might help policy-makers' better understanding of what is useful for the improvement of mental health services.", "author" : [ { "dropping-particle" : "", "family" : "Forouzan", "given" : "Ameneh Setareh", "non-dropping-particle" : "", "parse-names" : false, "suffix" : "" }, { "dropping-particle" : "", "family" : "Ghazinour", "given" : "Mehdi", "non-dropping-particle" : "", "parse-names" : false, "suffix" : "" }, { "dropping-particle" : "", "family" : "Dejman", "given" : "Masoumeh", "non-dropping-particle" : "", "parse-names" : false, "suffix" : "" }, { "dropping-particle" : "", "family" : "Rafeiey", "given" : "Hassan", "non-dropping-particle" : "", "parse-names" : false, "suffix" : "" }, { "dropping-particle" : "", "family" : "San Sebastian", "given" : "Miguel", "non-dropping-particle" : "", "parse-names" : false, "suffix" : "" } ], "container-title" : "BMC health services research", "id" : "ITEM-5", "issue" : "1", "issued" : { "date-parts" : [ [ "2011", "1" ] ] }, "page" : "325", "publisher" : "BioMed Central Ltd", "title" : "Testing the WHO responsiveness concept in the Iranian mental healthcare system: a qualitative study of service users.", "type" : "article-journal", "volume" : "11" }, "uris" : [ "http://www.mendeley.com/documents/?uuid=2baa8362-05a9-4f3d-9ac7-07d827a12d42" ] } ], "mendeley" : { "formattedCitation" : "(Abdulhadi, Al-Shafaee, Ostenson, Vernby, &amp; Wahlstr\u00f6m, 2006; Carey &amp; Seibert, 1993; Forouzan, Ghazinour, Dejman, Rafeiey, &amp; San Sebastian, 2011; Rodriguez et al., 2012; Wolf, Putnam, James, &amp; Stiles, 1978)", "manualFormatting" : "Abdulhadi et al., 2006; Carey &amp; Seibert, 1993; Forouzan et al., 2011; Rodriguez et al., 2012; Wolf et al., 1978)", "plainTextFormattedCitation" : "(Abdulhadi, Al-Shafaee, Ostenson, Vernby, &amp; Wahlstr\u00f6m, 2006; Carey &amp; Seibert, 1993; Forouzan, Ghazinour, Dejman, Rafeiey, &amp; San Sebastian, 2011; Rodriguez et al., 2012; Wolf, Putnam, James, &amp; Stiles, 1978)", "previouslyFormattedCitation" : "(Abdulhadi et al., 2006; Carey &amp; Seibert, 1993; Forouzan et al., 2011; Rodriguez et al., 2012; Wolf et al., 1978)" }, "properties" : { "noteIndex" : 0 }, "schema" : "https://github.com/citation-style-language/schema/raw/master/csl-citation.json" }</w:instrText>
            </w:r>
            <w:r w:rsidRPr="00A70A90">
              <w:rPr>
                <w:rFonts w:ascii="Times New Roman" w:hAnsi="Times New Roman" w:cs="Times New Roman"/>
                <w:noProof/>
                <w:lang w:eastAsia="zh-CN"/>
              </w:rPr>
              <w:fldChar w:fldCharType="separate"/>
            </w:r>
            <w:r w:rsidRPr="00A70A90">
              <w:rPr>
                <w:rFonts w:ascii="Times New Roman" w:hAnsi="Times New Roman" w:cs="Times New Roman"/>
                <w:noProof/>
                <w:lang w:eastAsia="zh-CN"/>
              </w:rPr>
              <w:t>Abdulhadi et al., 2006; Carey &amp; Seibert, 1993; Forouzan et al., 2011; Rodriguez et al., 2012; Wolf et al., 1978)</w:t>
            </w:r>
            <w:r w:rsidRPr="00A70A90">
              <w:rPr>
                <w:rFonts w:ascii="Times New Roman" w:hAnsi="Times New Roman" w:cs="Times New Roman"/>
                <w:noProof/>
                <w:lang w:eastAsia="zh-CN"/>
              </w:rPr>
              <w:fldChar w:fldCharType="end"/>
            </w:r>
          </w:p>
        </w:tc>
      </w:tr>
      <w:tr w:rsidR="003128BD" w:rsidRPr="004D340D" w14:paraId="467AFF2D" w14:textId="4AF27970" w:rsidTr="003128BD">
        <w:tc>
          <w:tcPr>
            <w:tcW w:w="1036" w:type="dxa"/>
          </w:tcPr>
          <w:p w14:paraId="22FE98DE"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5</w:t>
            </w:r>
          </w:p>
        </w:tc>
        <w:tc>
          <w:tcPr>
            <w:tcW w:w="5433" w:type="dxa"/>
          </w:tcPr>
          <w:p w14:paraId="1C3B3512"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Engaging in social talks</w:t>
            </w:r>
          </w:p>
        </w:tc>
        <w:tc>
          <w:tcPr>
            <w:tcW w:w="1522" w:type="dxa"/>
          </w:tcPr>
          <w:p w14:paraId="266FC4C3"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2</w:t>
            </w:r>
          </w:p>
        </w:tc>
        <w:tc>
          <w:tcPr>
            <w:tcW w:w="2157" w:type="dxa"/>
          </w:tcPr>
          <w:p w14:paraId="28DC42C9"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24FAD99C"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5329AB88" w14:textId="44341216"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"DOI" : "10.1186/1471-2296-7-72", "ISBN" : "1471-2296 (Electronic)\\r1471-2296 (Linking)", "ISSN" : "1471-2296", "PMID" : "17156424", "abstract" : "BACKGROUND: A good patient-physician interaction is particularly important in chronic diseases like diabetes. There are so far no published data regarding the interaction between the primary health-care providers and patients with type 2 diabetes in Oman, where diabetes is a major and growing health problem. This study aimed at exploring how health-care providers interact with patients with type 2 diabetes at primary health-care level in Muscat, Oman, focusing on the consultation environment, and some aspects of care and information. METHODS: Direct observations of 90 consultations between 23 doctors and 13 diabetes nurses concerned with diabetes management during their consultations with type 2 diabetes patients in six primary health-care centres in the Muscat region, using checklists developed from the National Diabetes Guidelines. Consultations were assessed as optimal if more than 75% of observed aspects were fulfilled and sub-optimal if less than 50% were fulfilled. RESULTS: Overall 52% of the doctors' consultations were not optimal. Some important aspects for a positive consultation environment were fulfilled in only about half of the doctors' consultations: ensuring privacy of consultation (49%), eye contact (49%), good attention (52%), encouraging asking questions (47%), and emphasizing on the patients' understanding of the provided information (52%). The doctors inquired about adverse effects of anti-diabetes drugs in less than 10% of consultations. The quality of the nurses' consultations was sub-optimal in about 75% of 85 consultations regarding aspects of consultation environment, care and information. CONCLUSION: The performance of the primary health-care doctors and diabetes nurses needs to be improved. The role of the diabetes nurses and the teamwork should be enhanced. We suggest a multidisciplinary team approach, training and education to the providers to upgrade their skills regarding communication and care. Barriers to compliance with the guidelines need to be further explored. Improving the work situation mainly for the diabetes nurses and further improvement in the organizational efficiency of diabetes services such as lowering the number of patients in diabetes clinic, are suggested.", "author" : [ { "dropping-particle" : "", "family" : "Abdulhadi", "given" : "Nadia", "non-dropping-particle" : "", "parse-names" : false, "suffix" : "" }, { "dropping-particle" : "", "family" : "Al-Shafaee", "given" : "Mohammed Ali", "non-dropping-particle" : "", "parse-names" : false, "suffix" : "" }, { "dropping-particle" : "", "family" : "Ostenson", "given" : "Claes-G\u00f6ran", "non-dropping-particle" : "", "parse-names" : false, "suffix" : "" }, { "dropping-particle" : "", "family" : "Vernby", "given" : "Asa", "non-dropping-particle" : "", "parse-names" : false, "suffix" : "" }, { "dropping-particle" : "", "family" : "Wahlstr\u00f6m", "given" : "Rolf", "non-dropping-particle" : "", "parse-names" : false, "suffix" : "" } ], "container-title" : "BMC family practice", "id" : "ITEM-1", "issued" : { "date-parts" : [ [ "2006" ] ] }, "page" : "72", "title" : "Quality of interaction between primary health-care providers and patients with type 2 diabetes in Muscat, Oman: an observational study.", "type" : "article-journal", "volume" : "7" }, "uris" : [ "http://www.mendeley.com/documents/?uuid=dafc7419-ac9f-4d97-9f44-e78781973afe" ] }, { "id" : "ITEM-2", "itemData" : { "DOI" : "10.1016/S0738-3991(98)00063-9", "ISBN" : "0738-3991 (Print)", "ISSN" : "07383991", "PMID" : "9887849", "abstract" : "This paper provides a comprehensive review and comparison of instruments used to assess patient-doctor interaction over the past decade. Instruments were identified from papers indexed by MEDLINE from 1986 to 1996 using the medical subject headings 'physician-patient relations', 'physician-patient communication', and 'education, medical', as well as requests for instruments currently in use by colleagues. Each instrument was reviewed under the following categories: name of the instrument; description; number of items; reliability; validity; current use and special notes. Overall, 44 instruments were obtained and reviewed. Of these, 21 were used in only one published study each in the last decade and 15 have never been validated. While most instruments have been shown to be reliable (usually inter-rater reliability), very few instruments have been directly compared with another instrument designed to assess patient-doctor interactions. We suggest that further validation of existing instruments and incorporation of assessment of non-verbal communication between the patient and the doctor are needed. Copyright (C) 1998 Elsevier Science Ireland Ltd.", "author" : [ { "dropping-particle" : "", "family" : "Boon", "given" : "Heather", "non-dropping-particle" : "", "parse-names" : false, "suffix" : "" }, { "dropping-particle" : "", "family" : "Stewart", "given" : "Moira", "non-dropping-particle" : "", "parse-names" : false, "suffix" : "" } ], "container-title" : "Patient Education and Counseling", "id" : "ITEM-2", "issue" : "3", "issued" : { "date-parts" : [ [ "1998" ] ] }, "page" : "161-176", "title" : "Patient-physician communication assessment instruments:1986 to 1996 in review", "type" : "article-journal", "volume" : "35" }, "uris" : [ "http://www.mendeley.com/documents/?uuid=4b055d29-7449-41c7-a865-8aae6e75dbe0" ] }, { "id" : "ITEM-3", "itemData" : { "ISBN" : "0893-8652", "ISSN" : "0893-8652", "PMID" : "11841136", "abstract" : "BACKGROUND: The physician-patient interview is the key component of all health care, particularly of primary medical care. This review sought to evaluate existing primary-care-based research studies to determine which verbal and nonverbal behaviors on the part of the physician during the medical encounter have been linked in empirical studies with favorable patient outcomes. METHODS: We reviewed the literature from 1975 to 2000 for studies of office interactions between primary care physicians and patients that evaluated these interactions empirically using neutral observers who coded observed encounters, videotapes, or audiotapes. Each study was reviewed for the quality of the methods and to find statistically significant relations between specific physician behaviors and patient outcomes. In examining nonverbal behaviors, because of a paucity of clinical outcome studies, outcomes were expanded to include associations with patient characteristics or subjective ratings of the interaction by observers. RESULTS: We found 14 studies of verbal communication and 8 studies of nonverbal communication that met inclusion criteria. Verbal behaviors positively associated with health outcomes included empathy, reassurance and support, various patient-centered questioning techniques, encounter length, history taking, explanations, both dominant and passive physician styles, positive reinforcement, humor, psychosocial talk, time in health education and information sharing, friendliness, courtesy, orienting the patient during examination, and summarization and clarification. Nonverbal behaviors positively associated with outcomes included head nodding, forward lean, direct body orientation, uncrossed legs and arms, arm symmetry, and less mutual gaze. CONCLUSION: Existing research is limited because of lack of consensus of what to measure, conflicting findings, and relative lack of empirical studies (especially of nonverbal behavior). Nonetheless, medical educators should focus on teaching and reinforcing behaviors known to be facilitative, and to continue to understand further how physician behavior can enhance favorable patient outcomes, such as understanding and adherence to medical regimens and overall satisfaction.", "author" : [ { "dropping-particle" : "", "family" : "Beck", "given" : "Rainer S", "non-dropping-particle" : "", "parse-names" : false, "suffix" : "" }, { "dropping-particle" : "", "family" : "Daughtridge", "given" : "Rebecca", "non-dropping-particle" : "", "parse-names" : false, "suffix" : "" }, { "dropping-particle" : "", "family" : "Sloane", "given" : "Philip D", "non-dropping-particle" : "", "parse-names" : false, "suffix" : "" } ], "container-title" : "The Journal of the American Board of Family Practice / American Board of Family Practice", "id" : "ITEM-3", "issue" : "1", "issued" : { "date-parts" : [ [ "2000" ] ] }, "page" : "25-38", "title" : "Physician-patient communication in the primary care office: a systematic review.", "type" : "article-journal", "volume" : "15" }, "uris" : [ "http://www.mendeley.com/documents/?uuid=4f428e78-1aa3-4810-aad2-6aa695f77c16" ] }, { "id" : "ITEM-4", "itemData" : { "author" : [ { "dropping-particle" : "", "family" : "White", "given" : "D G", "non-dropping-particle" : "", "parse-names" : false, "suffix" : "" }, { "dropping-particle" : "", "family" : "Tiberius", "given" : "R", "non-dropping-particle" : "", "parse-names" : false, "suffix" : "" }, { "dropping-particle" : "", "family" : "Talbot", "given" : "Y", "non-dropping-particle" : "", "parse-names" : false, "suffix" : "" }, { "dropping-particle" : "", "family" : "Schiralli", "given" : "V", "non-dropping-particle" : "", "parse-names" : false, "suffix" : "" }, { "dropping-particle" : "", "family" : "Rickett", "given" : "M", "non-dropping-particle" : "", "parse-names" : false, "suffix" : "" } ], "container-title" : "Canadian Family Physician", "id" : "ITEM-4", "issued" : { "date-parts" : [ [ "1991" ] ] }, "page" : "64-70", "title" : "Improving Feedback for Medical Students in a Famnily Medicine Clerkship", "type" : "article-journal", "volume" : "37" }, "uris" : [ "http://www.mendeley.com/documents/?uuid=b5403e3f-50b7-4cb0-ab14-69cf5545cc85" ] }, { "id" : "ITEM-5", "itemData" : { "DOI" : "10.1016/S0738-3991(01)00136-7", "ISBN" : "0738-3991 (Print) 0738-3991 (Linking)", "ISSN" : "0738-3991 (Print) 0738-3991 (Linking)", "PMID" : "11602365", "abstract" : "This article examines uses and characteristics of the SEGUE Framework, a research-based checklist of medical communication tasks. A recent survey of US and Canadian medical schools indicates that the SEGUE Framework is the most widely used structure for communication skills teaching and assessment in North America. Student and faculty response to the SEGUE Framework as a teaching tool has been positive. Data drawn from clinical skills assessments with standardized patients provide evidence of concurrent and construct validity. Analysis of visits between general internists and their patients reinforces validity of the SEGUE Framework in an actual practice setting. Interrater reliability is high when standardized patients are recording student performance immediately after a live encounter, and when coders are evaluating videotaped or audiotaped encounters; intrarater reliability is strong as well. The SEGUE Framework has a high degree of acceptability, can be used reliably, has evidence of validity, and is applicable to a variety of contexts. Studies of predictive validity are needed.", "author" : [ { "dropping-particle" : "", "family" : "Makoul", "given" : "G", "non-dropping-particle" : "", "parse-names" : false, "suffix" : "" } ], "container-title" : "Patient education and counseling", "id" : "ITEM-5", "issue" : "1", "issued" : { "date-parts" : [ [ "2001" ] ] }, "page" : "23-34", "title" : "The SEGUE Framework for teaching and assessing communication skills.", "type" : "article-journal", "volume" : "45" }, "uris" : [ "http://www.mendeley.com/documents/?uuid=910716af-5254-4057-bdec-635dc3a0b4f5" ] }, { "id" : "ITEM-6", "itemData" : { "ISSN" : "00034819", "PMID" : "6638726", "abstract" : "Physician behavior during inpatient rounds was observed and quantified for 394 interactions between patients with cancer and physicians. Most patients had solid tumors (90%) and a limited prognosis despite treatment (61%). The physicians spent 1.45 +/- 0.58 h on morning rounds seeing an average of 9.3 +/- 3.39 patients. For each patient an average of 3.61 +/- 2.83 min was spent in the room. The rest of the time was involved in reviewing the results of diagnostic tests, discussing treatment plans, and updating patient's charts. Time spent in the room was significantly related to the patient's sex and diagnosis. Physicians spent more time with patients having the poorest prognosis (p = 0.009). Specific behaviors were analyzed using a Physician Behavior Check List that allows accurate recording of behavior during a brief patients-physician encounter. Factor analysis of responses to the check list resulted in four factors that explained 58.7% of the variance. The physician behavior factor scores failed to correlate with factor scores from the responses of the same physicians to the Cancer Attitude Survey. In addition, the physicians were unable to accurately estimate the time they actually spent with patients or the frequency of specific behaviors that occurred during these interactions.", "author" : [ { "dropping-particle" : "", "family" : "Blanchard", "given" : "C. G.", "non-dropping-particle" : "", "parse-names" : false, "suffix" : "" }, { "dropping-particle" : "", "family" : "Ruckdeschel", "given" : "J. C.", "non-dropping-particle" : "", "parse-names" : false, "suffix" : "" }, { "dropping-particle" : "", "family" : "Blanchard", "given" : "E B", "non-dropping-particle" : "", "parse-names" : false, "suffix" : "" }, { "dropping-particle" : "", "family" : "Arena", "given" : "J. G.", "non-dropping-particle" : "", "parse-names" : false, "suffix" : "" }, { "dropping-particle" : "", "family" : "Saunders", "given" : "N. L.", "non-dropping-particle" : "", "parse-names" : false, "suffix" : "" }, { "dropping-particle" : "", "family" : "Malloy", "given" : "E. D.", "non-dropping-particle" : "", "parse-names" : false, "suffix" : "" } ], "container-title" : "Annals of Internal Medicine", "id" : "ITEM-6", "issue" : "5", "issued" : { "date-parts" : [ [ "1983" ] ] }, "page" : "694-699", "title" : "Interactions between oncologists and patients during rounds", "type" : "article-journal", "volume" : "99" }, "uris" : [ "http://www.mendeley.com/documents/?uuid=dddcb62e-f3da-4c1b-92b6-5b6e1fd4b417" ] }, { "id" : "ITEM-7", "itemData" : { "DOI" : "10.1016/j.pec.2007.06.011", "ISBN" : "0738-3991", "ISSN" : "07383991", "PMID" : "17689042", "abstract" : "Objective: Active listening is a prerequisite for a successful healthcare encounter, bearing potential therapeutic value especially in clinical situations that require no specific medical intervention. Although generally acknowledged as such, active listening has not been studied in depth. This paper describes the development of the Active Listening Observation Scale (ALOS-global), an observation instrument measuring active listening and its validation in a sample of general practice consultations for minor ailments. Methods: Five hundred and twenty-four videotaped general practice consultations involving minor ailments were observed with the ALOS-global. Hypotheses were tested to determine validity, incorporating patients' perception of GPs' affective performance, GPs' verbal attention, patients' self-reported anxiety level and gender differences. Results: The final 7-item ALOS-global had acceptable inter- and intra-observer agreement. Factor analysis revealed one homogeneous dimension. The scalescore was positively related to verbal attention measured by RIAS, to patients' perception of GPs' performance and to their pre-visit anxiety level. Female GPs received higher active listening scores. Conclusion: The results of this study are promising concerning the psychometric properties of the ALOS-global. More research is needed to confirm these preliminary findings. Practice implications: After establishing how active listening differentiates between health professionals, the ALOS-global may become a valuable tool in feedback and training aimed at increasing listening skills. \u00a9 2007 Elsevier Ireland Ltd. All rights reserved.", "author" : [ { "dropping-particle" : "", "family" : "Fassaert", "given" : "Thijs", "non-dropping-particle" : "", "parse-names" : false, "suffix" : "" }, { "dropping-particle" : "", "family" : "Dulmen", "given" : "Sandra", "non-dropping-particle" : "van", "parse-names" : false, "suffix" : "" }, { "dropping-particle" : "", "family" : "Schellevis", "given" : "Fran\u00e7ois", "non-dropping-particle" : "", "parse-names" : false, "suffix" : "" }, { "dropping-particle" : "", "family" : "Bensing", "given" : "Jozien", "non-dropping-particle" : "", "parse-names" : false, "suffix" : "" } ], "container-title" : "Patient Education and Counseling", "id" : "ITEM-7", "issue" : "3", "issued" : { "date-parts" : [ [ "2007" ] ] }, "page" : "258-264", "title" : "Active listening in medical consultations: Development of the Active Listening Observation Scale (ALOS-global)", "type" : "article-journal", "volume" : "68" }, "uris" : [ "http://www.mendeley.com/documents/?uuid=61b75c76-3e9f-4047-8028-aabb238a33d8" ] } ], "mendeley" : { "formattedCitation" : "(Abdulhadi et al., 2006; Beck, Daughtridge, &amp; Sloane, 2000; Blanchard et al., 1983; Boon &amp; Stewart, 1998; Fassaert et al., 2007; Makoul, 2001; D. G. White, Tiberius, Talbot, Schiralli, &amp; Rickett, 1991)", "manualFormatting" : "Abdulhadi et al., 2006; Beck et al., 2000; Blanchard et al., 1983; Boon &amp; Stewart, 1998; Fassaert et al., 2007; Makoul, 2001; White et al., 1991", "plainTextFormattedCitation" : "(Abdulhadi et al., 2006; Beck, Daughtridge, &amp; Sloane, 2000; Blanchard et al., 1983; Boon &amp; Stewart, 1998; Fassaert et al., 2007; Makoul, 2001; D. G. White, Tiberius, Talbot, Schiralli, &amp; Rickett, 1991)", "previouslyFormattedCitation" : "(Abdulhadi et al., 2006; Beck et al., 2000; Blanchard et al., 1983; Boon &amp; Stewart, 1998; Fassaert et al., 2007; Makoul, 2001; D. G. White et al., 1991)"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Abdulhadi et al., 2006; Beck et al., 2000; Blanchard et al., 1983; Boon &amp; Stewart, 1998; Fassaert et al., 2007; Makoul, 2001; White et al., 1991</w:t>
            </w:r>
            <w:r w:rsidRPr="00A70A90">
              <w:rPr>
                <w:rFonts w:ascii="Times New Roman" w:hAnsi="Times New Roman" w:cs="Times New Roman"/>
              </w:rPr>
              <w:fldChar w:fldCharType="end"/>
            </w:r>
          </w:p>
        </w:tc>
      </w:tr>
      <w:tr w:rsidR="003128BD" w:rsidRPr="004D340D" w14:paraId="31276A51" w14:textId="00A66530" w:rsidTr="003128BD">
        <w:tc>
          <w:tcPr>
            <w:tcW w:w="1036" w:type="dxa"/>
          </w:tcPr>
          <w:p w14:paraId="779C4274"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6</w:t>
            </w:r>
          </w:p>
        </w:tc>
        <w:tc>
          <w:tcPr>
            <w:tcW w:w="5433" w:type="dxa"/>
          </w:tcPr>
          <w:p w14:paraId="40AE4591"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Asking about patient's family</w:t>
            </w:r>
          </w:p>
        </w:tc>
        <w:tc>
          <w:tcPr>
            <w:tcW w:w="1522" w:type="dxa"/>
          </w:tcPr>
          <w:p w14:paraId="78AF9507"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3</w:t>
            </w:r>
          </w:p>
        </w:tc>
        <w:tc>
          <w:tcPr>
            <w:tcW w:w="2157" w:type="dxa"/>
          </w:tcPr>
          <w:p w14:paraId="02F52715"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11E8F5B9"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0A84A1AE" w14:textId="07617B26"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"ISSN" : "00034819", "PMID" : "6638726", "abstract" : "Physician behavior during inpatient rounds was observed and quantified for 394 interactions between patients with cancer and physicians. Most patients had solid tumors (90%) and a limited prognosis despite treatment (61%). The physicians spent 1.45 +/- 0.58 h on morning rounds seeing an average of 9.3 +/- 3.39 patients. For each patient an average of 3.61 +/- 2.83 min was spent in the room. The rest of the time was involved in reviewing the results of diagnostic tests, discussing treatment plans, and updating patient's charts. Time spent in the room was significantly related to the patient's sex and diagnosis. Physicians spent more time with patients having the poorest prognosis (p = 0.009). Specific behaviors were analyzed using a Physician Behavior Check List that allows accurate recording of behavior during a brief patients-physician encounter. Factor analysis of responses to the check list resulted in four factors that explained 58.7% of the variance. The physician behavior factor scores failed to correlate with factor scores from the responses of the same physicians to the Cancer Attitude Survey. In addition, the physicians were unable to accurately estimate the time they actually spent with patients or the frequency of specific behaviors that occurred during these interactions.", "author" : [ { "dropping-particle" : "", "family" : "Blanchard", "given" : "C. G.", "non-dropping-particle" : "", "parse-names" : false, "suffix" : "" }, { "dropping-particle" : "", "family" : "Ruckdeschel", "given" : "J. C.", "non-dropping-particle" : "", "parse-names" : false, "suffix" : "" }, { "dropping-particle" : "", "family" : "Blanchard", "given" : "E B", "non-dropping-particle" : "", "parse-names" : false, "suffix" : "" }, { "dropping-particle" : "", "family" : "Arena", "given" : "J. G.", "non-dropping-particle" : "", "parse-names" : false, "suffix" : "" }, { "dropping-particle" : "", "family" : "Saunders", "given" : "N. L.", "non-dropping-particle" : "", "parse-names" : false, "suffix" : "" }, { "dropping-particle" : "", "family" : "Malloy", "given" : "E. D.", "non-dropping-particle" : "", "parse-names" : false, "suffix" : "" } ], "container-title" : "Annals of Internal Medicine", "id" : "ITEM-1", "issue" : "5", "issued" : { "date-parts" : [ [ "1983" ] ] }, "page" : "694-699", "title" : "Interactions between oncologists and patients during rounds", "type" : "article-journal", "volume" : "99" }, "uris" : [ "http://www.mendeley.com/documents/?uuid=dddcb62e-f3da-4c1b-92b6-5b6e1fd4b417" ] } ], "mendeley" : { "formattedCitation" : "(Blanchard et al., 1983)", "manualFormatting" : "Blanchard et al., 1983", "plainTextFormattedCitation" : "(Blanchard et al., 1983)", "previouslyFormattedCitation" : "(Blanchard et al., 1983)"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Blanchard et al., 1983</w:t>
            </w:r>
            <w:r w:rsidRPr="00A70A90">
              <w:rPr>
                <w:rFonts w:ascii="Times New Roman" w:hAnsi="Times New Roman" w:cs="Times New Roman"/>
              </w:rPr>
              <w:fldChar w:fldCharType="end"/>
            </w:r>
          </w:p>
        </w:tc>
      </w:tr>
      <w:tr w:rsidR="003128BD" w:rsidRPr="004D340D" w14:paraId="7E3F3771" w14:textId="1D3B4F61" w:rsidTr="003128BD">
        <w:tc>
          <w:tcPr>
            <w:tcW w:w="1036" w:type="dxa"/>
          </w:tcPr>
          <w:p w14:paraId="50266111"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7</w:t>
            </w:r>
          </w:p>
        </w:tc>
        <w:tc>
          <w:tcPr>
            <w:tcW w:w="5433" w:type="dxa"/>
          </w:tcPr>
          <w:p w14:paraId="6B66B97E"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Friendliness</w:t>
            </w:r>
          </w:p>
        </w:tc>
        <w:tc>
          <w:tcPr>
            <w:tcW w:w="1522" w:type="dxa"/>
          </w:tcPr>
          <w:p w14:paraId="5EE6FB53"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4</w:t>
            </w:r>
          </w:p>
        </w:tc>
        <w:tc>
          <w:tcPr>
            <w:tcW w:w="2157" w:type="dxa"/>
          </w:tcPr>
          <w:p w14:paraId="5E44965D"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08494741"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0760FFF1" w14:textId="17179618"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"DOI" : "10.1186/1471-2296-7-72", "ISBN" : "1471-2296 (Electronic)\\r1471-2296 (Linking)", "ISSN" : "1471-2296", "PMID" : "17156424", "abstract" : "BACKGROUND: A good patient-physician interaction is particularly important in chronic diseases like diabetes. There are so far no published data regarding the interaction between the primary health-care providers and patients with type 2 diabetes in Oman, where diabetes is a major and growing health problem. This study aimed at exploring how health-care providers interact with patients with type 2 diabetes at primary health-care level in Muscat, Oman, focusing on the consultation environment, and some aspects of care and information. METHODS: Direct observations of 90 consultations between 23 doctors and 13 diabetes nurses concerned with diabetes management during their consultations with type 2 diabetes patients in six primary health-care centres in the Muscat region, using checklists developed from the National Diabetes Guidelines. Consultations were assessed as optimal if more than 75% of observed aspects were fulfilled and sub-optimal if less than 50% were fulfilled. RESULTS: Overall 52% of the doctors' consultations were not optimal. Some important aspects for a positive consultation environment were fulfilled in only about half of the doctors' consultations: ensuring privacy of consultation (49%), eye contact (49%), good attention (52%), encouraging asking questions (47%), and emphasizing on the patients' understanding of the provided information (52%). The doctors inquired about adverse effects of anti-diabetes drugs in less than 10% of consultations. The quality of the nurses' consultations was sub-optimal in about 75% of 85 consultations regarding aspects of consultation environment, care and information. CONCLUSION: The performance of the primary health-care doctors and diabetes nurses needs to be improved. The role of the diabetes nurses and the teamwork should be enhanced. We suggest a multidisciplinary team approach, training and education to the providers to upgrade their skills regarding communication and care. Barriers to compliance with the guidelines need to be further explored. Improving the work situation mainly for the diabetes nurses and further improvement in the organizational efficiency of diabetes services such as lowering the number of patients in diabetes clinic, are suggested.", "author" : [ { "dropping-particle" : "", "family" : "Abdulhadi", "given" : "Nadia", "non-dropping-particle" : "", "parse-names" : false, "suffix" : "" }, { "dropping-particle" : "", "family" : "Al-Shafaee", "given" : "Mohammed Ali", "non-dropping-particle" : "", "parse-names" : false, "suffix" : "" }, { "dropping-particle" : "", "family" : "Ostenson", "given" : "Claes-G\u00f6ran", "non-dropping-particle" : "", "parse-names" : false, "suffix" : "" }, { "dropping-particle" : "", "family" : "Vernby", "given" : "Asa", "non-dropping-particle" : "", "parse-names" : false, "suffix" : "" }, { "dropping-particle" : "", "family" : "Wahlstr\u00f6m", "given" : "Rolf", "non-dropping-particle" : "", "parse-names" : false, "suffix" : "" } ], "container-title" : "BMC family practice", "id" : "ITEM-1", "issued" : { "date-parts" : [ [ "2006" ] ] }, "page" : "72", "title" : "Quality of interaction between primary health-care providers and patients with type 2 diabetes in Muscat, Oman: an observational study.", "type" : "article-journal", "volume" : "7" }, "uris" : [ "http://www.mendeley.com/documents/?uuid=dafc7419-ac9f-4d97-9f44-e78781973afe" ] }, { "id" : "ITEM-2", "itemData" : { "DOI" : "10.1007/BF00846695", "ISBN" : "0160-7715 (Print)\\r0160-7715 (Linking)", "ISSN" : "0160-7715", "PMID" : "755868", "abstract" : "Patient satisfaction is a variable of increasing interest to researchers, clinicians, and medical educators. Of several studies reviewed, only a few have shown evidence of careful methodology. Most surveys have focused on general evaluations of doctors and/or health care services or of a particular facility. The present article reports the development of a scale to measure patient satisfaction with an encounter with a physician or other primary care provider. Methods of item generation and pretesting are detailed. The overall reliability of the scale (Cronbach's coefficient alpha) is 0.93. The distribution of satisfaction scores is broader than that reported for other scales and approaches the normal in shape. Clinical and research applications of the scale are suggested.", "author" : [ { "dropping-particle" : "", "family" : "Wolf", "given" : "Matthew H", "non-dropping-particle" : "", "parse-names" : false, "suffix" : "" }, { "dropping-particle" : "", "family" : "Putnam", "given" : "Samuel M", "non-dropping-particle" : "", "parse-names" : false, "suffix" : "" }, { "dropping-particle" : "", "family" : "James", "given" : "Sherman A", "non-dropping-particle" : "", "parse-names" : false, "suffix" : "" }, { "dropping-particle" : "", "family" : "Stiles", "given" : "William B", "non-dropping-particle" : "", "parse-names" : false, "suffix" : "" } ], "container-title" : "Journal of Behavioral Medicine", "id" : "ITEM-2", "issue" : "4", "issued" : { "date-parts" : [ [ "1978" ] ] }, "page" : "391-401", "title" : "The Medical Interview Satisfaction Scale: development of a scale to measure patient perceptions of physician behavior", "type" : "article-journal", "volume" : "1" }, "uris" : [ "http://www.mendeley.com/documents/?uuid=c97fc6f6-322d-44b9-9957-aa43f8a64bbd" ] }, { "id" : "ITEM-3", "itemData" : { "ISSN" : "0737-3252", "PMID" : "10126032", "abstract" : "The quality of physician services is not yet included in the current Medicare Resource-Based Relative Value Scale (RBRVS) formula. Future RBRVS reimbursement calculations may incorporate a quality index. The authors' research sought to explore the applicability of SERVQUAL determinants when measuring physician perceptions of service quality. Process quality determinants, such as \"Reliability,\" \"Assurance,\" and \"Empathy,\" were rated higher in relative importance by physicians than outcome quality determinants, such as \"Core Medical Services,\" and six of the seven service quality determinants were rated higher by older physicians. Further analyses indicated that physicians' perceptions of health care service quality varied because of factors such as number of years in practice and gender.", "author" : [ { "dropping-particle" : "", "family" : "Walbridge", "given" : "S W", "non-dropping-particle" : "", "parse-names" : false, "suffix" : "" }, { "dropping-particle" : "", "family" : "Delene", "given" : "L M", "non-dropping-particle" : "", "parse-names" : false, "suffix" : "" } ], "container-title" : "Journal of health care marketing", "id" : "ITEM-3", "issue" : "1", "issued" : { "date-parts" : [ [ "1993" ] ] }, "page" : "6-15", "title" : "Measuring physician attitudes of service quality", "type" : "article-journal", "volume" : "13" }, "uris" : [ "http://www.mendeley.com/documents/?uuid=23fd4144-4b9b-4cdc-a6e0-8a446c6ea702" ] }, { "id" : "ITEM-4", "itemData" : { "ISBN" : "0893-8652", "ISSN" : "0893-8652", "PMID" : "11841136", "abstract" : "BACKGROUND: The physician-patient interview is the key component of all health care, particularly of primary medical care. This review sought to evaluate existing primary-care-based research studies to determine which verbal and nonverbal behaviors on the part of the physician during the medical encounter have been linked in empirical studies with favorable patient outcomes. METHODS: We reviewed the literature from 1975 to 2000 for studies of office interactions between primary care physicians and patients that evaluated these interactions empirically using neutral observers who coded observed encounters, videotapes, or audiotapes. Each study was reviewed for the quality of the methods and to find statistically significant relations between specific physician behaviors and patient outcomes. In examining nonverbal behaviors, because of a paucity of clinical outcome studies, outcomes were expanded to include associations with patient characteristics or subjective ratings of the interaction by observers. RESULTS: We found 14 studies of verbal communication and 8 studies of nonverbal communication that met inclusion criteria. Verbal behaviors positively associated with health outcomes included empathy, reassurance and support, various patient-centered questioning techniques, encounter length, history taking, explanations, both dominant and passive physician styles, positive reinforcement, humor, psychosocial talk, time in health education and information sharing, friendliness, courtesy, orienting the patient during examination, and summarization and clarification. Nonverbal behaviors positively associated with outcomes included head nodding, forward lean, direct body orientation, uncrossed legs and arms, arm symmetry, and less mutual gaze. CONCLUSION: Existing research is limited because of lack of consensus of what to measure, conflicting findings, and relative lack of empirical studies (especially of nonverbal behavior). Nonetheless, medical educators should focus on teaching and reinforcing behaviors known to be facilitative, and to continue to understand further how physician behavior can enhance favorable patient outcomes, such as understanding and adherence to medical regimens and overall satisfaction.", "author" : [ { "dropping-particle" : "", "family" : "Beck", "given" : "Rainer S", "non-dropping-particle" : "", "parse-names" : false, "suffix" : "" }, { "dropping-particle" : "", "family" : "Daughtridge", "given" : "Rebecca", "non-dropping-particle" : "", "parse-names" : false, "suffix" : "" }, { "dropping-particle" : "", "family" : "Sloane", "given" : "Philip D", "non-dropping-particle" : "", "parse-names" : false, "suffix" : "" } ], "container-title" : "The Journal of the American Board of Family Practice / American Board of Family Practice", "id" : "ITEM-4", "issue" : "1", "issued" : { "date-parts" : [ [ "2000" ] ] }, "page" : "25-38", "title" : "Physician-patient communication in the primary care office: a systematic review.", "type" : "article-journal", "volume" : "15" }, "uris" : [ "http://www.mendeley.com/documents/?uuid=4f428e78-1aa3-4810-aad2-6aa695f77c16" ] } ], "mendeley" : { "formattedCitation" : "(Abdulhadi et al., 2006; Beck et al., 2000; Walbridge &amp; Delene, 1993; Wolf et al., 1978)", "manualFormatting" : "Abdulhsadi et al., 2006; Beck et al., 2000; Walbridge &amp; Delene, 1993; Wolf et al., 1978", "plainTextFormattedCitation" : "(Abdulhadi et al., 2006; Beck et al., 2000; Walbridge &amp; Delene, 1993; Wolf et al., 1978)", "previouslyFormattedCitation" : "(Abdulhadi et al., 2006; Beck et al., 2000; Walbridge &amp; Delene, 1993; Wolf et al., 1978)"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 xml:space="preserve">Abdulhsadi et al., 2006; Beck et al., </w:t>
            </w:r>
            <w:r w:rsidRPr="00A70A90">
              <w:rPr>
                <w:rFonts w:ascii="Times New Roman" w:hAnsi="Times New Roman" w:cs="Times New Roman"/>
                <w:noProof/>
              </w:rPr>
              <w:lastRenderedPageBreak/>
              <w:t>2000; Walbridge &amp; Delene, 1993; Wolf et al., 1978</w:t>
            </w:r>
            <w:r w:rsidRPr="00A70A90">
              <w:rPr>
                <w:rFonts w:ascii="Times New Roman" w:hAnsi="Times New Roman" w:cs="Times New Roman"/>
              </w:rPr>
              <w:fldChar w:fldCharType="end"/>
            </w:r>
          </w:p>
        </w:tc>
      </w:tr>
      <w:tr w:rsidR="003128BD" w:rsidRPr="004D340D" w14:paraId="1DBF23EC" w14:textId="2F476528" w:rsidTr="003128BD">
        <w:tc>
          <w:tcPr>
            <w:tcW w:w="1036" w:type="dxa"/>
          </w:tcPr>
          <w:p w14:paraId="5A3ED80B"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lastRenderedPageBreak/>
              <w:t>8</w:t>
            </w:r>
          </w:p>
        </w:tc>
        <w:tc>
          <w:tcPr>
            <w:tcW w:w="5433" w:type="dxa"/>
          </w:tcPr>
          <w:p w14:paraId="37F310B6"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Showing respect explicitly</w:t>
            </w:r>
          </w:p>
        </w:tc>
        <w:tc>
          <w:tcPr>
            <w:tcW w:w="1522" w:type="dxa"/>
          </w:tcPr>
          <w:p w14:paraId="02D4F37B"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8</w:t>
            </w:r>
          </w:p>
        </w:tc>
        <w:tc>
          <w:tcPr>
            <w:tcW w:w="2157" w:type="dxa"/>
          </w:tcPr>
          <w:p w14:paraId="3E8D7599"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53E5461A"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61006BE2" w14:textId="0006C64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lang w:eastAsia="zh-CN"/>
              </w:rPr>
              <w:fldChar w:fldCharType="begin" w:fldLock="1"/>
            </w:r>
            <w:r w:rsidR="002B2DFD">
              <w:rPr>
                <w:rFonts w:ascii="Times New Roman" w:hAnsi="Times New Roman" w:cs="Times New Roman"/>
                <w:lang w:eastAsia="zh-CN"/>
              </w:rPr>
              <w:instrText>ADDIN CSL_CITATION { "citationItems" : [ { "id" : "ITEM-1", "itemData" : { "author" : [ { "dropping-particle" : "", "family" : "Silva", "given" : "Amala", "non-dropping-particle" : "De", "parse-names" : false, "suffix" : "" } ], "id" : "ITEM-1", "issue" : "32", "issued" : { "date-parts" : [ [ "1999" ] ] }, "note" : "This is the first paper on the responsivness", "publisher-place" : "Geneva", "title" : "A framework for measuring responsiveness", "type" : "report" }, "uris" : [ "http://www.mendeley.com/documents/?uuid=a2f1d58e-57c1-4363-9a2a-cb122ccac4c0" ] }, { "id" : "ITEM-2", "itemData" : { "author" : [ { "dropping-particle" : "", "family" : "Letkovicova", "given" : "Hana", "non-dropping-particle" : "", "parse-names" : false, "suffix" : "" }, { "dropping-particle" : "", "family" : "Prasad", "given" : "Amit", "non-dropping-particle" : "", "parse-names" : false, "suffix" : "" }, { "dropping-particle" : "La", "family" : "Valle\u0301e", "given" : "Rene\u0301", "non-dropping-particle" : "", "parse-names" : false, "suffix" : "" }, { "dropping-particle" : "", "family" : "Valentine", "given" : "Nicole", "non-dropping-particle" : "", "parse-names" : false, "suffix" : "" }, { "dropping-particle" : "", "family" : "Adhikari", "given" : "Pramod", "non-dropping-particle" : "", "parse-names" : false, "suffix" : "" }, { "dropping-particle" : "van der", "family" : "Heide", "given" : "George W", "non-dropping-particle" : "", "parse-names" : false, "suffix" : "" } ], "id" : "ITEM-2", "issued" : { "date-parts" : [ [ "2005" ] ] }, "publisher-place" : "Geneva", "title" : "The health systems responsiveness analytical guidelines for surveys in the multi-country survey study", "type" : "report" }, "uris" : [ "http://www.mendeley.com/documents/?uuid=4096a533-98a2-45ce-835e-57ed22b354ac" ] }, { "id" : "ITEM-3", "itemData" : { "ISSN" : "1744-5019", "PMID" : "24408501", "author" : [ { "dropping-particle" : "", "family" : "Darby", "given" : "Charles", "non-dropping-particle" : "", "parse-names" : false, "suffix" : "" }, { "dropping-particle" : "", "family" : "Valentine", "given" : "Nicole", "non-dropping-particle" : "", "parse-names" : false, "suffix" : "" }, { "dropping-particle" : "", "family" : "Murray", "given" : "Christopher J L", "non-dropping-particle" : "", "parse-names" : false, "suffix" : "" }, { "dropping-particle" : "", "family" : "Silva", "given" : "Amala", "non-dropping-particle" : "De", "parse-names" : false, "suffix" : "" } ], "container-title" : "The Journal of medicine and philosophy", "id" : "ITEM-3", "issue" : "1", "issued" : { "date-parts" : [ [ "2000", "2" ] ] }, "number-of-pages" : "2", "publisher-place" : "Geneva", "title" : "World Health Organization: Strategy on measuring responsiveness", "type" : "report", "volume" : "39" }, "uris" : [ "http://www.mendeley.com/documents/?uuid=b8819ca2-f07e-4c00-9721-8bb396766eae" ] }, { "id" : "ITEM-4", "itemData" : { "DOI" : "10.1186/1472-6963-11-325", "ISSN" : "1472-6963", "PMID" : "22115499", "abstract" : "BACKGROUND: Individuals' experience of interacting with the healthcare system has significant impact on their overall health and well-being. To relate patients' experiences to a common set of standards, the World Health Organization (WHO) developed the concept of health system responsiveness. This study aimed to assess if the WHO responsiveness concept reflected the non-medical expectations of mental healthcare users in Teheran.\n\nMETHODS: In this qualitative study, four mixed focus group discussions were formed, comprising 53 mental health service users in Tehran, Iran, in 2010. Content analysis was performed for data analysis. Responses were examined in relation to the eight domains of the WHO's responsiveness model.\n\nRESULTS: There were many commonalities between the findings of this study and the eight domains of the WHO responsiveness model, although some variations were found. Effective care was a new domain generated from our findings. In addition, the domain of prompt attention was included in two new labelled domains: attention and access to care. Participants could not differentiate autonomy from choice of healthcare provider, believing that free choice is part of autonomy. Therefore these domains were unified under the name of autonomy. The domains of quality of basic amenities, access to social support, dignity and confidentiality were considered to be important for the responsiveness concept. Some differences regarding how these domains should be defined were observed, however.\n\nCONCLUSIONS: The results showed that the concept of responsiveness developed by the WHO is applicable to mental health services in Iran. These findings might help policy-makers' better understanding of what is useful for the improvement of mental health services.", "author" : [ { "dropping-particle" : "", "family" : "Forouzan", "given" : "Ameneh Setareh", "non-dropping-particle" : "", "parse-names" : false, "suffix" : "" }, { "dropping-particle" : "", "family" : "Ghazinour", "given" : "Mehdi", "non-dropping-particle" : "", "parse-names" : false, "suffix" : "" }, { "dropping-particle" : "", "family" : "Dejman", "given" : "Masoumeh", "non-dropping-particle" : "", "parse-names" : false, "suffix" : "" }, { "dropping-particle" : "", "family" : "Rafeiey", "given" : "Hassan", "non-dropping-particle" : "", "parse-names" : false, "suffix" : "" }, { "dropping-particle" : "", "family" : "San Sebastian", "given" : "Miguel", "non-dropping-particle" : "", "parse-names" : false, "suffix" : "" } ], "container-title" : "BMC health services research", "id" : "ITEM-4", "issue" : "1", "issued" : { "date-parts" : [ [ "2011", "1" ] ] }, "page" : "325", "publisher" : "BioMed Central Ltd", "title" : "Testing the WHO responsiveness concept in the Iranian mental healthcare system: a qualitative study of service users.", "type" : "article-journal", "volume" : "11" }, "uris" : [ "http://www.mendeley.com/documents/?uuid=2baa8362-05a9-4f3d-9ac7-07d827a12d42" ] }, { "id" : "ITEM-5", "itemData" : { "DOI" : "10.1186/1471-2458-6-72", "ISSN" : "1471-2458", "PMID" : "16542462", "abstract" : "BACKGROUND: Responsiveness is an indicator used to measure how well a health system performs relative to non-health aspects. This study assessed whether seven dimensions proposed by the World Health Organization (WHO) to measure responsiveness (dignity, autonomy, confidentiality, prompt attention, social support, basic amenities, and choices of providers) are applicable in evaluating the health system of Taiwan. METHODS: A key informant survey and focus group research were used in this study. The translated WHO proposed questionnaire was sent to 205 nominated key informants by mail, and 132 (64.4%) were returned. We used principal component analysis to extract factors. Linear regression analysis was used to assess the relationship between the total score and the extracted factors. A qualitative content analysis was also carried out in focus group research. RESULTS: Principal component analysis produced five factors (respect, access, confidentiality, basic amenities, and social support) that explained 63.5% of the total variances. These five factors demonstrated acceptable internal consistency and four of them (except social support) were significantly correlated with the total responsiveness score. The focus group interviews revealed health providers' communication ability and medical ethics were also highly appraised by Taiwanese. CONCLUSION: When the performance of a health system is to be evaluated, elements of responsiveness proposed by WHO may have to be tailored to fit different cultural backgrounds. Four key features illustrate the uniqueness of Taiwanese perspectives: the idea of autonomy may not be conceptualized, prompt attention and choice of providers are on the same track, social support during care is trivially correlated to the total responsiveness score, and accountability of health providers is deemed essential to a health system.", "author" : [ { "dropping-particle" : "", "family" : "Hsu", "given" : "Chih-Cheng", "non-dropping-particle" : "", "parse-names" : false, "suffix" : "" }, { "dropping-particle" : "", "family" : "Chen", "given" : "Likwang", "non-dropping-particle" : "", "parse-names" : false, "suffix" : "" }, { "dropping-particle" : "", "family" : "Hu", "given" : "Yu-Whuei", "non-dropping-particle" : "", "parse-names" : false, "suffix" : "" }, { "dropping-particle" : "", "family" : "Yip", "given" : "Winnie", "non-dropping-particle" : "", "parse-names" : false, "suffix" : "" }, { "dropping-particle" : "", "family" : "Shu", "given" : "Chen-Chun", "non-dropping-particle" : "", "parse-names" : false, "suffix" : "" } ], "container-title" : "BMC public health", "id" : "ITEM-5", "issued" : { "date-parts" : [ [ "2006", "1" ] ] }, "page" : "72", "title" : "The dimensions of responsiveness of a health system: a Taiwanese perspective.", "type" : "article-journal", "volume" : "6" }, "uris" : [ "http://www.mendeley.com/documents/?uuid=72a911b9-c739-4db2-afd3-94c8faeb7d0c" ] }, { "id" : "ITEM-6", "itemData" : { "ISBN" : "0025-7079", "ISSN" : "0025-7079", "PMID" : "8366685", "abstract" : "This study describes the results of a four-year research effort to develop inpatient and outpatient questionnaires that have sufficient validity and reliability to be used to measure patient perceptions of quality. As part of this effort, over 50,000 inpatients, emergency room patients, and ambulatory surgery patients from over 300 hospitals representing every US census region were surveyed. Separate questionnaires, called Quality of Care Monitors, were developed for inpatients and outpatients. The inpatient questionnaire consisted of 8 scales: Physician Care, Nursing Care, Medical Outcome, Courtesy, Food Service, Comfort and Cleanliness, Admissions/Billing, and Religious Care. The outpatient questionnaire had 7 scales: Physician Care, Nursing Care, Medical Outcome, Facility Characteristics, Waiting Time, Testing Services and Registration Process. The study found strong evidence of construct validity, predictive validity, and internal consistency for both questionnaires. Each questionnaire is capable of measuring separate dimensions of patient experience. A data bank developed from these questionnaires is currently accessed regularly by participating hospitals to assess quality improvement and to make benchmark comparisons with similar hospitals.", "author" : [ { "dropping-particle" : "", "family" : "Carey", "given" : "R G", "non-dropping-particle" : "", "parse-names" : false, "suffix" : "" }, { "dropping-particle" : "", "family" : "Seibert", "given" : "J H", "non-dropping-particle" : "", "parse-names" : false, "suffix" : "" } ], "container-title" : "Medical care", "id" : "ITEM-6", "issue" : "9", "issued" : { "date-parts" : [ [ "1993" ] ] }, "page" : "834-845", "title" : "A patient survey system to measure quality improvement: questionnaire reliability and validity.", "type" : "article-journal", "volume" : "31" }, "uris" : [ "http://www.mendeley.com/documents/?uuid=9acfae34-deec-414d-9e8c-5ee44b3aa962" ] }, { "id" : "ITEM-7", "itemData" : { "DOI" : "10.1111/j.1369-7625.2004.00311.x", "ISBN" : "1369-6513 (Print)\\r1369-6513 (Linking)", "ISSN" : "13696513", "PMID" : "15713169", "abstract" : "OBJECTIVE: To examine the psychometric properties of a revised scale, named 'observing patient involvement in decision making' (OPTION), by analysing its reapplication to a sample of routine primary care consultations. The OPTION instrument assesses to what degree clinicians involve patients in decision making. DESIGN: Cross-sectional assessment of medical interaction by two calibrated raters. SETTING: Primary care. PARTICIPANTS: Twenty-one general practitioners provided 186 consultations for assessment. MEASUREMENTS: Observational score using the OPTION instrument. RESULTS: Compared with the first version of the OPTION scale, the revised scale that uses a magnitude instead of an attitude scale, when applied to the same data set, resulted in improvement in the scale's reliability and to lower scores for the levels of involvement achieved by the practitioners. Factor analysis confirms that it is acceptable to regard the scale as a single construct. Although there is moderate variability when raters are assessed on an item by item basis, the agreements between raters at the level of the overall OPTION score is high (the intraclass correlation coefficient scores for total OPTION score was 0.77), a level that is acceptable for the evaluation of a set of consultations per practitioner (e.g. between 5 and 10 consultations), where aggregate scores would be used for determining overall performance. CONCLUSIONS: We conclude that OPTION is sufficiently reliable to be used for formal assessment at the level of the whole instrument (all 12 items).", "author" : [ { "dropping-particle" : "", "family" : "Elwyn", "given" : "Glyn", "non-dropping-particle" : "", "parse-names" : false, "suffix" : "" }, { "dropping-particle" : "", "family" : "Hutchings", "given" : "Hayley", "non-dropping-particle" : "", "parse-names" : false, "suffix" : "" }, { "dropping-particle" : "", "family" : "Edwards", "given" : "Adrian", "non-dropping-particle" : "", "parse-names" : false, "suffix" : "" }, { "dropping-particle" : "", "family" : "Rapport", "given" : "Frances", "non-dropping-particle" : "", "parse-names" : false, "suffix" : "" }, { "dropping-particle" : "", "family" : "Wensing", "given" : "Michel", "non-dropping-particle" : "", "parse-names" : false, "suffix" : "" }, { "dropping-particle" : "", "family" : "Cheung", "given" : "Wai Yee", "non-dropping-particle" : "", "parse-names" : false, "suffix" : "" }, { "dropping-particle" : "", "family" : "Grol", "given" : "Richard", "non-dropping-particle" : "", "parse-names" : false, "suffix" : "" } ], "container-title" : "Health Expectations", "id" : "ITEM-7", "issue" : "1", "issued" : { "date-parts" : [ [ "2005" ] ] }, "page" : "34-42", "title" : "The OPTION scale: Measuring the extent that clinicians involve patients in decision-making tasks", "type" : "article-journal", "volume" : "8" }, "uris" : [ "http://www.mendeley.com/documents/?uuid=c68d7134-1bc9-420d-a775-35531182e648" ] }, { "id" : "ITEM-8", "itemData" : { "DOI" : "10.1093/intqhc/mzl049", "ISBN" : "1353-4505 (Print)\\n1353-4505 (Linking)", "ISSN" : "1353-4505", "PMID" : "17012306", "abstract" : "OBJECTIVE: . (i) To develop a reliable and valid scale to measure in-patient and outpatient perceptions of quality in India and (ii) to identify aspects of perceived quality which have large effects on patient satisfaction. DESIGN: Cross-sectional survey of health facilities and patients at clinics. SETTING: Primary health centers, community health centers, district hospitals, and female district hospitals in the state of Uttar Pradesh in north India. MAIN OUTCOME MEASURES: Internal consistency, validity, and factor structure of the scale are evaluated. The association between patient satisfaction and perceived quality dimensions is examined. RESULTS: A 16-item scale having good reliability and validity is developed. Five dimensions of perceived quality are identified-medicine availability, medical information, staff behavior, doctor behavior, and hospital infrastructure. Patient perceptions of quality at public health facilities are slightly better than neutral. Multivariate regression analysis results indicate that for outpatients, doctor behavior has the largest effect on general patient satisfaction followed by medicine availability, hospital infrastructure, staff behavior, and medical information. For in-patients, staff behavior has the largest effect followed by doctor behavior, medicine availability, medical information, and hospital infrastructure. CONCLUSIONS: The scale developed can be used to measure perceived quality at a range of facility types for outpatients and in-patients. Perceived quality at public facilities is only marginally favorable, leaving much scope for improvement. Better staff and physician interpersonal skills, facility infrastructure, and availability of drugs have the largest effect in improving patient satisfaction at public health facilities.", "author" : [ { "dropping-particle" : "", "family" : "Rao", "given" : "Krishna Dipankar", "non-dropping-particle" : "", "parse-names" : false, "suffix" : "" }, { "dropping-particle" : "", "family" : "Peters", "given" : "David H.", "non-dropping-particle" : "", "parse-names" : false, "suffix" : "" }, { "dropping-particle" : "", "family" : "Bandeen-Roche", "given" : "Karen", "non-dropping-particle" : "", "parse-names" : false, "suffix" : "" } ], "container-title" : "International journal for quality in health care : journal of the International Society for Quality in Health Care / ISQua", "id" : "ITEM-8", "issue" : "6", "issued" : { "date-parts" : [ [ "2006", "12", "1" ] ] }, "page" : "414-421", "title" : "Towards patient-centered health services in India--a scale to measure patient perceptions of quality.", "type" : "article-journal", "volume" : "18" }, "uris" : [ "http://www.mendeley.com/documents/?uuid=e5b99dc0-7d6a-4ac0-b98e-3e7c2639020d" ] }, { "id" : "ITEM-9", "itemData" : { "ISBN" : "0893-8652", "ISSN" : "0893-8652", "PMID" : "11841136", "abstract" : "BACKGROUND: The physician-patient interview is the key component of all health care, particularly of primary medical care. This review sought to evaluate existing primary-care-based research studies to determine which verbal and nonverbal behaviors on the part of the physician during the medical encounter have been linked in empirical studies with favorable patient outcomes. METHODS: We reviewed the literature from 1975 to 2000 for studies of office interactions between primary care physicians and patients that evaluated these interactions empirically using neutral observers who coded observed encounters, videotapes, or audiotapes. Each study was reviewed for the quality of the methods and to find statistically significant relations between specific physician behaviors and patient outcomes. In examining nonverbal behaviors, because of a paucity of clinical outcome studies, outcomes were expanded to include associations with patient characteristics or subjective ratings of the interaction by observers. RESULTS: We found 14 studies of verbal communication and 8 studies of nonverbal communication that met inclusion criteria. Verbal behaviors positively associated with health outcomes included empathy, reassurance and support, various patient-centered questioning techniques, encounter length, history taking, explanations, both dominant and passive physician styles, positive reinforcement, humor, psychosocial talk, time in health education and information sharing, friendliness, courtesy, orienting the patient during examination, and summarization and clarification. Nonverbal behaviors positively associated with outcomes included head nodding, forward lean, direct body orientation, uncrossed legs and arms, arm symmetry, and less mutual gaze. CONCLUSION: Existing research is limited because of lack of consensus of what to measure, conflicting findings, and relative lack of empirical studies (especially of nonverbal behavior). Nonetheless, medical educators should focus on teaching and reinforcing behaviors known to be facilitative, and to continue to understand further how physician behavior can enhance favorable patient outcomes, such as understanding and adherence to medical regimens and overall satisfaction.", "author" : [ { "dropping-particle" : "", "family" : "Beck", "given" : "Rainer S", "non-dropping-particle" : "", "parse-names" : false, "suffix" : "" }, { "dropping-particle" : "", "family" : "Daughtridge", "given" : "Rebecca", "non-dropping-particle" : "", "parse-names" : false, "suffix" : "" }, { "dropping-particle" : "", "family" : "Sloane", "given" : "Philip D", "non-dropping-particle" : "", "parse-names" : false, "suffix" : "" } ], "container-title" : "The Journal of the American Board of Family Practice / American Board of Family Practice", "id" : "ITEM-9", "issue" : "1", "issued" : { "date-parts" : [ [ "2000" ] ] }, "page" : "25-38", "title" : "Physician-patient communication in the primary care office: a systematic review.", "type" : "article-journal", "volume" : "15" }, "uris" : [ "http://www.mendeley.com/documents/?uuid=4f428e78-1aa3-4810-aad2-6aa695f77c16" ] }, { "id" : "ITEM-10", "itemData" : { "author" : [ { "dropping-particle" : "", "family" : "Stewart", "given" : "Moira A", "non-dropping-particle" : "", "parse-names" : false, "suffix" : "" } ], "container-title" : "Social Science &amp; Medicine", "id" : "ITEM-10", "issue" : "2", "issued" : { "date-parts" : [ [ "1984" ] ] }, "page" : "167-175", "title" : "What is a successful doctor-patient interview ? A study of interactions and outcomes", "type" : "article-journal", "volume" : "19" }, "uris" : [ "http://www.mendeley.com/documents/?uuid=fd2fbdca-95fe-4ba8-80a2-a6fc1d0c3f9d" ] } ], "mendeley" : { "formattedCitation" : "(Beck et al., 2000; Carey &amp; Seibert, 1993; Darby, Valentine, Murray, &amp; De Silva, 2000; De Silva, 1999; Elwyn et al., 2005; Forouzan et al., 2011; Hsu, Chen, Hu, Yip, &amp; Shu, 2006; Letkovicova et al., 2005; Rao, Peters, &amp; Bandeen-Roche, 2006; Stewart, 1984)", "manualFormatting" : "Beck et al., 2000; Carey &amp; Seibert, 1993; Darby et al., 2000; DeSilva, 1999; Elwyn et al., 2005; Forouzan et al., 2011; Hsu et al., 2006; Letkovicova et al., 2005; Rao et al., 2006; Stewart, 1984", "plainTextFormattedCitation" : "(Beck et al., 2000; Carey &amp; Seibert, 1993; Darby, Valentine, Murray, &amp; De Silva, 2000; De Silva, 1999; Elwyn et al., 2005; Forouzan et al., 2011; Hsu, Chen, Hu, Yip, &amp; Shu, 2006; Letkovicova et al., 2005; Rao, Peters, &amp; Bandeen-Roche, 2006; Stewart, 1984)", "previouslyFormattedCitation" : "(Beck et al., 2000; Carey &amp; Seibert, 1993; Darby et al., 2000; DeSilva, 1999; Elwyn et al., 2005; Forouzan et al., 2011; Hsu et al., 2006; Letkovicova et al., 2005; Rao et al., 2006; Stewart, 1984)" }, "properties" : { "noteIndex" : 0 }, "schema" : "https://github.com/citation-style-language/schema/raw/master/csl-citation.json" }</w:instrText>
            </w:r>
            <w:r w:rsidRPr="00A70A90">
              <w:rPr>
                <w:rFonts w:ascii="Times New Roman" w:hAnsi="Times New Roman" w:cs="Times New Roman"/>
                <w:lang w:eastAsia="zh-CN"/>
              </w:rPr>
              <w:fldChar w:fldCharType="separate"/>
            </w:r>
            <w:r w:rsidRPr="00A70A90">
              <w:rPr>
                <w:rFonts w:ascii="Times New Roman" w:hAnsi="Times New Roman" w:cs="Times New Roman"/>
                <w:noProof/>
                <w:lang w:eastAsia="zh-CN"/>
              </w:rPr>
              <w:t>Beck et al., 2000; Carey &amp; Seibert, 1993; Darby et al., 2000; DeSilva, 1999; Elwyn et al., 2005; Forouzan et al., 2011; Hsu et al., 2006; Letkovicova et al., 2005; Rao et al., 2006; Stewart, 1984</w:t>
            </w:r>
            <w:r w:rsidRPr="00A70A90">
              <w:rPr>
                <w:rFonts w:ascii="Times New Roman" w:hAnsi="Times New Roman" w:cs="Times New Roman"/>
                <w:lang w:eastAsia="zh-CN"/>
              </w:rPr>
              <w:fldChar w:fldCharType="end"/>
            </w:r>
          </w:p>
        </w:tc>
      </w:tr>
      <w:tr w:rsidR="003128BD" w:rsidRPr="004D340D" w14:paraId="0214F112" w14:textId="6837B612" w:rsidTr="003128BD">
        <w:tc>
          <w:tcPr>
            <w:tcW w:w="1036" w:type="dxa"/>
          </w:tcPr>
          <w:p w14:paraId="48D1CB5B"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9</w:t>
            </w:r>
          </w:p>
        </w:tc>
        <w:tc>
          <w:tcPr>
            <w:tcW w:w="5433" w:type="dxa"/>
          </w:tcPr>
          <w:p w14:paraId="33734BDC"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Listening to patient's complaints completely</w:t>
            </w:r>
          </w:p>
        </w:tc>
        <w:tc>
          <w:tcPr>
            <w:tcW w:w="1522" w:type="dxa"/>
          </w:tcPr>
          <w:p w14:paraId="6931FCAE"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9</w:t>
            </w:r>
          </w:p>
        </w:tc>
        <w:tc>
          <w:tcPr>
            <w:tcW w:w="2157" w:type="dxa"/>
          </w:tcPr>
          <w:p w14:paraId="3DB77D2C"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4349D248"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3C50C787" w14:textId="49E622DA"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"DOI" : "10.1007/BF00846695", "ISBN" : "0160-7715 (Print)\\r0160-7715 (Linking)", "ISSN" : "0160-7715", "PMID" : "755868", "abstract" : "Patient satisfaction is a variable of increasing interest to researchers, clinicians, and medical educators. Of several studies reviewed, only a few have shown evidence of careful methodology. Most surveys have focused on general evaluations of doctors and/or health care services or of a particular facility. The present article reports the development of a scale to measure patient satisfaction with an encounter with a physician or other primary care provider. Methods of item generation and pretesting are detailed. The overall reliability of the scale (Cronbach's coefficient alpha) is 0.93. The distribution of satisfaction scores is broader than that reported for other scales and approaches the normal in shape. Clinical and research applications of the scale are suggested.", "author" : [ { "dropping-particle" : "", "family" : "Wolf", "given" : "Matthew H", "non-dropping-particle" : "", "parse-names" : false, "suffix" : "" }, { "dropping-particle" : "", "family" : "Putnam", "given" : "Samuel M", "non-dropping-particle" : "", "parse-names" : false, "suffix" : "" }, { "dropping-particle" : "", "family" : "James", "given" : "Sherman A", "non-dropping-particle" : "", "parse-names" : false, "suffix" : "" }, { "dropping-particle" : "", "family" : "Stiles", "given" : "William B", "non-dropping-particle" : "", "parse-names" : false, "suffix" : "" } ], "container-title" : "Journal of Behavioral Medicine", "id" : "ITEM-1", "issue" : "4", "issued" : { "date-parts" : [ [ "1978" ] ] }, "page" : "391-401", "title" : "The Medical Interview Satisfaction Scale: development of a scale to measure patient perceptions of physician behavior", "type" : "article-journal", "volume" : "1" }, "uris" : [ "http://www.mendeley.com/documents/?uuid=c97fc6f6-322d-44b9-9957-aa43f8a64bbd" ] }, { "id" : "ITEM-2", "itemData" : { "DOI" : "10.1093/intqhc/mzl049", "ISBN" : "1353-4505 (Print)\\n1353-4505 (Linking)", "ISSN" : "1353-4505", "PMID" : "17012306", "abstract" : "OBJECTIVE: . (i) To develop a reliable and valid scale to measure in-patient and outpatient perceptions of quality in India and (ii) to identify aspects of perceived quality which have large effects on patient satisfaction. DESIGN: Cross-sectional survey of health facilities and patients at clinics. SETTING: Primary health centers, community health centers, district hospitals, and female district hospitals in the state of Uttar Pradesh in north India. MAIN OUTCOME MEASURES: Internal consistency, validity, and factor structure of the scale are evaluated. The association between patient satisfaction and perceived quality dimensions is examined. RESULTS: A 16-item scale having good reliability and validity is developed. Five dimensions of perceived quality are identified-medicine availability, medical information, staff behavior, doctor behavior, and hospital infrastructure. Patient perceptions of quality at public health facilities are slightly better than neutral. Multivariate regression analysis results indicate that for outpatients, doctor behavior has the largest effect on general patient satisfaction followed by medicine availability, hospital infrastructure, staff behavior, and medical information. For in-patients, staff behavior has the largest effect followed by doctor behavior, medicine availability, medical information, and hospital infrastructure. CONCLUSIONS: The scale developed can be used to measure perceived quality at a range of facility types for outpatients and in-patients. Perceived quality at public facilities is only marginally favorable, leaving much scope for improvement. Better staff and physician interpersonal skills, facility infrastructure, and availability of drugs have the largest effect in improving patient satisfaction at public health facilities.", "author" : [ { "dropping-particle" : "", "family" : "Rao", "given" : "Krishna Dipankar", "non-dropping-particle" : "", "parse-names" : false, "suffix" : "" }, { "dropping-particle" : "", "family" : "Peters", "given" : "David H.", "non-dropping-particle" : "", "parse-names" : false, "suffix" : "" }, { "dropping-particle" : "", "family" : "Bandeen-Roche", "given" : "Karen", "non-dropping-particle" : "", "parse-names" : false, "suffix" : "" } ], "container-title" : "International journal for quality in health care : journal of the International Society for Quality in Health Care / ISQua", "id" : "ITEM-2", "issue" : "6", "issued" : { "date-parts" : [ [ "2006", "12", "1" ] ] }, "page" : "414-421", "title" : "Towards patient-centered health services in India--a scale to measure patient perceptions of quality.", "type" : "article-journal", "volume" : "18" }, "uris" : [ "http://www.mendeley.com/documents/?uuid=e5b99dc0-7d6a-4ac0-b98e-3e7c2639020d" ] }, { "id" : "ITEM-3", "itemData" : { "DOI" : "10.1016/j.pec.2007.06.011", "ISBN" : "0738-3991", "ISSN" : "07383991", "PMID" : "17689042", "abstract" : "Objective: Active listening is a prerequisite for a successful healthcare encounter, bearing potential therapeutic value especially in clinical situations that require no specific medical intervention. Although generally acknowledged as such, active listening has not been studied in depth. This paper describes the development of the Active Listening Observation Scale (ALOS-global), an observation instrument measuring active listening and its validation in a sample of general practice consultations for minor ailments. Methods: Five hundred and twenty-four videotaped general practice consultations involving minor ailments were observed with the ALOS-global. Hypotheses were tested to determine validity, incorporating patients' perception of GPs' affective performance, GPs' verbal attention, patients' self-reported anxiety level and gender differences. Results: The final 7-item ALOS-global had acceptable inter- and intra-observer agreement. Factor analysis revealed one homogeneous dimension. The scalescore was positively related to verbal attention measured by RIAS, to patients' perception of GPs' performance and to their pre-visit anxiety level. Female GPs received higher active listening scores. Conclusion: The results of this study are promising concerning the psychometric properties of the ALOS-global. More research is needed to confirm these preliminary findings. Practice implications: After establishing how active listening differentiates between health professionals, the ALOS-global may become a valuable tool in feedback and training aimed at increasing listening skills. \u00a9 2007 Elsevier Ireland Ltd. All rights reserved.", "author" : [ { "dropping-particle" : "", "family" : "Fassaert", "given" : "Thijs", "non-dropping-particle" : "", "parse-names" : false, "suffix" : "" }, { "dropping-particle" : "", "family" : "Dulmen", "given" : "Sandra", "non-dropping-particle" : "van", "parse-names" : false, "suffix" : "" }, { "dropping-particle" : "", "family" : "Schellevis", "given" : "Fran\u00e7ois", "non-dropping-particle" : "", "parse-names" : false, "suffix" : "" }, { "dropping-particle" : "", "family" : "Bensing", "given" : "Jozien", "non-dropping-particle" : "", "parse-names" : false, "suffix" : "" } ], "container-title" : "Patient Education and Counseling", "id" : "ITEM-3", "issue" : "3", "issued" : { "date-parts" : [ [ "2007" ] ] }, "page" : "258-264", "title" : "Active listening in medical consultations: Development of the Active Listening Observation Scale (ALOS-global)", "type" : "article-journal", "volume" : "68" }, "uris" : [ "http://www.mendeley.com/documents/?uuid=61b75c76-3e9f-4047-8028-aabb238a33d8" ] } ], "mendeley" : { "formattedCitation" : "(Fassaert et al., 2007; Rao et al., 2006; Wolf et al., 1978)", "manualFormatting" : "Fassaert et al., 2007; Rao et al., 2006; Wolf et al., 1978", "plainTextFormattedCitation" : "(Fassaert et al., 2007; Rao et al., 2006; Wolf et al., 1978)", "previouslyFormattedCitation" : "(Fassaert et al., 2007; Rao et al., 2006; Wolf et al., 1978)"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Fassaert et al., 2007; Rao et al., 2006; Wolf et al., 1978</w:t>
            </w:r>
            <w:r w:rsidRPr="00A70A90">
              <w:rPr>
                <w:rFonts w:ascii="Times New Roman" w:hAnsi="Times New Roman" w:cs="Times New Roman"/>
              </w:rPr>
              <w:fldChar w:fldCharType="end"/>
            </w:r>
          </w:p>
        </w:tc>
      </w:tr>
      <w:tr w:rsidR="003128BD" w:rsidRPr="004D340D" w14:paraId="68DBBB01" w14:textId="02034A9B" w:rsidTr="003128BD">
        <w:tc>
          <w:tcPr>
            <w:tcW w:w="1036" w:type="dxa"/>
          </w:tcPr>
          <w:p w14:paraId="7870FC01"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10</w:t>
            </w:r>
          </w:p>
        </w:tc>
        <w:tc>
          <w:tcPr>
            <w:tcW w:w="5433" w:type="dxa"/>
          </w:tcPr>
          <w:p w14:paraId="2180A29C"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Listening to patient's complaints attentively</w:t>
            </w:r>
          </w:p>
        </w:tc>
        <w:tc>
          <w:tcPr>
            <w:tcW w:w="1522" w:type="dxa"/>
          </w:tcPr>
          <w:p w14:paraId="5EEB08F8"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10</w:t>
            </w:r>
          </w:p>
        </w:tc>
        <w:tc>
          <w:tcPr>
            <w:tcW w:w="2157" w:type="dxa"/>
          </w:tcPr>
          <w:p w14:paraId="79C40B2D"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70EDAB91"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5351D780" w14:textId="6F77FAC2"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"DOI" : "10.1186/1471-2296-7-72", "ISBN" : "1471-2296 (Electronic)\\r1471-2296 (Linking)", "ISSN" : "1471-2296", "PMID" : "17156424", "abstract" : "BACKGROUND: A good patient-physician interaction is particularly important in chronic diseases like diabetes. There are so far no published data regarding the interaction between the primary health-care providers and patients with type 2 diabetes in Oman, where diabetes is a major and growing health problem. This study aimed at exploring how health-care providers interact with patients with type 2 diabetes at primary health-care level in Muscat, Oman, focusing on the consultation environment, and some aspects of care and information. METHODS: Direct observations of 90 consultations between 23 doctors and 13 diabetes nurses concerned with diabetes management during their consultations with type 2 diabetes patients in six primary health-care centres in the Muscat region, using checklists developed from the National Diabetes Guidelines. Consultations were assessed as optimal if more than 75% of observed aspects were fulfilled and sub-optimal if less than 50% were fulfilled. RESULTS: Overall 52% of the doctors' consultations were not optimal. Some important aspects for a positive consultation environment were fulfilled in only about half of the doctors' consultations: ensuring privacy of consultation (49%), eye contact (49%), good attention (52%), encouraging asking questions (47%), and emphasizing on the patients' understanding of the provided information (52%). The doctors inquired about adverse effects of anti-diabetes drugs in less than 10% of consultations. The quality of the nurses' consultations was sub-optimal in about 75% of 85 consultations regarding aspects of consultation environment, care and information. CONCLUSION: The performance of the primary health-care doctors and diabetes nurses needs to be improved. The role of the diabetes nurses and the teamwork should be enhanced. We suggest a multidisciplinary team approach, training and education to the providers to upgrade their skills regarding communication and care. Barriers to compliance with the guidelines need to be further explored. Improving the work situation mainly for the diabetes nurses and further improvement in the organizational efficiency of diabetes services such as lowering the number of patients in diabetes clinic, are suggested.", "author" : [ { "dropping-particle" : "", "family" : "Abdulhadi", "given" : "Nadia", "non-dropping-particle" : "", "parse-names" : false, "suffix" : "" }, { "dropping-particle" : "", "family" : "Al-Shafaee", "given" : "Mohammed Ali", "non-dropping-particle" : "", "parse-names" : false, "suffix" : "" }, { "dropping-particle" : "", "family" : "Ostenson", "given" : "Claes-G\u00f6ran", "non-dropping-particle" : "", "parse-names" : false, "suffix" : "" }, { "dropping-particle" : "", "family" : "Vernby", "given" : "Asa", "non-dropping-particle" : "", "parse-names" : false, "suffix" : "" }, { "dropping-particle" : "", "family" : "Wahlstr\u00f6m", "given" : "Rolf", "non-dropping-particle" : "", "parse-names" : false, "suffix" : "" } ], "container-title" : "BMC family practice", "id" : "ITEM-1", "issued" : { "date-parts" : [ [ "2006" ] ] }, "page" : "72", "title" : "Quality of interaction between primary health-care providers and patients with type 2 diabetes in Muscat, Oman: an observational study.", "type" : "article-journal", "volume" : "7" }, "uris" : [ "http://www.mendeley.com/documents/?uuid=dafc7419-ac9f-4d97-9f44-e78781973afe" ] }, { "id" : "ITEM-2", "itemData" : { "DOI" : "10.1093/intqhc/mzl049", "ISBN" : "1353-4505 (Print)\\n1353-4505 (Linking)", "ISSN" : "1353-4505", "PMID" : "17012306", "abstract" : "OBJECTIVE: . (i) To develop a reliable and valid scale to measure in-patient and outpatient perceptions of quality in India and (ii) to identify aspects of perceived quality which have large effects on patient satisfaction. DESIGN: Cross-sectional survey of health facilities and patients at clinics. SETTING: Primary health centers, community health centers, district hospitals, and female district hospitals in the state of Uttar Pradesh in north India. MAIN OUTCOME MEASURES: Internal consistency, validity, and factor structure of the scale are evaluated. The association between patient satisfaction and perceived quality dimensions is examined. RESULTS: A 16-item scale having good reliability and validity is developed. Five dimensions of perceived quality are identified-medicine availability, medical information, staff behavior, doctor behavior, and hospital infrastructure. Patient perceptions of quality at public health facilities are slightly better than neutral. Multivariate regression analysis results indicate that for outpatients, doctor behavior has the largest effect on general patient satisfaction followed by medicine availability, hospital infrastructure, staff behavior, and medical information. For in-patients, staff behavior has the largest effect followed by doctor behavior, medicine availability, medical information, and hospital infrastructure. CONCLUSIONS: The scale developed can be used to measure perceived quality at a range of facility types for outpatients and in-patients. Perceived quality at public facilities is only marginally favorable, leaving much scope for improvement. Better staff and physician interpersonal skills, facility infrastructure, and availability of drugs have the largest effect in improving patient satisfaction at public health facilities.", "author" : [ { "dropping-particle" : "", "family" : "Rao", "given" : "Krishna Dipankar", "non-dropping-particle" : "", "parse-names" : false, "suffix" : "" }, { "dropping-particle" : "", "family" : "Peters", "given" : "David H.", "non-dropping-particle" : "", "parse-names" : false, "suffix" : "" }, { "dropping-particle" : "", "family" : "Bandeen-Roche", "given" : "Karen", "non-dropping-particle" : "", "parse-names" : false, "suffix" : "" } ], "container-title" : "International journal for quality in health care : journal of the International Society for Quality in Health Care / ISQua", "id" : "ITEM-2", "issue" : "6", "issued" : { "date-parts" : [ [ "2006", "12", "1" ] ] }, "page" : "414-421", "title" : "Towards patient-centered health services in India--a scale to measure patient perceptions of quality.", "type" : "article-journal", "volume" : "18" }, "uris" : [ "http://www.mendeley.com/documents/?uuid=e5b99dc0-7d6a-4ac0-b98e-3e7c2639020d" ] }, { "id" : "ITEM-3", "itemData" : { "ISBN" : "0893-8652", "ISSN" : "0893-8652", "PMID" : "11841136", "abstract" : "BACKGROUND: The physician-patient interview is the key component of all health care, particularly of primary medical care. This review sought to evaluate existing primary-care-based research studies to determine which verbal and nonverbal behaviors on the part of the physician during the medical encounter have been linked in empirical studies with favorable patient outcomes. METHODS: We reviewed the literature from 1975 to 2000 for studies of office interactions between primary care physicians and patients that evaluated these interactions empirically using neutral observers who coded observed encounters, videotapes, or audiotapes. Each study was reviewed for the quality of the methods and to find statistically significant relations between specific physician behaviors and patient outcomes. In examining nonverbal behaviors, because of a paucity of clinical outcome studies, outcomes were expanded to include associations with patient characteristics or subjective ratings of the interaction by observers. RESULTS: We found 14 studies of verbal communication and 8 studies of nonverbal communication that met inclusion criteria. Verbal behaviors positively associated with health outcomes included empathy, reassurance and support, various patient-centered questioning techniques, encounter length, history taking, explanations, both dominant and passive physician styles, positive reinforcement, humor, psychosocial talk, time in health education and information sharing, friendliness, courtesy, orienting the patient during examination, and summarization and clarification. Nonverbal behaviors positively associated with outcomes included head nodding, forward lean, direct body orientation, uncrossed legs and arms, arm symmetry, and less mutual gaze. CONCLUSION: Existing research is limited because of lack of consensus of what to measure, conflicting findings, and relative lack of empirical studies (especially of nonverbal behavior). Nonetheless, medical educators should focus on teaching and reinforcing behaviors known to be facilitative, and to continue to understand further how physician behavior can enhance favorable patient outcomes, such as understanding and adherence to medical regimens and overall satisfaction.", "author" : [ { "dropping-particle" : "", "family" : "Beck", "given" : "Rainer S", "non-dropping-particle" : "", "parse-names" : false, "suffix" : "" }, { "dropping-particle" : "", "family" : "Daughtridge", "given" : "Rebecca", "non-dropping-particle" : "", "parse-names" : false, "suffix" : "" }, { "dropping-particle" : "", "family" : "Sloane", "given" : "Philip D", "non-dropping-particle" : "", "parse-names" : false, "suffix" : "" } ], "container-title" : "The Journal of the American Board of Family Practice / American Board of Family Practice", "id" : "ITEM-3", "issue" : "1", "issued" : { "date-parts" : [ [ "2000" ] ] }, "page" : "25-38", "title" : "Physician-patient communication in the primary care office: a systematic review.", "type" : "article-journal", "volume" : "15" }, "uris" : [ "http://www.mendeley.com/documents/?uuid=4f428e78-1aa3-4810-aad2-6aa695f77c16" ] }, { "id" : "ITEM-4", "itemData" : { "DOI" : "10.1016/j.pec.2007.06.011", "ISBN" : "0738-3991", "ISSN" : "07383991", "PMID" : "17689042", "abstract" : "Objective: Active listening is a prerequisite for a successful healthcare encounter, bearing potential therapeutic value especially in clinical situations that require no specific medical intervention. Although generally acknowledged as such, active listening has not been studied in depth. This paper describes the development of the Active Listening Observation Scale (ALOS-global), an observation instrument measuring active listening and its validation in a sample of general practice consultations for minor ailments. Methods: Five hundred and twenty-four videotaped general practice consultations involving minor ailments were observed with the ALOS-global. Hypotheses were tested to determine validity, incorporating patients' perception of GPs' affective performance, GPs' verbal attention, patients' self-reported anxiety level and gender differences. Results: The final 7-item ALOS-global had acceptable inter- and intra-observer agreement. Factor analysis revealed one homogeneous dimension. The scalescore was positively related to verbal attention measured by RIAS, to patients' perception of GPs' performance and to their pre-visit anxiety level. Female GPs received higher active listening scores. Conclusion: The results of this study are promising concerning the psychometric properties of the ALOS-global. More research is needed to confirm these preliminary findings. Practice implications: After establishing how active listening differentiates between health professionals, the ALOS-global may become a valuable tool in feedback and training aimed at increasing listening skills. \u00a9 2007 Elsevier Ireland Ltd. All rights reserved.", "author" : [ { "dropping-particle" : "", "family" : "Fassaert", "given" : "Thijs", "non-dropping-particle" : "", "parse-names" : false, "suffix" : "" }, { "dropping-particle" : "", "family" : "Dulmen", "given" : "Sandra", "non-dropping-particle" : "van", "parse-names" : false, "suffix" : "" }, { "dropping-particle" : "", "family" : "Schellevis", "given" : "Fran\u00e7ois", "non-dropping-particle" : "", "parse-names" : false, "suffix" : "" }, { "dropping-particle" : "", "family" : "Bensing", "given" : "Jozien", "non-dropping-particle" : "", "parse-names" : false, "suffix" : "" } ], "container-title" : "Patient Education and Counseling", "id" : "ITEM-4", "issue" : "3", "issued" : { "date-parts" : [ [ "2007" ] ] }, "page" : "258-264", "title" : "Active listening in medical consultations: Development of the Active Listening Observation Scale (ALOS-global)", "type" : "article-journal", "volume" : "68" }, "uris" : [ "http://www.mendeley.com/documents/?uuid=61b75c76-3e9f-4047-8028-aabb238a33d8" ] }, { "id" : "ITEM-5", "itemData" : { "author" : [ { "dropping-particle" : "", "family" : "Letkovicova", "given" : "Hana", "non-dropping-particle" : "", "parse-names" : false, "suffix" : "" }, { "dropping-particle" : "", "family" : "Prasad", "given" : "Amit", "non-dropping-particle" : "", "parse-names" : false, "suffix" : "" }, { "dropping-particle" : "La", "family" : "Valle\u0301e", "given" : "Rene\u0301", "non-dropping-particle" : "", "parse-names" : false, "suffix" : "" }, { "dropping-particle" : "", "family" : "Valentine", "given" : "Nicole", "non-dropping-particle" : "", "parse-names" : false, "suffix" : "" }, { "dropping-particle" : "", "family" : "Adhikari", "given" : "Pramod", "non-dropping-particle" : "", "parse-names" : false, "suffix" : "" }, { "dropping-particle" : "van der", "family" : "Heide", "given" : "George W", "non-dropping-particle" : "", "parse-names" : false, "suffix" : "" } ], "id" : "ITEM-5", "issued" : { "date-parts" : [ [ "2005" ] ] }, "publisher-place" : "Geneva", "title" : "The health systems responsiveness analytical guidelines for surveys in the multi-country survey study", "type" : "report" }, "uris" : [ "http://www.mendeley.com/documents/?uuid=4096a533-98a2-45ce-835e-57ed22b354ac" ] }, { "id" : "ITEM-6", "itemData" : { "DOI" : "10.1186/1472-6963-11-325", "ISSN" : "1472-6963", "PMID" : "22115499", "abstract" : "BACKGROUND: Individuals' experience of interacting with the healthcare system has significant impact on their overall health and well-being. To relate patients' experiences to a common set of standards, the World Health Organization (WHO) developed the concept of health system responsiveness. This study aimed to assess if the WHO responsiveness concept reflected the non-medical expectations of mental healthcare users in Teheran.\n\nMETHODS: In this qualitative study, four mixed focus group discussions were formed, comprising 53 mental health service users in Tehran, Iran, in 2010. Content analysis was performed for data analysis. Responses were examined in relation to the eight domains of the WHO's responsiveness model.\n\nRESULTS: There were many commonalities between the findings of this study and the eight domains of the WHO responsiveness model, although some variations were found. Effective care was a new domain generated from our findings. In addition, the domain of prompt attention was included in two new labelled domains: attention and access to care. Participants could not differentiate autonomy from choice of healthcare provider, believing that free choice is part of autonomy. Therefore these domains were unified under the name of autonomy. The domains of quality of basic amenities, access to social support, dignity and confidentiality were considered to be important for the responsiveness concept. Some differences regarding how these domains should be defined were observed, however.\n\nCONCLUSIONS: The results showed that the concept of responsiveness developed by the WHO is applicable to mental health services in Iran. These findings might help policy-makers' better understanding of what is useful for the improvement of mental health services.", "author" : [ { "dropping-particle" : "", "family" : "Forouzan", "given" : "Ameneh Setareh", "non-dropping-particle" : "", "parse-names" : false, "suffix" : "" }, { "dropping-particle" : "", "family" : "Ghazinour", "given" : "Mehdi", "non-dropping-particle" : "", "parse-names" : false, "suffix" : "" }, { "dropping-particle" : "", "family" : "Dejman", "given" : "Masoumeh", "non-dropping-particle" : "", "parse-names" : false, "suffix" : "" }, { "dropping-particle" : "", "family" : "Rafeiey", "given" : "Hassan", "non-dropping-particle" : "", "parse-names" : false, "suffix" : "" }, { "dropping-particle" : "", "family" : "San Sebastian", "given" : "Miguel", "non-dropping-particle" : "", "parse-names" : false, "suffix" : "" } ], "container-title" : "BMC health services research", "id" : "ITEM-6", "issue" : "1", "issued" : { "date-parts" : [ [ "2011", "1" ] ] }, "page" : "325", "publisher" : "BioMed Central Ltd", "title" : "Testing the WHO responsiveness concept in the Iranian mental healthcare system: a qualitative study of service users.", "type" : "article-journal", "volume" : "11" }, "uris" : [ "http://www.mendeley.com/documents/?uuid=2baa8362-05a9-4f3d-9ac7-07d827a12d42" ] }, { "id" : "ITEM-7", "itemData" : { "DOI" : "10.1093/eurpub/cki004", "ISSN" : "1101-1262", "PMID" : "15975955", "abstract" : "BACKGROUND: Responsiveness to patients is now seen as a key characteristic of effective health systems. This study aimed to learn more about European people's views on the responsiveness of their country's health systems and healthcare providers.\n\nMETHODS: Telephone survey with random samples of the populations in Germany, Italy, Poland, Slovenia, Spain, Sweden, Switzerland and the UK using random digit dialling.\n\nRESULTS: Responses were obtained from 8119 people aged 16 and over. Just over half the respondents said that doctors always listened carefully to them, gave them time for questions and provided clear explanations. Respondents from Switzerland and the UK reported consistently high rates of satisfaction with doctors' communication skills, while respondents from Poland were significantly less satisfied. Younger people were more critical than older people. Expectations of patient involvement in treatment decisions were high, particularly among younger people, with 74% indicating a desire to be actively involved. Most respondents felt they should have a choice of primary care doctor, specialist doctor and hospital, but less than half felt they had sufficient information to make an informed choice. There were significant variations between the countries in reported levels of involvement and in satisfaction with opportunities for choice.\n\nCONCLUSIONS: The results suggest that many European patients want a more autonomous role in health care decision-making. Policy-makers and clinicians should consider how to narrow the gap between public expectations and patients' experience.", "author" : [ { "dropping-particle" : "", "family" : "Coulter", "given" : "Angela", "non-dropping-particle" : "", "parse-names" : false, "suffix" : "" }, { "dropping-particle" : "", "family" : "Jenkinson", "given" : "Crispin", "non-dropping-particle" : "", "parse-names" : false, "suffix" : "" } ], "container-title" : "European journal of public health", "id" : "ITEM-7", "issue" : "4", "issued" : { "date-parts" : [ [ "2005", "8" ] ] }, "page" : "355-60", "title" : "European patients' views on the responsiveness of health systems and healthcare providers.", "type" : "article-journal", "volume" : "15" }, "uris" : [ "http://www.mendeley.com/documents/?uuid=8981347b-269d-4dbe-bea1-468264c5c17e" ] }, { "id" : "ITEM-8", "itemData" : { "DOI" : "10.1186/1471-2458-6-72", "ISSN" : "1471-2458", "PMID" : "16542462", "abstract" : "BACKGROUND: Responsiveness is an indicator used to measure how well a health system performs relative to non-health aspects. This study assessed whether seven dimensions proposed by the World Health Organization (WHO) to measure responsiveness (dignity, autonomy, confidentiality, prompt attention, social support, basic amenities, and choices of providers) are applicable in evaluating the health system of Taiwan. METHODS: A key informant survey and focus group research were used in this study. The translated WHO proposed questionnaire was sent to 205 nominated key informants by mail, and 132 (64.4%) were returned. We used principal component analysis to extract factors. Linear regression analysis was used to assess the relationship between the total score and the extracted factors. A qualitative content analysis was also carried out in focus group research. RESULTS: Principal component analysis produced five factors (respect, access, confidentiality, basic amenities, and social support) that explained 63.5% of the total variances. These five factors demonstrated acceptable internal consistency and four of them (except social support) were significantly correlated with the total responsiveness score. The focus group interviews revealed health providers' communication ability and medical ethics were also highly appraised by Taiwanese. CONCLUSION: When the performance of a health system is to be evaluated, elements of responsiveness proposed by WHO may have to be tailored to fit different cultural backgrounds. Four key features illustrate the uniqueness of Taiwanese perspectives: the idea of autonomy may not be conceptualized, prompt attention and choice of providers are on the same track, social support during care is trivially correlated to the total responsiveness score, and accountability of health providers is deemed essential to a health system.", "author" : [ { "dropping-particle" : "", "family" : "Hsu", "given" : "Chih-Cheng", "non-dropping-particle" : "", "parse-names" : false, "suffix" : "" }, { "dropping-particle" : "", "family" : "Chen", "given" : "Likwang", "non-dropping-particle" : "", "parse-names" : false, "suffix" : "" }, { "dropping-particle" : "", "family" : "Hu", "given" : "Yu-Whuei", "non-dropping-particle" : "", "parse-names" : false, "suffix" : "" }, { "dropping-particle" : "", "family" : "Yip", "given" : "Winnie", "non-dropping-particle" : "", "parse-names" : false, "suffix" : "" }, { "dropping-particle" : "", "family" : "Shu", "given" : "Chen-Chun", "non-dropping-particle" : "", "parse-names" : false, "suffix" : "" } ], "container-title" : "BMC public health", "id" : "ITEM-8", "issued" : { "date-parts" : [ [ "2006", "1" ] ] }, "page" : "72", "title" : "The dimensions of responsiveness of a health system: a Taiwanese perspective.", "type" : "article-journal", "volume" : "6" }, "uris" : [ "http://www.mendeley.com/documents/?uuid=72a911b9-c739-4db2-afd3-94c8faeb7d0c" ] } ], "mendeley" : { "formattedCitation" : "(Abdulhadi et al., 2006; Beck et al., 2000; Coulter &amp; Jenkinson, 2005; Fassaert et al., 2007; Forouzan et al., 2011; Hsu et al., 2006; Letkovicova et al., 2005; Rao et al., 2006)", "manualFormatting" : "Abdulhadi et al., 2006; Beck et al., 2000; Coulter &amp; Jenkinson, 2005; Fassaert et al., 2007; Forouzan et al., 2011; Hsu et al., 2006; Letkovicova et al., 2005; Rao et al., 2006", "plainTextFormattedCitation" : "(Abdulhadi et al., 2006; Beck et al., 2000; Coulter &amp; Jenkinson, 2005; Fassaert et al., 2007; Forouzan et al., 2011; Hsu et al., 2006; Letkovicova et al., 2005; Rao et al., 2006)", "previouslyFormattedCitation" : "(Abdulhadi et al., 2006; Beck et al., 2000; Coulter &amp; Jenkinson, 2005; Fassaert et al., 2007; Forouzan et al., 2011; Hsu et al., 2006; Letkovicova et al., 2005; Rao et al., 2006)"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Abdulhadi et al., 2006; Beck et al., 2000; Coulter &amp; Jenkinson, 2005; Fassaert et al., 2007; Forouzan et al., 2011; Hsu et al., 2006; Letkovicova et al., 2005; Rao et al., 2006</w:t>
            </w:r>
            <w:r w:rsidRPr="00A70A90">
              <w:rPr>
                <w:rFonts w:ascii="Times New Roman" w:hAnsi="Times New Roman" w:cs="Times New Roman"/>
              </w:rPr>
              <w:fldChar w:fldCharType="end"/>
            </w:r>
          </w:p>
        </w:tc>
      </w:tr>
      <w:tr w:rsidR="003128BD" w:rsidRPr="004D340D" w14:paraId="297E8C61" w14:textId="05C53661" w:rsidTr="003128BD">
        <w:tc>
          <w:tcPr>
            <w:tcW w:w="1036" w:type="dxa"/>
          </w:tcPr>
          <w:p w14:paraId="50A213C4"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11</w:t>
            </w:r>
          </w:p>
        </w:tc>
        <w:tc>
          <w:tcPr>
            <w:tcW w:w="5433" w:type="dxa"/>
          </w:tcPr>
          <w:p w14:paraId="74DD3073" w14:textId="77777777" w:rsidR="003128BD" w:rsidRPr="00A70A90" w:rsidRDefault="003128BD" w:rsidP="003128BD">
            <w:pPr>
              <w:spacing w:after="0" w:line="240" w:lineRule="auto"/>
              <w:rPr>
                <w:rFonts w:ascii="Times New Roman" w:hAnsi="Times New Roman" w:cs="Times New Roman"/>
                <w:i/>
              </w:rPr>
            </w:pPr>
            <w:r w:rsidRPr="00A70A90">
              <w:rPr>
                <w:rFonts w:ascii="Times New Roman" w:hAnsi="Times New Roman" w:cs="Times New Roman"/>
                <w:i/>
              </w:rPr>
              <w:t>Counseling on social or family issues if related to the disease</w:t>
            </w:r>
          </w:p>
        </w:tc>
        <w:tc>
          <w:tcPr>
            <w:tcW w:w="1522" w:type="dxa"/>
          </w:tcPr>
          <w:p w14:paraId="64989B58" w14:textId="77777777" w:rsidR="003128BD" w:rsidRPr="00A70A90" w:rsidRDefault="003128BD" w:rsidP="003128BD">
            <w:pPr>
              <w:spacing w:after="0" w:line="240" w:lineRule="auto"/>
              <w:jc w:val="center"/>
              <w:rPr>
                <w:rFonts w:ascii="Times New Roman" w:hAnsi="Times New Roman" w:cs="Times New Roman"/>
              </w:rPr>
            </w:pPr>
          </w:p>
        </w:tc>
        <w:tc>
          <w:tcPr>
            <w:tcW w:w="2157" w:type="dxa"/>
          </w:tcPr>
          <w:p w14:paraId="4D8C6AA4"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1EE3F018" w14:textId="77777777" w:rsidR="003128BD" w:rsidRPr="00A70A90" w:rsidRDefault="003128BD" w:rsidP="003128BD">
            <w:pPr>
              <w:spacing w:after="0" w:line="240" w:lineRule="auto"/>
              <w:jc w:val="center"/>
              <w:rPr>
                <w:rFonts w:ascii="Times New Roman" w:hAnsi="Times New Roman" w:cs="Times New Roman"/>
              </w:rPr>
            </w:pPr>
          </w:p>
        </w:tc>
        <w:tc>
          <w:tcPr>
            <w:tcW w:w="1907" w:type="dxa"/>
          </w:tcPr>
          <w:p w14:paraId="79C3C86E" w14:textId="77777777" w:rsidR="003128BD" w:rsidRPr="00A70A90" w:rsidRDefault="003128BD" w:rsidP="003128BD">
            <w:pPr>
              <w:spacing w:after="0" w:line="240" w:lineRule="auto"/>
              <w:jc w:val="center"/>
              <w:rPr>
                <w:rFonts w:ascii="Times New Roman" w:hAnsi="Times New Roman" w:cs="Times New Roman"/>
              </w:rPr>
            </w:pPr>
          </w:p>
        </w:tc>
      </w:tr>
      <w:tr w:rsidR="003128BD" w:rsidRPr="004D340D" w14:paraId="27278475" w14:textId="66ED0FB5" w:rsidTr="003128BD">
        <w:tc>
          <w:tcPr>
            <w:tcW w:w="1036" w:type="dxa"/>
          </w:tcPr>
          <w:p w14:paraId="76DC3FE6"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lastRenderedPageBreak/>
              <w:t>12</w:t>
            </w:r>
          </w:p>
        </w:tc>
        <w:tc>
          <w:tcPr>
            <w:tcW w:w="5433" w:type="dxa"/>
          </w:tcPr>
          <w:p w14:paraId="7A8C5283" w14:textId="77777777" w:rsidR="003128BD" w:rsidRPr="00A70A90" w:rsidRDefault="003128BD" w:rsidP="003128BD">
            <w:pPr>
              <w:spacing w:after="0" w:line="240" w:lineRule="auto"/>
              <w:rPr>
                <w:rFonts w:ascii="Times New Roman" w:hAnsi="Times New Roman" w:cs="Times New Roman"/>
                <w:i/>
              </w:rPr>
            </w:pPr>
            <w:r w:rsidRPr="00A70A90">
              <w:rPr>
                <w:rFonts w:ascii="Times New Roman" w:hAnsi="Times New Roman" w:cs="Times New Roman"/>
                <w:i/>
              </w:rPr>
              <w:t>Home visit by doctor</w:t>
            </w:r>
          </w:p>
        </w:tc>
        <w:tc>
          <w:tcPr>
            <w:tcW w:w="1522" w:type="dxa"/>
          </w:tcPr>
          <w:p w14:paraId="74466472" w14:textId="77777777" w:rsidR="003128BD" w:rsidRPr="00A70A90" w:rsidRDefault="003128BD" w:rsidP="003128BD">
            <w:pPr>
              <w:spacing w:after="0" w:line="240" w:lineRule="auto"/>
              <w:jc w:val="center"/>
              <w:rPr>
                <w:rFonts w:ascii="Times New Roman" w:hAnsi="Times New Roman" w:cs="Times New Roman"/>
              </w:rPr>
            </w:pPr>
          </w:p>
        </w:tc>
        <w:tc>
          <w:tcPr>
            <w:tcW w:w="2157" w:type="dxa"/>
          </w:tcPr>
          <w:p w14:paraId="4B88692B"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4B3764EC" w14:textId="77777777" w:rsidR="003128BD" w:rsidRPr="00A70A90" w:rsidRDefault="003128BD" w:rsidP="003128BD">
            <w:pPr>
              <w:spacing w:after="0" w:line="240" w:lineRule="auto"/>
              <w:jc w:val="center"/>
              <w:rPr>
                <w:rFonts w:ascii="Times New Roman" w:hAnsi="Times New Roman" w:cs="Times New Roman"/>
              </w:rPr>
            </w:pPr>
          </w:p>
        </w:tc>
        <w:tc>
          <w:tcPr>
            <w:tcW w:w="1907" w:type="dxa"/>
          </w:tcPr>
          <w:p w14:paraId="2F807463" w14:textId="77777777" w:rsidR="003128BD" w:rsidRPr="00A70A90" w:rsidRDefault="003128BD" w:rsidP="003128BD">
            <w:pPr>
              <w:spacing w:after="0" w:line="240" w:lineRule="auto"/>
              <w:jc w:val="center"/>
              <w:rPr>
                <w:rFonts w:ascii="Times New Roman" w:hAnsi="Times New Roman" w:cs="Times New Roman"/>
              </w:rPr>
            </w:pPr>
          </w:p>
        </w:tc>
      </w:tr>
      <w:tr w:rsidR="003128BD" w:rsidRPr="004D340D" w14:paraId="1AC2CAEE" w14:textId="6DFDC770" w:rsidTr="003128BD">
        <w:tc>
          <w:tcPr>
            <w:tcW w:w="1036" w:type="dxa"/>
          </w:tcPr>
          <w:p w14:paraId="3211445C"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13</w:t>
            </w:r>
          </w:p>
        </w:tc>
        <w:tc>
          <w:tcPr>
            <w:tcW w:w="5433" w:type="dxa"/>
          </w:tcPr>
          <w:p w14:paraId="5B785EAD"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Examining the patient with care</w:t>
            </w:r>
          </w:p>
        </w:tc>
        <w:tc>
          <w:tcPr>
            <w:tcW w:w="1522" w:type="dxa"/>
          </w:tcPr>
          <w:p w14:paraId="33D50A36"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11</w:t>
            </w:r>
          </w:p>
        </w:tc>
        <w:tc>
          <w:tcPr>
            <w:tcW w:w="2157" w:type="dxa"/>
          </w:tcPr>
          <w:p w14:paraId="0EF57AA9"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7A6F4BFB"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3BD90CD9" w14:textId="0B6BC612"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"author" : [ { "dropping-particle" : "", "family" : "White", "given" : "D G", "non-dropping-particle" : "", "parse-names" : false, "suffix" : "" }, { "dropping-particle" : "", "family" : "Tiberius", "given" : "R", "non-dropping-particle" : "", "parse-names" : false, "suffix" : "" }, { "dropping-particle" : "", "family" : "Talbot", "given" : "Y", "non-dropping-particle" : "", "parse-names" : false, "suffix" : "" }, { "dropping-particle" : "", "family" : "Schiralli", "given" : "V", "non-dropping-particle" : "", "parse-names" : false, "suffix" : "" }, { "dropping-particle" : "", "family" : "Rickett", "given" : "M", "non-dropping-particle" : "", "parse-names" : false, "suffix" : "" } ], "container-title" : "Canadian Family Physician", "id" : "ITEM-1", "issued" : { "date-parts" : [ [ "1991" ] ] }, "page" : "64-70", "title" : "Improving Feedback for Medical Students in a Famnily Medicine Clerkship", "type" : "article-journal", "volume" : "37" }, "uris" : [ "http://www.mendeley.com/documents/?uuid=b5403e3f-50b7-4cb0-ab14-69cf5545cc85" ] } ], "mendeley" : { "formattedCitation" : "(D. G. White et al., 1991)", "manualFormatting" : "White et al., 1991", "plainTextFormattedCitation" : "(D. G. White et al., 1991)", "previouslyFormattedCitation" : "(D. G. White et al., 1991)"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White et al., 1991</w:t>
            </w:r>
            <w:r w:rsidRPr="00A70A90">
              <w:rPr>
                <w:rFonts w:ascii="Times New Roman" w:hAnsi="Times New Roman" w:cs="Times New Roman"/>
              </w:rPr>
              <w:fldChar w:fldCharType="end"/>
            </w:r>
          </w:p>
        </w:tc>
      </w:tr>
      <w:tr w:rsidR="003128BD" w:rsidRPr="004D340D" w14:paraId="0A439FBE" w14:textId="10CEAFBC" w:rsidTr="003128BD">
        <w:tc>
          <w:tcPr>
            <w:tcW w:w="1036" w:type="dxa"/>
          </w:tcPr>
          <w:p w14:paraId="3DEFD1EB"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14</w:t>
            </w:r>
          </w:p>
        </w:tc>
        <w:tc>
          <w:tcPr>
            <w:tcW w:w="5433" w:type="dxa"/>
          </w:tcPr>
          <w:p w14:paraId="34550CD2" w14:textId="77777777" w:rsidR="003128BD" w:rsidRPr="00A70A90" w:rsidRDefault="003128BD" w:rsidP="003128BD">
            <w:pPr>
              <w:spacing w:after="0" w:line="240" w:lineRule="auto"/>
              <w:rPr>
                <w:rFonts w:ascii="Times New Roman" w:hAnsi="Times New Roman" w:cs="Times New Roman"/>
                <w:i/>
              </w:rPr>
            </w:pPr>
            <w:r w:rsidRPr="00A70A90">
              <w:rPr>
                <w:rFonts w:ascii="Times New Roman" w:hAnsi="Times New Roman" w:cs="Times New Roman"/>
                <w:i/>
              </w:rPr>
              <w:t>Taking consent in particularly necessary conditions</w:t>
            </w:r>
          </w:p>
        </w:tc>
        <w:tc>
          <w:tcPr>
            <w:tcW w:w="1522" w:type="dxa"/>
          </w:tcPr>
          <w:p w14:paraId="3DD9B612" w14:textId="77777777" w:rsidR="003128BD" w:rsidRPr="00A70A90" w:rsidRDefault="003128BD" w:rsidP="003128BD">
            <w:pPr>
              <w:spacing w:after="0" w:line="240" w:lineRule="auto"/>
              <w:jc w:val="center"/>
              <w:rPr>
                <w:rFonts w:ascii="Times New Roman" w:hAnsi="Times New Roman" w:cs="Times New Roman"/>
              </w:rPr>
            </w:pPr>
          </w:p>
        </w:tc>
        <w:tc>
          <w:tcPr>
            <w:tcW w:w="2157" w:type="dxa"/>
          </w:tcPr>
          <w:p w14:paraId="642AABF3"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54137A32" w14:textId="77777777" w:rsidR="003128BD" w:rsidRPr="00A70A90" w:rsidRDefault="003128BD" w:rsidP="003128BD">
            <w:pPr>
              <w:spacing w:after="0" w:line="240" w:lineRule="auto"/>
              <w:jc w:val="center"/>
              <w:rPr>
                <w:rFonts w:ascii="Times New Roman" w:hAnsi="Times New Roman" w:cs="Times New Roman"/>
              </w:rPr>
            </w:pPr>
          </w:p>
        </w:tc>
        <w:tc>
          <w:tcPr>
            <w:tcW w:w="1907" w:type="dxa"/>
          </w:tcPr>
          <w:p w14:paraId="64387D09" w14:textId="77777777" w:rsidR="003128BD" w:rsidRPr="00A70A90" w:rsidRDefault="003128BD" w:rsidP="003128BD">
            <w:pPr>
              <w:spacing w:after="0" w:line="240" w:lineRule="auto"/>
              <w:jc w:val="center"/>
              <w:rPr>
                <w:rFonts w:ascii="Times New Roman" w:hAnsi="Times New Roman" w:cs="Times New Roman"/>
              </w:rPr>
            </w:pPr>
          </w:p>
        </w:tc>
      </w:tr>
      <w:tr w:rsidR="003128BD" w:rsidRPr="004D340D" w14:paraId="66F99D2E" w14:textId="6621B5E2" w:rsidTr="003128BD">
        <w:tc>
          <w:tcPr>
            <w:tcW w:w="1036" w:type="dxa"/>
          </w:tcPr>
          <w:p w14:paraId="5F53EBC0"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15</w:t>
            </w:r>
          </w:p>
        </w:tc>
        <w:tc>
          <w:tcPr>
            <w:tcW w:w="5433" w:type="dxa"/>
          </w:tcPr>
          <w:p w14:paraId="318819A4" w14:textId="77777777" w:rsidR="003128BD" w:rsidRPr="00A70A90" w:rsidRDefault="003128BD" w:rsidP="003128BD">
            <w:pPr>
              <w:spacing w:after="0" w:line="240" w:lineRule="auto"/>
              <w:rPr>
                <w:rFonts w:ascii="Times New Roman" w:hAnsi="Times New Roman" w:cs="Times New Roman"/>
              </w:rPr>
            </w:pPr>
            <w:r w:rsidRPr="00A70A90">
              <w:rPr>
                <w:rFonts w:ascii="Times New Roman" w:hAnsi="Times New Roman" w:cs="Times New Roman"/>
              </w:rPr>
              <w:t>Taking consent in general</w:t>
            </w:r>
          </w:p>
        </w:tc>
        <w:tc>
          <w:tcPr>
            <w:tcW w:w="1522" w:type="dxa"/>
          </w:tcPr>
          <w:p w14:paraId="4D4C69D7" w14:textId="77777777" w:rsidR="003128BD" w:rsidRPr="00A70A90" w:rsidRDefault="003128BD" w:rsidP="003128BD">
            <w:pPr>
              <w:spacing w:after="0" w:line="240" w:lineRule="auto"/>
              <w:jc w:val="center"/>
              <w:rPr>
                <w:rFonts w:ascii="Times New Roman" w:hAnsi="Times New Roman" w:cs="Times New Roman"/>
              </w:rPr>
            </w:pPr>
          </w:p>
        </w:tc>
        <w:tc>
          <w:tcPr>
            <w:tcW w:w="2157" w:type="dxa"/>
          </w:tcPr>
          <w:p w14:paraId="07853EF7" w14:textId="77777777" w:rsidR="003128BD" w:rsidRPr="00A70A90" w:rsidRDefault="003128BD" w:rsidP="003128BD">
            <w:pPr>
              <w:spacing w:after="0" w:line="240" w:lineRule="auto"/>
              <w:jc w:val="center"/>
              <w:rPr>
                <w:rFonts w:ascii="Times New Roman" w:hAnsi="Times New Roman" w:cs="Times New Roman"/>
              </w:rPr>
            </w:pPr>
          </w:p>
        </w:tc>
        <w:tc>
          <w:tcPr>
            <w:tcW w:w="2121" w:type="dxa"/>
          </w:tcPr>
          <w:p w14:paraId="1DCD45C0"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364B835B" w14:textId="26A86C8B"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noProof/>
                <w:lang w:eastAsia="zh-CN"/>
              </w:rPr>
              <w:fldChar w:fldCharType="begin" w:fldLock="1"/>
            </w:r>
            <w:r w:rsidR="002B2DFD">
              <w:rPr>
                <w:rFonts w:ascii="Times New Roman" w:hAnsi="Times New Roman" w:cs="Times New Roman"/>
                <w:noProof/>
                <w:lang w:eastAsia="zh-CN"/>
              </w:rPr>
              <w:instrText>ADDIN CSL_CITATION { "citationItems" : [ { "id" : "ITEM-1", "itemData" : { "author" : [ { "dropping-particle" : "", "family" : "Silva", "given" : "Amala", "non-dropping-particle" : "De", "parse-names" : false, "suffix" : "" } ], "id" : "ITEM-1", "issue" : "32", "issued" : { "date-parts" : [ [ "1999" ] ] }, "note" : "This is the first paper on the responsivness", "publisher-place" : "Geneva", "title" : "A framework for measuring responsiveness", "type" : "report" }, "uris" : [ "http://www.mendeley.com/documents/?uuid=a2f1d58e-57c1-4363-9a2a-cb122ccac4c0" ] }, { "id" : "ITEM-2", "itemData" : { "author" : [ { "dropping-particle" : "", "family" : "Letkovicova", "given" : "Hana", "non-dropping-particle" : "", "parse-names" : false, "suffix" : "" }, { "dropping-particle" : "", "family" : "Prasad", "given" : "Amit", "non-dropping-particle" : "", "parse-names" : false, "suffix" : "" }, { "dropping-particle" : "La", "family" : "Valle\u0301e", "given" : "Rene\u0301", "non-dropping-particle" : "", "parse-names" : false, "suffix" : "" }, { "dropping-particle" : "", "family" : "Valentine", "given" : "Nicole", "non-dropping-particle" : "", "parse-names" : false, "suffix" : "" }, { "dropping-particle" : "", "family" : "Adhikari", "given" : "Pramod", "non-dropping-particle" : "", "parse-names" : false, "suffix" : "" }, { "dropping-particle" : "van der", "family" : "Heide", "given" : "George W", "non-dropping-particle" : "", "parse-names" : false, "suffix" : "" } ], "id" : "ITEM-2", "issued" : { "date-parts" : [ [ "2005" ] ] }, "publisher-place" : "Geneva", "title" : "The health systems responsiveness analytical guidelines for surveys in the multi-country survey study", "type" : "report" }, "uris" : [ "http://www.mendeley.com/documents/?uuid=4096a533-98a2-45ce-835e-57ed22b354ac" ] } ], "mendeley" : { "formattedCitation" : "(De Silva, 1999; Letkovicova et al., 2005)", "manualFormatting" : "DeSilva, 1999; Letkovicova et al., 2005", "plainTextFormattedCitation" : "(De Silva, 1999; Letkovicova et al., 2005)", "previouslyFormattedCitation" : "(DeSilva, 1999; Letkovicova et al., 2005)" }, "properties" : { "noteIndex" : 0 }, "schema" : "https://github.com/citation-style-language/schema/raw/master/csl-citation.json" }</w:instrText>
            </w:r>
            <w:r w:rsidRPr="00A70A90">
              <w:rPr>
                <w:rFonts w:ascii="Times New Roman" w:hAnsi="Times New Roman" w:cs="Times New Roman"/>
                <w:noProof/>
                <w:lang w:eastAsia="zh-CN"/>
              </w:rPr>
              <w:fldChar w:fldCharType="separate"/>
            </w:r>
            <w:r w:rsidRPr="00A70A90">
              <w:rPr>
                <w:rFonts w:ascii="Times New Roman" w:hAnsi="Times New Roman" w:cs="Times New Roman"/>
                <w:noProof/>
                <w:lang w:eastAsia="zh-CN"/>
              </w:rPr>
              <w:t>DeSilva, 1999; Letkovicova et al., 2005</w:t>
            </w:r>
            <w:r w:rsidRPr="00A70A90">
              <w:rPr>
                <w:rFonts w:ascii="Times New Roman" w:hAnsi="Times New Roman" w:cs="Times New Roman"/>
                <w:noProof/>
                <w:lang w:eastAsia="zh-CN"/>
              </w:rPr>
              <w:fldChar w:fldCharType="end"/>
            </w:r>
          </w:p>
        </w:tc>
      </w:tr>
      <w:tr w:rsidR="003128BD" w:rsidRPr="004D340D" w14:paraId="26248F10" w14:textId="09FB1540" w:rsidTr="003128BD">
        <w:tc>
          <w:tcPr>
            <w:tcW w:w="1036" w:type="dxa"/>
          </w:tcPr>
          <w:p w14:paraId="110FE407"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16</w:t>
            </w:r>
          </w:p>
        </w:tc>
        <w:tc>
          <w:tcPr>
            <w:tcW w:w="5433" w:type="dxa"/>
          </w:tcPr>
          <w:p w14:paraId="29AB8CC1" w14:textId="77777777" w:rsidR="003128BD" w:rsidRPr="00A70A90" w:rsidRDefault="003128BD" w:rsidP="003128BD">
            <w:pPr>
              <w:spacing w:after="0" w:line="240" w:lineRule="auto"/>
              <w:rPr>
                <w:rFonts w:ascii="Times New Roman" w:hAnsi="Times New Roman" w:cs="Times New Roman"/>
                <w:i/>
              </w:rPr>
            </w:pPr>
            <w:r w:rsidRPr="00A70A90">
              <w:rPr>
                <w:rFonts w:ascii="Times New Roman" w:hAnsi="Times New Roman" w:cs="Times New Roman"/>
                <w:i/>
              </w:rPr>
              <w:t>Maintaining confidentiality of information</w:t>
            </w:r>
          </w:p>
        </w:tc>
        <w:tc>
          <w:tcPr>
            <w:tcW w:w="1522" w:type="dxa"/>
          </w:tcPr>
          <w:p w14:paraId="35438209" w14:textId="77777777" w:rsidR="003128BD" w:rsidRPr="00A70A90" w:rsidRDefault="003128BD" w:rsidP="003128BD">
            <w:pPr>
              <w:spacing w:after="0" w:line="240" w:lineRule="auto"/>
              <w:jc w:val="center"/>
              <w:rPr>
                <w:rFonts w:ascii="Times New Roman" w:hAnsi="Times New Roman" w:cs="Times New Roman"/>
              </w:rPr>
            </w:pPr>
          </w:p>
        </w:tc>
        <w:tc>
          <w:tcPr>
            <w:tcW w:w="2157" w:type="dxa"/>
          </w:tcPr>
          <w:p w14:paraId="79E05667"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2E5FA408"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006AEDE7" w14:textId="626F777F"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noProof/>
                <w:lang w:eastAsia="zh-CN"/>
              </w:rPr>
              <w:fldChar w:fldCharType="begin" w:fldLock="1"/>
            </w:r>
            <w:r w:rsidR="002B2DFD">
              <w:rPr>
                <w:rFonts w:ascii="Times New Roman" w:hAnsi="Times New Roman" w:cs="Times New Roman"/>
                <w:noProof/>
                <w:lang w:eastAsia="zh-CN"/>
              </w:rPr>
              <w:instrText>ADDIN CSL_CITATION { "citationItems" : [ { "id" : "ITEM-1", "itemData" : { "author" : [ { "dropping-particle" : "", "family" : "Silva", "given" : "Amala", "non-dropping-particle" : "De", "parse-names" : false, "suffix" : "" } ], "id" : "ITEM-1", "issue" : "32", "issued" : { "date-parts" : [ [ "1999" ] ] }, "note" : "This is the first paper on the responsivness", "publisher-place" : "Geneva", "title" : "A framework for measuring responsiveness", "type" : "report" }, "uris" : [ "http://www.mendeley.com/documents/?uuid=a2f1d58e-57c1-4363-9a2a-cb122ccac4c0" ] }, { "id" : "ITEM-2", "itemData" : { "author" : [ { "dropping-particle" : "", "family" : "Letkovicova", "given" : "Hana", "non-dropping-particle" : "", "parse-names" : false, "suffix" : "" }, { "dropping-particle" : "", "family" : "Prasad", "given" : "Amit", "non-dropping-particle" : "", "parse-names" : false, "suffix" : "" }, { "dropping-particle" : "La", "family" : "Valle\u0301e", "given" : "Rene\u0301", "non-dropping-particle" : "", "parse-names" : false, "suffix" : "" }, { "dropping-particle" : "", "family" : "Valentine", "given" : "Nicole", "non-dropping-particle" : "", "parse-names" : false, "suffix" : "" }, { "dropping-particle" : "", "family" : "Adhikari", "given" : "Pramod", "non-dropping-particle" : "", "parse-names" : false, "suffix" : "" }, { "dropping-particle" : "van der", "family" : "Heide", "given" : "George W", "non-dropping-particle" : "", "parse-names" : false, "suffix" : "" } ], "id" : "ITEM-2", "issued" : { "date-parts" : [ [ "2005" ] ] }, "publisher-place" : "Geneva", "title" : "The health systems responsiveness analytical guidelines for surveys in the multi-country survey study", "type" : "report" }, "uris" : [ "http://www.mendeley.com/documents/?uuid=4096a533-98a2-45ce-835e-57ed22b354ac" ] } ], "mendeley" : { "formattedCitation" : "(De Silva, 1999; Letkovicova et al., 2005)", "manualFormatting" : "DeSilva, 1999; Letkovicova et al., 2005", "plainTextFormattedCitation" : "(De Silva, 1999; Letkovicova et al., 2005)", "previouslyFormattedCitation" : "(DeSilva, 1999; Letkovicova et al., 2005)" }, "properties" : { "noteIndex" : 0 }, "schema" : "https://github.com/citation-style-language/schema/raw/master/csl-citation.json" }</w:instrText>
            </w:r>
            <w:r w:rsidRPr="00A70A90">
              <w:rPr>
                <w:rFonts w:ascii="Times New Roman" w:hAnsi="Times New Roman" w:cs="Times New Roman"/>
                <w:noProof/>
                <w:lang w:eastAsia="zh-CN"/>
              </w:rPr>
              <w:fldChar w:fldCharType="separate"/>
            </w:r>
            <w:r w:rsidRPr="00A70A90">
              <w:rPr>
                <w:rFonts w:ascii="Times New Roman" w:hAnsi="Times New Roman" w:cs="Times New Roman"/>
                <w:noProof/>
                <w:lang w:eastAsia="zh-CN"/>
              </w:rPr>
              <w:t>DeSilva, 1999; Letkovicova et al., 2005</w:t>
            </w:r>
            <w:r w:rsidRPr="00A70A90">
              <w:rPr>
                <w:rFonts w:ascii="Times New Roman" w:hAnsi="Times New Roman" w:cs="Times New Roman"/>
                <w:noProof/>
                <w:lang w:eastAsia="zh-CN"/>
              </w:rPr>
              <w:fldChar w:fldCharType="end"/>
            </w:r>
          </w:p>
        </w:tc>
      </w:tr>
      <w:tr w:rsidR="003128BD" w:rsidRPr="004D340D" w14:paraId="681BC672" w14:textId="21356C7E" w:rsidTr="003128BD">
        <w:tc>
          <w:tcPr>
            <w:tcW w:w="1036" w:type="dxa"/>
          </w:tcPr>
          <w:p w14:paraId="63912F94"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17</w:t>
            </w:r>
          </w:p>
        </w:tc>
        <w:tc>
          <w:tcPr>
            <w:tcW w:w="5433" w:type="dxa"/>
          </w:tcPr>
          <w:p w14:paraId="53DB27A4"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Suggestions on disease prevention and health promotion in general</w:t>
            </w:r>
          </w:p>
        </w:tc>
        <w:tc>
          <w:tcPr>
            <w:tcW w:w="1522" w:type="dxa"/>
          </w:tcPr>
          <w:p w14:paraId="198CA77B"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17</w:t>
            </w:r>
          </w:p>
        </w:tc>
        <w:tc>
          <w:tcPr>
            <w:tcW w:w="2157" w:type="dxa"/>
          </w:tcPr>
          <w:p w14:paraId="4401D88C"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15DD5BE9"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198FF2BF" w14:textId="3D1DAEB8"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lang w:eastAsia="zh-CN"/>
              </w:rPr>
              <w:fldChar w:fldCharType="begin" w:fldLock="1"/>
            </w:r>
            <w:r w:rsidR="002B2DFD">
              <w:rPr>
                <w:rFonts w:ascii="Times New Roman" w:hAnsi="Times New Roman" w:cs="Times New Roman"/>
                <w:lang w:eastAsia="zh-CN"/>
              </w:rPr>
              <w:instrText>ADDIN CSL_CITATION { "citationItems" : [ { "id" : "ITEM-1", "itemData" : { "ISSN" : "1744-5019", "PMID" : "24408501", "author" : [ { "dropping-particle" : "", "family" : "Darby", "given" : "Charles", "non-dropping-particle" : "", "parse-names" : false, "suffix" : "" }, { "dropping-particle" : "", "family" : "Valentine", "given" : "Nicole", "non-dropping-particle" : "", "parse-names" : false, "suffix" : "" }, { "dropping-particle" : "", "family" : "Murray", "given" : "Christopher J L", "non-dropping-particle" : "", "parse-names" : false, "suffix" : "" }, { "dropping-particle" : "", "family" : "Silva", "given" : "Amala", "non-dropping-particle" : "De", "parse-names" : false, "suffix" : "" } ], "container-title" : "The Journal of medicine and philosophy", "id" : "ITEM-1", "issue" : "1", "issued" : { "date-parts" : [ [ "2000", "2" ] ] }, "number-of-pages" : "2", "publisher-place" : "Geneva", "title" : "World Health Organization: Strategy on measuring responsiveness", "type" : "report", "volume" : "39" }, "uris" : [ "http://www.mendeley.com/documents/?uuid=b8819ca2-f07e-4c00-9721-8bb396766eae" ] }, { "id" : "ITEM-2", "itemData" : { "abstract" : "Measuring the performance of health systems has become a key tool in aiding decision makers to describe, analyze, compare and ultimately improve the delivery and outcomes achieved by a system. The World Health Organization\u2019s (WHO) framework for assessing performance includes three intrinsic goals of health systems, namely health improvement, fairness in financial contribution and responsiveness to user preferences. Broadly speaking health system responsiveness can be defined as the way in which individuals are treated and the environment in which they are treated, encompassing the notion of patient experience. Perhaps the most ambitious attempt to implement a cross-country comparative instrument aimed at measuring health system performance is the World Health Survey (WHS). The modules on responsiveness and health ask respondents to rate their experiences using a 5-point categorical scale (e.g. very good to very bad). A common problem with self-reported data is that individuals, when faced with the instrument, are likely to interpret the meaning of the response categories in a way that systematically differs across populations or population sub-groups. In such cases the ordinal response categories will not be cross-population comparable since they will not imply the same underlying level of the construct. Recently the method of anchoring vignettes has been promoted as a means for controlling for systematic differences across socioeconomic groups in preferences, expectations and norms when responding to survey questions. This paper applies the method of anchoring vignettes to adjust survey reports of responsiveness for reporting heterogeneity. We present preliminary results for a selected number of domains and countries to illustrate the approach and find systematic reporting by income and education, but not by age and gender. Further analysis will extend the method to a larger set of countries and domains to investigate more fully the application of the approach for international comparative analysis of health system performance.", "author" : [ { "dropping-particle" : "", "family" : "Rice", "given" : "Nigel", "non-dropping-particle" : "", "parse-names" : false, "suffix" : "" }, { "dropping-particle" : "", "family" : "Robone", "given" : "Silvana", "non-dropping-particle" : "", "parse-names" : false, "suffix" : "" }, { "dropping-particle" : "", "family" : "Smith", "given" : "Peter C", "non-dropping-particle" : "", "parse-names" : false, "suffix" : "" } ], "container-title" : "Health, Econometrics and Data Group (HEDG) Working Papers", "id" : "ITEM-2", "issue" : "March", "issued" : { "date-parts" : [ [ "2008" ] ] }, "number-of-pages" : "20", "publisher" : "HEDG, c/o Department of Economics, University of York", "title" : "The measurement and comparison of health system responsiveness", "type" : "report" }, "uris" : [ "http://www.mendeley.com/documents/?uuid=be8887fd-2226-4739-afcc-075758a6298c" ] }, { "id" : "ITEM-3", "itemData" : { "DOI" : "10.1186/1471-2296-7-72", "ISBN" : "1471-2296 (Electronic)\\r1471-2296 (Linking)", "ISSN" : "1471-2296", "PMID" : "17156424", "abstract" : "BACKGROUND: A good patient-physician interaction is particularly important in chronic diseases like diabetes. There are so far no published data regarding the interaction between the primary health-care providers and patients with type 2 diabetes in Oman, where diabetes is a major and growing health problem. This study aimed at exploring how health-care providers interact with patients with type 2 diabetes at primary health-care level in Muscat, Oman, focusing on the consultation environment, and some aspects of care and information. METHODS: Direct observations of 90 consultations between 23 doctors and 13 diabetes nurses concerned with diabetes management during their consultations with type 2 diabetes patients in six primary health-care centres in the Muscat region, using checklists developed from the National Diabetes Guidelines. Consultations were assessed as optimal if more than 75% of observed aspects were fulfilled and sub-optimal if less than 50% were fulfilled. RESULTS: Overall 52% of the doctors' consultations were not optimal. Some important aspects for a positive consultation environment were fulfilled in only about half of the doctors' consultations: ensuring privacy of consultation (49%), eye contact (49%), good attention (52%), encouraging asking questions (47%), and emphasizing on the patients' understanding of the provided information (52%). The doctors inquired about adverse effects of anti-diabetes drugs in less than 10% of consultations. The quality of the nurses' consultations was sub-optimal in about 75% of 85 consultations regarding aspects of consultation environment, care and information. CONCLUSION: The performance of the primary health-care doctors and diabetes nurses needs to be improved. The role of the diabetes nurses and the teamwork should be enhanced. We suggest a multidisciplinary team approach, training and education to the providers to upgrade their skills regarding communication and care. Barriers to compliance with the guidelines need to be further explored. Improving the work situation mainly for the diabetes nurses and further improvement in the organizational efficiency of diabetes services such as lowering the number of patients in diabetes clinic, are suggested.", "author" : [ { "dropping-particle" : "", "family" : "Abdulhadi", "given" : "Nadia", "non-dropping-particle" : "", "parse-names" : false, "suffix" : "" }, { "dropping-particle" : "", "family" : "Al-Shafaee", "given" : "Mohammed Ali", "non-dropping-particle" : "", "parse-names" : false, "suffix" : "" }, { "dropping-particle" : "", "family" : "Ostenson", "given" : "Claes-G\u00f6ran", "non-dropping-particle" : "", "parse-names" : false, "suffix" : "" }, { "dropping-particle" : "", "family" : "Vernby", "given" : "Asa", "non-dropping-particle" : "", "parse-names" : false, "suffix" : "" }, { "dropping-particle" : "", "family" : "Wahlstr\u00f6m", "given" : "Rolf", "non-dropping-particle" : "", "parse-names" : false, "suffix" : "" } ], "container-title" : "BMC family practice", "id" : "ITEM-3", "issued" : { "date-parts" : [ [ "2006" ] ] }, "page" : "72", "title" : "Quality of interaction between primary health-care providers and patients with type 2 diabetes in Muscat, Oman: an observational study.", "type" : "article-journal", "volume" : "7" }, "uris" : [ "http://www.mendeley.com/documents/?uuid=dafc7419-ac9f-4d97-9f44-e78781973afe" ] }, { "id" : "ITEM-4", "itemData" : { "ISBN" : "0893-8652", "ISSN" : "0893-8652", "PMID" : "11841136", "abstract" : "BACKGROUND: The physician-patient interview is the key component of all health care, particularly of primary medical care. This review sought to evaluate existing primary-care-based research studies to determine which verbal and nonverbal behaviors on the part of the physician during the medical encounter have been linked in empirical studies with favorable patient outcomes. METHODS: We reviewed the literature from 1975 to 2000 for studies of office interactions between primary care physicians and patients that evaluated these interactions empirically using neutral observers who coded observed encounters, videotapes, or audiotapes. Each study was reviewed for the quality of the methods and to find statistically significant relations between specific physician behaviors and patient outcomes. In examining nonverbal behaviors, because of a paucity of clinical outcome studies, outcomes were expanded to include associations with patient characteristics or subjective ratings of the interaction by observers. RESULTS: We found 14 studies of verbal communication and 8 studies of nonverbal communication that met inclusion criteria. Verbal behaviors positively associated with health outcomes included empathy, reassurance and support, various patient-centered questioning techniques, encounter length, history taking, explanations, both dominant and passive physician styles, positive reinforcement, humor, psychosocial talk, time in health education and information sharing, friendliness, courtesy, orienting the patient during examination, and summarization and clarification. Nonverbal behaviors positively associated with outcomes included head nodding, forward lean, direct body orientation, uncrossed legs and arms, arm symmetry, and less mutual gaze. CONCLUSION: Existing research is limited because of lack of consensus of what to measure, conflicting findings, and relative lack of empirical studies (especially of nonverbal behavior). Nonetheless, medical educators should focus on teaching and reinforcing behaviors known to be facilitative, and to continue to understand further how physician behavior can enhance favorable patient outcomes, such as understanding and adherence to medical regimens and overall satisfaction.", "author" : [ { "dropping-particle" : "", "family" : "Beck", "given" : "Rainer S", "non-dropping-particle" : "", "parse-names" : false, "suffix" : "" }, { "dropping-particle" : "", "family" : "Daughtridge", "given" : "Rebecca", "non-dropping-particle" : "", "parse-names" : false, "suffix" : "" }, { "dropping-particle" : "", "family" : "Sloane", "given" : "Philip D", "non-dropping-particle" : "", "parse-names" : false, "suffix" : "" } ], "container-title" : "The Journal of the American Board of Family Practice / American Board of Family Practice", "id" : "ITEM-4", "issue" : "1", "issued" : { "date-parts" : [ [ "2000" ] ] }, "page" : "25-38", "title" : "Physician-patient communication in the primary care office: a systematic review.", "type" : "article-journal", "volume" : "15" }, "uris" : [ "http://www.mendeley.com/documents/?uuid=4f428e78-1aa3-4810-aad2-6aa695f77c16" ] }, { "id" : "ITEM-5", "itemData" : { "DOI" : "10.1016/S0738-3991(01)00136-7", "ISBN" : "0738-3991 (Print) 0738-3991 (Linking)", "ISSN" : "0738-3991 (Print) 0738-3991 (Linking)", "PMID" : "11602365", "abstract" : "This article examines uses and characteristics of the SEGUE Framework, a research-based checklist of medical communication tasks. A recent survey of US and Canadian medical schools indicates that the SEGUE Framework is the most widely used structure for communication skills teaching and assessment in North America. Student and faculty response to the SEGUE Framework as a teaching tool has been positive. Data drawn from clinical skills assessments with standardized patients provide evidence of concurrent and construct validity. Analysis of visits between general internists and their patients reinforces validity of the SEGUE Framework in an actual practice setting. Interrater reliability is high when standardized patients are recording student performance immediately after a live encounter, and when coders are evaluating videotaped or audiotaped encounters; intrarater reliability is strong as well. The SEGUE Framework has a high degree of acceptability, can be used reliably, has evidence of validity, and is applicable to a variety of contexts. Studies of predictive validity are needed.", "author" : [ { "dropping-particle" : "", "family" : "Makoul", "given" : "G", "non-dropping-particle" : "", "parse-names" : false, "suffix" : "" } ], "container-title" : "Patient education and counseling", "id" : "ITEM-5", "issue" : "1", "issued" : { "date-parts" : [ [ "2001" ] ] }, "page" : "23-34", "title" : "The SEGUE Framework for teaching and assessing communication skills.", "type" : "article-journal", "volume" : "45" }, "uris" : [ "http://www.mendeley.com/documents/?uuid=910716af-5254-4057-bdec-635dc3a0b4f5" ] }, { "id" : "ITEM-6", "itemData" : { "DOI" : "10.1093/intqhc/mzl049", "ISBN" : "1353-4505 (Print)\\n1353-4505 (Linking)", "ISSN" : "1353-4505", "PMID" : "17012306", "abstract" : "OBJECTIVE: . (i) To develop a reliable and valid scale to measure in-patient and outpatient perceptions of quality in India and (ii) to identify aspects of perceived quality which have large effects on patient satisfaction. DESIGN: Cross-sectional survey of health facilities and patients at clinics. SETTING: Primary health centers, community health centers, district hospitals, and female district hospitals in the state of Uttar Pradesh in north India. MAIN OUTCOME MEASURES: Internal consistency, validity, and factor structure of the scale are evaluated. The association between patient satisfaction and perceived quality dimensions is examined. RESULTS: A 16-item scale having good reliability and validity is developed. Five dimensions of perceived quality are identified-medicine availability, medical information, staff behavior, doctor behavior, and hospital infrastructure. Patient perceptions of quality at public health facilities are slightly better than neutral. Multivariate regression analysis results indicate that for outpatients, doctor behavior has the largest effect on general patient satisfaction followed by medicine availability, hospital infrastructure, staff behavior, and medical information. For in-patients, staff behavior has the largest effect followed by doctor behavior, medicine availability, medical information, and hospital infrastructure. CONCLUSIONS: The scale developed can be used to measure perceived quality at a range of facility types for outpatients and in-patients. Perceived quality at public facilities is only marginally favorable, leaving much scope for improvement. Better staff and physician interpersonal skills, facility infrastructure, and availability of drugs have the largest effect in improving patient satisfaction at public health facilities.", "author" : [ { "dropping-particle" : "", "family" : "Rao", "given" : "Krishna Dipankar", "non-dropping-particle" : "", "parse-names" : false, "suffix" : "" }, { "dropping-particle" : "", "family" : "Peters", "given" : "David H.", "non-dropping-particle" : "", "parse-names" : false, "suffix" : "" }, { "dropping-particle" : "", "family" : "Bandeen-Roche", "given" : "Karen", "non-dropping-particle" : "", "parse-names" : false, "suffix" : "" } ], "container-title" : "International journal for quality in health care : journal of the International Society for Quality in Health Care / ISQua", "id" : "ITEM-6", "issue" : "6", "issued" : { "date-parts" : [ [ "2006", "12", "1" ] ] }, "page" : "414-421", "title" : "Towards patient-centered health services in India--a scale to measure patient perceptions of quality.", "type" : "article-journal", "volume" : "18" }, "uris" : [ "http://www.mendeley.com/documents/?uuid=e5b99dc0-7d6a-4ac0-b98e-3e7c2639020d" ] }, { "id" : "ITEM-7", "itemData" : { "author" : [ { "dropping-particle" : "", "family" : "Sirven", "given" : "Nicolas", "non-dropping-particle" : "", "parse-names" : false, "suffix" : "" }, { "dropping-particle" : "", "family" : "Santos-Eggimann", "given" : "Brigitte", "non-dropping-particle" : "", "parse-names" : false, "suffix" : "" }, { "dropping-particle" : "", "family" : "Spagnoli", "given" : "Jacques", "non-dropping-particle" : "", "parse-names" : false, "suffix" : "" } ], "id" : "ITEM-7", "issue" : "September", "issued" : { "date-parts" : [ [ "2008" ] ] }, "number-of-pages" : "14", "publisher" : "Institut de recherche et documentation en \u00e9conomie de la sant\u00e9", "title" : "Comparability of Health Care Responsiveness in Europe Using Anchoring Vignettes from Survey of Health, Aging and Retirement in Europe", "type" : "report" }, "uris" : [ "http://www.mendeley.com/documents/?uuid=1315d1ba-a00d-4a90-b95e-07f7c5e15a33" ] }, { "id" : "ITEM-8", "itemData" : { "DOI" : "10.1007/s11136-007-9189-1", "ISSN" : "0962-9343", "PMID" : "17624815", "abstract" : "OBJECTIVE: To evaluate, for different populations, psychometric properties of questions on \"health systems responsiveness\", a concept developed by World Health Organization (WHO) to describe non-clinical and non-financial aspects of quality of health care. DATA SOURCES/STUDY SETTING/DATA COLLECTION: The 2000-2002 WHO Multi-Country Study comprised 70 general population surveys. Forty-one surveys were interviewer-administered, from which we extracted respondent records indicating ambulatory and inpatient health services use (excluding long-term institutions) in the previous 12 months (50,876 ambulatory and 7,964 hospital interviews).\n\nSTUDY DESIGN: We evaluated feasibility, reliability, and construct validity using 33 items with polytomous response options, comparing responses from populations identified by countries, sex, age, education, health and income.\n\nPRINCIPAL FINDINGS: Average item missing rates ranged from 0 to 16%. Domain-specific alpha coefficients exceeded 0.7 in 7 (of 9) cases. Average intertemporal reliability was acceptable in 6 (of 10) sites, where Kappas ranged from 0.54 to 0.79, but low in 4 sites (K &lt; 0.5). Kappa statistics were higher for male, educated and healthier populations than for female, less educated and less healthy populations. Factor solutions confirmed the domain structure of 7 domains (only 7 were operationalized for ambulatory settings). As in other studies, higher incomes and age was associated with more positive responsiveness reports and ratings.\n\nCONCLUSIONS: Quality issues addressed by WHO's questions are understood and reported adequately across diverse populations. More research is needed to interpret user-assessed quality of care comparisons across population groups within and between countries.", "author" : [ { "dropping-particle" : "", "family" : "Valentine", "given" : "N B", "non-dropping-particle" : "", "parse-names" : false, "suffix" : "" }, { "dropping-particle" : "", "family" : "Bonsel", "given" : "G J", "non-dropping-particle" : "", "parse-names" : false, "suffix" : "" }, { "dropping-particle" : "", "family" : "Murray", "given" : "Christopher J L", "non-dropping-particle" : "", "parse-names" : false, "suffix" : "" } ], "container-title" : "Quality of life research : an international journal of quality of life aspects of treatment, care and rehabilitation", "id" : "ITEM-8", "issue" : "7", "issued" : { "date-parts" : [ [ "2007", "9" ] ] }, "page" : "1107-25", "title" : "Measuring quality of health care from the user's perspective in 41 countries: psychometric properties of WHO's questions on health systems responsiveness.", "type" : "article-journal", "volume" : "16" }, "uris" : [ "http://www.mendeley.com/documents/?uuid=55d306ce-8899-4bb0-bd1c-a2ef13bb66ff" ] } ], "mendeley" : { "formattedCitation" : "(Abdulhadi et al., 2006; Beck et al., 2000; Darby et al., 2000; Makoul, 2001; Rao et al., 2006; Rice, Robone, &amp; Smith, 2008; Sirven, Santos-Eggimann, &amp; Spagnoli, 2008; Valentine, Bonsel, &amp; Murray, 2007)", "manualFormatting" : "Abdulhadi et al., 2006; Beck et al., 2000; Darby et al., 2000; Makoul, 2001; Rao et al., 2006; Rice et al., 2008a; Sirven et al., 2008; Valentine et al., 2007", "plainTextFormattedCitation" : "(Abdulhadi et al., 2006; Beck et al., 2000; Darby et al., 2000; Makoul, 2001; Rao et al., 2006; Rice, Robone, &amp; Smith, 2008; Sirven, Santos-Eggimann, &amp; Spagnoli, 2008; Valentine, Bonsel, &amp; Murray, 2007)", "previouslyFormattedCitation" : "(Abdulhadi et al., 2006; Beck et al., 2000; Darby et al., 2000; Makoul, 2001; Rao et al., 2006; Rice et al., 2008a; Sirven et al., 2008; Valentine et al., 2007)" }, "properties" : { "noteIndex" : 0 }, "schema" : "https://github.com/citation-style-language/schema/raw/master/csl-citation.json" }</w:instrText>
            </w:r>
            <w:r w:rsidRPr="00A70A90">
              <w:rPr>
                <w:rFonts w:ascii="Times New Roman" w:hAnsi="Times New Roman" w:cs="Times New Roman"/>
                <w:lang w:eastAsia="zh-CN"/>
              </w:rPr>
              <w:fldChar w:fldCharType="separate"/>
            </w:r>
            <w:r w:rsidRPr="00A70A90">
              <w:rPr>
                <w:rFonts w:ascii="Times New Roman" w:hAnsi="Times New Roman" w:cs="Times New Roman"/>
                <w:noProof/>
                <w:lang w:eastAsia="zh-CN"/>
              </w:rPr>
              <w:t>Abdulhadi et al., 2006; Beck et al., 2000; Darby et al., 2000; Makoul, 2001; Rao et al., 2006; Rice et al., 2008a; Sirven et al., 2008; Valentine et al., 2007</w:t>
            </w:r>
            <w:r w:rsidRPr="00A70A90">
              <w:rPr>
                <w:rFonts w:ascii="Times New Roman" w:hAnsi="Times New Roman" w:cs="Times New Roman"/>
                <w:lang w:eastAsia="zh-CN"/>
              </w:rPr>
              <w:fldChar w:fldCharType="end"/>
            </w:r>
          </w:p>
        </w:tc>
      </w:tr>
      <w:tr w:rsidR="003128BD" w:rsidRPr="004D340D" w14:paraId="79B3B459" w14:textId="4260479D" w:rsidTr="003128BD">
        <w:tc>
          <w:tcPr>
            <w:tcW w:w="1036" w:type="dxa"/>
          </w:tcPr>
          <w:p w14:paraId="0C98E43A"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18</w:t>
            </w:r>
          </w:p>
        </w:tc>
        <w:tc>
          <w:tcPr>
            <w:tcW w:w="5433" w:type="dxa"/>
          </w:tcPr>
          <w:p w14:paraId="60782C42" w14:textId="77777777" w:rsidR="003128BD" w:rsidRPr="00A70A90" w:rsidRDefault="003128BD" w:rsidP="003128BD">
            <w:pPr>
              <w:spacing w:after="0" w:line="240" w:lineRule="auto"/>
              <w:rPr>
                <w:rFonts w:ascii="Times New Roman" w:hAnsi="Times New Roman" w:cs="Times New Roman"/>
                <w:i/>
              </w:rPr>
            </w:pPr>
            <w:r w:rsidRPr="00A70A90">
              <w:rPr>
                <w:rFonts w:ascii="Times New Roman" w:hAnsi="Times New Roman" w:cs="Times New Roman"/>
                <w:i/>
              </w:rPr>
              <w:t>Referral practice</w:t>
            </w:r>
          </w:p>
        </w:tc>
        <w:tc>
          <w:tcPr>
            <w:tcW w:w="1522" w:type="dxa"/>
          </w:tcPr>
          <w:p w14:paraId="7D46B9BD" w14:textId="77777777" w:rsidR="003128BD" w:rsidRPr="00A70A90" w:rsidRDefault="003128BD" w:rsidP="003128BD">
            <w:pPr>
              <w:spacing w:after="0" w:line="240" w:lineRule="auto"/>
              <w:jc w:val="center"/>
              <w:rPr>
                <w:rFonts w:ascii="Times New Roman" w:hAnsi="Times New Roman" w:cs="Times New Roman"/>
              </w:rPr>
            </w:pPr>
          </w:p>
        </w:tc>
        <w:tc>
          <w:tcPr>
            <w:tcW w:w="2157" w:type="dxa"/>
          </w:tcPr>
          <w:p w14:paraId="1D5078BB"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33345528"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02A83967" w14:textId="4245162B"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"author" : [ { "dropping-particle" : "", "family" : "White", "given" : "D G", "non-dropping-particle" : "", "parse-names" : false, "suffix" : "" }, { "dropping-particle" : "", "family" : "Tiberius", "given" : "R", "non-dropping-particle" : "", "parse-names" : false, "suffix" : "" }, { "dropping-particle" : "", "family" : "Talbot", "given" : "Y", "non-dropping-particle" : "", "parse-names" : false, "suffix" : "" }, { "dropping-particle" : "", "family" : "Schiralli", "given" : "V", "non-dropping-particle" : "", "parse-names" : false, "suffix" : "" }, { "dropping-particle" : "", "family" : "Rickett", "given" : "M", "non-dropping-particle" : "", "parse-names" : false, "suffix" : "" } ], "container-title" : "Canadian Family Physician", "id" : "ITEM-1", "issued" : { "date-parts" : [ [ "1991" ] ] }, "page" : "64-70", "title" : "Improving Feedback for Medical Students in a Famnily Medicine Clerkship", "type" : "article-journal", "volume" : "37" }, "uris" : [ "http://www.mendeley.com/documents/?uuid=b5403e3f-50b7-4cb0-ab14-69cf5545cc85" ] } ], "mendeley" : { "formattedCitation" : "(D. G. White et al., 1991)", "manualFormatting" : "White et al., 1991", "plainTextFormattedCitation" : "(D. G. White et al., 1991)", "previouslyFormattedCitation" : "(D. G. White et al., 1991)"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White et al., 1991</w:t>
            </w:r>
            <w:r w:rsidRPr="00A70A90">
              <w:rPr>
                <w:rFonts w:ascii="Times New Roman" w:hAnsi="Times New Roman" w:cs="Times New Roman"/>
              </w:rPr>
              <w:fldChar w:fldCharType="end"/>
            </w:r>
          </w:p>
        </w:tc>
      </w:tr>
      <w:tr w:rsidR="003128BD" w:rsidRPr="004D340D" w14:paraId="6ADCEF7C" w14:textId="0AAEDAAB" w:rsidTr="003128BD">
        <w:tc>
          <w:tcPr>
            <w:tcW w:w="1036" w:type="dxa"/>
          </w:tcPr>
          <w:p w14:paraId="7E1AABD8"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19</w:t>
            </w:r>
          </w:p>
        </w:tc>
        <w:tc>
          <w:tcPr>
            <w:tcW w:w="5433" w:type="dxa"/>
          </w:tcPr>
          <w:p w14:paraId="603F84DD" w14:textId="77777777" w:rsidR="003128BD" w:rsidRPr="00A70A90" w:rsidRDefault="003128BD" w:rsidP="003128BD">
            <w:pPr>
              <w:spacing w:after="0" w:line="240" w:lineRule="auto"/>
              <w:rPr>
                <w:rFonts w:ascii="Times New Roman" w:hAnsi="Times New Roman" w:cs="Times New Roman"/>
                <w:i/>
              </w:rPr>
            </w:pPr>
            <w:r w:rsidRPr="00A70A90">
              <w:rPr>
                <w:rFonts w:ascii="Times New Roman" w:hAnsi="Times New Roman" w:cs="Times New Roman"/>
                <w:i/>
              </w:rPr>
              <w:t>Consultation with colleagues if in confusion</w:t>
            </w:r>
          </w:p>
        </w:tc>
        <w:tc>
          <w:tcPr>
            <w:tcW w:w="1522" w:type="dxa"/>
          </w:tcPr>
          <w:p w14:paraId="7FD8F4D0" w14:textId="77777777" w:rsidR="003128BD" w:rsidRPr="00A70A90" w:rsidRDefault="003128BD" w:rsidP="003128BD">
            <w:pPr>
              <w:spacing w:after="0" w:line="240" w:lineRule="auto"/>
              <w:jc w:val="center"/>
              <w:rPr>
                <w:rFonts w:ascii="Times New Roman" w:hAnsi="Times New Roman" w:cs="Times New Roman"/>
              </w:rPr>
            </w:pPr>
          </w:p>
        </w:tc>
        <w:tc>
          <w:tcPr>
            <w:tcW w:w="2157" w:type="dxa"/>
          </w:tcPr>
          <w:p w14:paraId="4134CA4C"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21418D78" w14:textId="77777777" w:rsidR="003128BD" w:rsidRPr="00A70A90" w:rsidRDefault="003128BD" w:rsidP="003128BD">
            <w:pPr>
              <w:spacing w:after="0" w:line="240" w:lineRule="auto"/>
              <w:jc w:val="center"/>
              <w:rPr>
                <w:rFonts w:ascii="Times New Roman" w:hAnsi="Times New Roman" w:cs="Times New Roman"/>
              </w:rPr>
            </w:pPr>
          </w:p>
        </w:tc>
        <w:tc>
          <w:tcPr>
            <w:tcW w:w="1907" w:type="dxa"/>
          </w:tcPr>
          <w:p w14:paraId="71079914" w14:textId="77777777" w:rsidR="003128BD" w:rsidRPr="00A70A90" w:rsidRDefault="003128BD" w:rsidP="003128BD">
            <w:pPr>
              <w:spacing w:after="0" w:line="240" w:lineRule="auto"/>
              <w:jc w:val="center"/>
              <w:rPr>
                <w:rFonts w:ascii="Times New Roman" w:hAnsi="Times New Roman" w:cs="Times New Roman"/>
              </w:rPr>
            </w:pPr>
          </w:p>
        </w:tc>
      </w:tr>
      <w:tr w:rsidR="003128BD" w:rsidRPr="004D340D" w14:paraId="20F578D1" w14:textId="4B88859F" w:rsidTr="003128BD">
        <w:tc>
          <w:tcPr>
            <w:tcW w:w="1036" w:type="dxa"/>
          </w:tcPr>
          <w:p w14:paraId="38DC5F69"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20</w:t>
            </w:r>
          </w:p>
        </w:tc>
        <w:tc>
          <w:tcPr>
            <w:tcW w:w="5433" w:type="dxa"/>
          </w:tcPr>
          <w:p w14:paraId="79450041" w14:textId="77777777" w:rsidR="003128BD" w:rsidRPr="00A70A90" w:rsidRDefault="003128BD" w:rsidP="003128BD">
            <w:pPr>
              <w:spacing w:after="0" w:line="240" w:lineRule="auto"/>
              <w:rPr>
                <w:rFonts w:ascii="Times New Roman" w:hAnsi="Times New Roman" w:cs="Times New Roman"/>
                <w:i/>
              </w:rPr>
            </w:pPr>
            <w:r w:rsidRPr="00A70A90">
              <w:rPr>
                <w:rFonts w:ascii="Times New Roman" w:hAnsi="Times New Roman" w:cs="Times New Roman"/>
                <w:i/>
              </w:rPr>
              <w:t>Allowing patients to choose doctors</w:t>
            </w:r>
          </w:p>
        </w:tc>
        <w:tc>
          <w:tcPr>
            <w:tcW w:w="1522" w:type="dxa"/>
          </w:tcPr>
          <w:p w14:paraId="6727B7E5" w14:textId="77777777" w:rsidR="003128BD" w:rsidRPr="00A70A90" w:rsidRDefault="003128BD" w:rsidP="003128BD">
            <w:pPr>
              <w:spacing w:after="0" w:line="240" w:lineRule="auto"/>
              <w:jc w:val="center"/>
              <w:rPr>
                <w:rFonts w:ascii="Times New Roman" w:hAnsi="Times New Roman" w:cs="Times New Roman"/>
              </w:rPr>
            </w:pPr>
          </w:p>
        </w:tc>
        <w:tc>
          <w:tcPr>
            <w:tcW w:w="2157" w:type="dxa"/>
          </w:tcPr>
          <w:p w14:paraId="79C6B6D0"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5760359C"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4F7B0EEF" w14:textId="5C1C9D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noProof/>
                <w:lang w:eastAsia="zh-CN"/>
              </w:rPr>
              <w:fldChar w:fldCharType="begin" w:fldLock="1"/>
            </w:r>
            <w:r w:rsidR="002B2DFD">
              <w:rPr>
                <w:rFonts w:ascii="Times New Roman" w:hAnsi="Times New Roman" w:cs="Times New Roman"/>
                <w:noProof/>
                <w:lang w:eastAsia="zh-CN"/>
              </w:rPr>
              <w:instrText>ADDIN CSL_CITATION { "citationItems" : [ { "id" : "ITEM-1", "itemData" : { "ISSN" : "1744-5019", "PMID" : "24408501", "author" : [ { "dropping-particle" : "", "family" : "Darby", "given" : "Charles", "non-dropping-particle" : "", "parse-names" : false, "suffix" : "" }, { "dropping-particle" : "", "family" : "Valentine", "given" : "Nicole", "non-dropping-particle" : "", "parse-names" : false, "suffix" : "" }, { "dropping-particle" : "", "family" : "Murray", "given" : "Christopher J L", "non-dropping-particle" : "", "parse-names" : false, "suffix" : "" }, { "dropping-particle" : "", "family" : "Silva", "given" : "Amala", "non-dropping-particle" : "De", "parse-names" : false, "suffix" : "" } ], "container-title" : "The Journal of medicine and philosophy", "id" : "ITEM-1", "issue" : "1", "issued" : { "date-parts" : [ [ "2000", "2" ] ] }, "number-of-pages" : "2", "publisher-place" : "Geneva", "title" : "World Health Organization: Strategy on measuring responsiveness", "type" : "report", "volume" : "39" }, "uris" : [ "http://www.mendeley.com/documents/?uuid=b8819ca2-f07e-4c00-9721-8bb396766eae" ] }, { "id" : "ITEM-2", "itemData" : { "author" : [ { "dropping-particle" : "", "family" : "Letkovicova", "given" : "Hana", "non-dropping-particle" : "", "parse-names" : false, "suffix" : "" }, { "dropping-particle" : "", "family" : "Prasad", "given" : "Amit", "non-dropping-particle" : "", "parse-names" : false, "suffix" : "" }, { "dropping-particle" : "La", "family" : "Valle\u0301e", "given" : "Rene\u0301", "non-dropping-particle" : "", "parse-names" : false, "suffix" : "" }, { "dropping-particle" : "", "family" : "Valentine", "given" : "Nicole", "non-dropping-particle" : "", "parse-names" : false, "suffix" : "" }, { "dropping-particle" : "", "family" : "Adhikari", "given" : "Pramod", "non-dropping-particle" : "", "parse-names" : false, "suffix" : "" }, { "dropping-particle" : "van der", "family" : "Heide", "given" : "George W", "non-dropping-particle" : "", "parse-names" : false, "suffix" : "" } ], "id" : "ITEM-2", "issued" : { "date-parts" : [ [ "2005" ] ] }, "publisher-place" : "Geneva", "title" : "The health systems responsiveness analytical guidelines for surveys in the multi-country survey study", "type" : "report" }, "uris" : [ "http://www.mendeley.com/documents/?uuid=4096a533-98a2-45ce-835e-57ed22b354ac" ] }, { "id" : "ITEM-3", "itemData" : { "DOI" : "10.1377/hlthaff.20.3.21", "ISSN" : "0278-2715", "author" : [ { "dropping-particle" : "", "family" : "Murray", "given" : "Christopher J L", "non-dropping-particle" : "", "parse-names" : false, "suffix" : "" }, { "dropping-particle" : "", "family" : "Kawabata", "given" : "Kei", "non-dropping-particle" : "", "parse-names" : false, "suffix" : "" }, { "dropping-particle" : "", "family" : "Valentine", "given" : "N.", "non-dropping-particle" : "", "parse-names" : false, "suffix" : "" } ], "container-title" : "Health Affairs", "id" : "ITEM-3", "issue" : "3", "issued" : { "date-parts" : [ [ "2001", "5", "1" ] ] }, "page" : "21-24", "title" : "People's Experience Versus People's Expectations", "type" : "article-journal", "volume" : "20" }, "uris" : [ "http://www.mendeley.com/documents/?uuid=621d735a-bb59-439f-ba50-e054ec1cb7c9" ] }, { "id" : "ITEM-4", "itemData" : { "abstract" : "Measuring the performance of health systems has become a key tool in aiding decision makers to describe, analyze, compare and ultimately improve the delivery and outcomes achieved by a system. The World Health Organization\u2019s (WHO) framework for assessing performance includes three intrinsic goals of health systems, namely health improvement, fairness in financial contribution and responsiveness to user preferences. Broadly speaking health system responsiveness can be defined as the way in which individuals are treated and the environment in which they are treated, encompassing the notion of patient experience. Perhaps the most ambitious attempt to implement a cross-country comparative instrument aimed at measuring health system performance is the World Health Survey (WHS). The modules on responsiveness and health ask respondents to rate their experiences using a 5-point categorical scale (e.g. very good to very bad). A common problem with self-reported data is that individuals, when faced with the instrument, are likely to interpret the meaning of the response categories in a way that systematically differs across populations or population sub-groups. In such cases the ordinal response categories will not be cross-population comparable since they will not imply the same underlying level of the construct. Recently the method of anchoring vignettes has been promoted as a means for controlling for systematic differences across socioeconomic groups in preferences, expectations and norms when responding to survey questions. This paper applies the method of anchoring vignettes to adjust survey reports of responsiveness for reporting heterogeneity. We present preliminary results for a selected number of domains and countries to illustrate the approach and find systematic reporting by income and education, but not by age and gender. Further analysis will extend the method to a larger set of countries and domains to investigate more fully the application of the approach for international comparative analysis of health system performance.", "author" : [ { "dropping-particle" : "", "family" : "Rice", "given" : "Nigel", "non-dropping-particle" : "", "parse-names" : false, "suffix" : "" }, { "dropping-particle" : "", "family" : "Robone", "given" : "Silvana", "non-dropping-particle" : "", "parse-names" : false, "suffix" : "" }, { "dropping-particle" : "", "family" : "Smith", "given" : "Peter C", "non-dropping-particle" : "", "parse-names" : false, "suffix" : "" } ], "container-title" : "Health, Econometrics and Data Group (HEDG) Working Papers", "id" : "ITEM-4", "issue" : "March", "issued" : { "date-parts" : [ [ "2008" ] ] }, "number-of-pages" : "20", "publisher" : "HEDG, c/o Department of Economics, University of York", "title" : "The measurement and comparison of health system responsiveness", "type" : "report" }, "uris" : [ "http://www.mendeley.com/documents/?uuid=be8887fd-2226-4739-afcc-075758a6298c" ] }, { "id" : "ITEM-5", "itemData" : { "author" : [ { "dropping-particle" : "", "family" : "Silva", "given" : "Amala", "non-dropping-particle" : "De", "parse-names" : false, "suffix" : "" } ], "id" : "ITEM-5", "issue" : "32", "issued" : { "date-parts" : [ [ "1999" ] ] }, "note" : "This is the first paper on the responsivness", "publisher-place" : "Geneva", "title" : "A framework for measuring responsiveness", "type" : "report" }, "uris" : [ "http://www.mendeley.com/documents/?uuid=a2f1d58e-57c1-4363-9a2a-cb122ccac4c0" ] }, { "id" : "ITEM-6", "itemData" : { "DOI" : "10.1007/s11136-007-9189-1", "ISSN" : "0962-9343", "PMID" : "17624815", "abstract" : "OBJECTIVE: To evaluate, for different populations, psychometric properties of questions on \"health systems responsiveness\", a concept developed by World Health Organization (WHO) to describe non-clinical and non-financial aspects of quality of health care. DATA SOURCES/STUDY SETTING/DATA COLLECTION: The 2000-2002 WHO Multi-Country Study comprised 70 general population surveys. Forty-one surveys were interviewer-administered, from which we extracted respondent records indicating ambulatory and inpatient health services use (excluding long-term institutions) in the previous 12 months (50,876 ambulatory and 7,964 hospital interviews).\n\nSTUDY DESIGN: We evaluated feasibility, reliability, and construct validity using 33 items with polytomous response options, comparing responses from populations identified by countries, sex, age, education, health and income.\n\nPRINCIPAL FINDINGS: Average item missing rates ranged from 0 to 16%. Domain-specific alpha coefficients exceeded 0.7 in 7 (of 9) cases. Average intertemporal reliability was acceptable in 6 (of 10) sites, where Kappas ranged from 0.54 to 0.79, but low in 4 sites (K &lt; 0.5). Kappa statistics were higher for male, educated and healthier populations than for female, less educated and less healthy populations. Factor solutions confirmed the domain structure of 7 domains (only 7 were operationalized for ambulatory settings). As in other studies, higher incomes and age was associated with more positive responsiveness reports and ratings.\n\nCONCLUSIONS: Quality issues addressed by WHO's questions are understood and reported adequately across diverse populations. More research is needed to interpret user-assessed quality of care comparisons across population groups within and between countries.", "author" : [ { "dropping-particle" : "", "family" : "Valentine", "given" : "N B", "non-dropping-particle" : "", "parse-names" : false, "suffix" : "" }, { "dropping-particle" : "", "family" : "Bonsel", "given" : "G J", "non-dropping-particle" : "", "parse-names" : false, "suffix" : "" }, { "dropping-particle" : "", "family" : "Murray", "given" : "Christopher J L", "non-dropping-particle" : "", "parse-names" : false, "suffix" : "" } ], "container-title" : "Quality of life research : an international journal of quality of life aspects of treatment, care and rehabilitation", "id" : "ITEM-6", "issue" : "7", "issued" : { "date-parts" : [ [ "2007", "9" ] ] }, "page" : "1107-25", "title" : "Measuring quality of health care from the user's perspective in 41 countries: psychometric properties of WHO's questions on health systems responsiveness.", "type" : "article-journal", "volume" : "16" }, "uris" : [ "http://www.mendeley.com/documents/?uuid=55d306ce-8899-4bb0-bd1c-a2ef13bb66ff" ] }, { "id" : "ITEM-7", "itemData" : { "author" : [ { "dropping-particle" : "", "family" : "World Health Organization", "given" : "", "non-dropping-particle" : "", "parse-names" : false, "suffix" : "" } ], "id" : "ITEM-7", "issued" : { "date-parts" : [ [ "2000" ] ] }, "note" : "From Duplicate 2 ( \n\n\nThe World health report 2000 : health systems : improving performance.\n\n\n- World Health Organization )\n\n", "publisher-place" : "Geneva", "title" : "The World health report 2000 : health systems : improving performance.", "type" : "report" }, "uris" : [ "http://www.mendeley.com/documents/?uuid=6cb03831-ae19-44c5-990e-14bac78140c0" ] }, { "id" : "ITEM-8", "itemData" : { "DOI" : "10.1093/eurpub/cki004", "ISSN" : "1101-1262", "PMID" : "15975955", "abstract" : "BACKGROUND: Responsiveness to patients is now seen as a key characteristic of effective health systems. This study aimed to learn more about European people's views on the responsiveness of their country's health systems and healthcare providers.\n\nMETHODS: Telephone survey with random samples of the populations in Germany, Italy, Poland, Slovenia, Spain, Sweden, Switzerland and the UK using random digit dialling.\n\nRESULTS: Responses were obtained from 8119 people aged 16 and over. Just over half the respondents said that doctors always listened carefully to them, gave them time for questions and provided clear explanations. Respondents from Switzerland and the UK reported consistently high rates of satisfaction with doctors' communication skills, while respondents from Poland were significantly less satisfied. Younger people were more critical than older people. Expectations of patient involvement in treatment decisions were high, particularly among younger people, with 74% indicating a desire to be actively involved. Most respondents felt they should have a choice of primary care doctor, specialist doctor and hospital, but less than half felt they had sufficient information to make an informed choice. There were significant variations between the countries in reported levels of involvement and in satisfaction with opportunities for choice.\n\nCONCLUSIONS: The results suggest that many European patients want a more autonomous role in health care decision-making. Policy-makers and clinicians should consider how to narrow the gap between public expectations and patients' experience.", "author" : [ { "dropping-particle" : "", "family" : "Coulter", "given" : "Angela", "non-dropping-particle" : "", "parse-names" : false, "suffix" : "" }, { "dropping-particle" : "", "family" : "Jenkinson", "given" : "Crispin", "non-dropping-particle" : "", "parse-names" : false, "suffix" : "" } ], "container-title" : "European journal of public health", "id" : "ITEM-8", "issue" : "4", "issued" : { "date-parts" : [ [ "2005", "8" ] ] }, "page" : "355-60", "title" : "European patients' views on the responsiveness of health systems and healthcare providers.", "type" : "article-journal", "volume" : "15" }, "uris" : [ "http://www.mendeley.com/documents/?uuid=8981347b-269d-4dbe-bea1-468264c5c17e" ] }, { "id" : "ITEM-9", "itemData" : { "DOI" : "10.1186/1472-6963-11-325", "ISSN" : "1472-6963", "PMID" : "22115499", "abstract" : "BACKGROUND: Individuals' experience of interacting with the healthcare system has significant impact on their overall health and well-being. To relate patients' experiences to a common set of standards, the World Health Organization (WHO) developed the concept of health system responsiveness. This study aimed to assess if the WHO responsiveness concept reflected the non-medical expectations of mental healthcare users in Teheran.\n\nMETHODS: In this qualitative study, four mixed focus group discussions were formed, comprising 53 mental health service users in Tehran, Iran, in 2010. Content analysis was performed for data analysis. Responses were examined in relation to the eight domains of the WHO's responsiveness model.\n\nRESULTS: There were many commonalities between the findings of this study and the eight domains of the WHO responsiveness model, although some variations were found. Effective care was a new domain generated from our findings. In addition, the domain of prompt attention was included in two new labelled domains: attention and access to care. Participants could not differentiate autonomy from choice of healthcare provider, believing that free choice is part of autonomy. Therefore these domains were unified under the name of autonomy. The domains of quality of basic amenities, access to social support, dignity and confidentiality were considered to be important for the responsiveness concept. Some differences regarding how these domains should be defined were observed, however.\n\nCONCLUSIONS: The results showed that the concept of responsiveness developed by the WHO is applicable to mental health services in Iran. These findings might help policy-makers' better understanding of what is useful for the improvement of mental health services.", "author" : [ { "dropping-particle" : "", "family" : "Forouzan", "given" : "Ameneh Setareh", "non-dropping-particle" : "", "parse-names" : false, "suffix" : "" }, { "dropping-particle" : "", "family" : "Ghazinour", "given" : "Mehdi", "non-dropping-particle" : "", "parse-names" : false, "suffix" : "" }, { "dropping-particle" : "", "family" : "Dejman", "given" : "Masoumeh", "non-dropping-particle" : "", "parse-names" : false, "suffix" : "" }, { "dropping-particle" : "", "family" : "Rafeiey", "given" : "Hassan", "non-dropping-particle" : "", "parse-names" : false, "suffix" : "" }, { "dropping-particle" : "", "family" : "San Sebastian", "given" : "Miguel", "non-dropping-particle" : "", "parse-names" : false, "suffix" : "" } ], "container-title" : "BMC health services research", "id" : "ITEM-9", "issue" : "1", "issued" : { "date-parts" : [ [ "2011", "1" ] ] }, "page" : "325", "publisher" : "BioMed Central Ltd", "title" : "Testing the WHO responsiveness concept in the Iranian mental healthcare system: a qualitative study of service users.", "type" : "article-journal", "volume" : "11" }, "uris" : [ "http://www.mendeley.com/documents/?uuid=2baa8362-05a9-4f3d-9ac7-07d827a12d42" ] } ], "mendeley" : { "formattedCitation" : "(Coulter &amp; Jenkinson, 2005; Darby et al., 2000; De Silva, 1999; Forouzan et al., 2011; Letkovicova et al., 2005; Murray, Kawabata, &amp; Valentine, 2001; Rice et al., 2008; Valentine et al., 2007; World Health Organization, 2000)", "manualFormatting" : "Coulter &amp; Jenkinson, 2005; Darby et al., 2000; DeSilva, 1999; Forouzan et al., 2011; Letkovicova et al., 2005; Murray et al., 2001; Nigel Rice et al., 2008; Valentine et al., 2007; WHO, 2000", "plainTextFormattedCitation" : "(Coulter &amp; Jenkinson, 2005; Darby et al., 2000; De Silva, 1999; Forouzan et al., 2011; Letkovicova et al., 2005; Murray, Kawabata, &amp; Valentine, 2001; Rice et al., 2008; Valentine et al., 2007; World Health Organization, 2000)", "previouslyFormattedCitation" : "(Coulter &amp; Jenkinson, 2005; Darby et al., 2000; DeSilva, 1999; Forouzan et al., 2011; Letkovicova et al., 2005; Murray et al., 2001; Rice et al., 2008a; Valentine et al., 2007; World Health Organization, 2000)" }, "properties" : { "noteIndex" : 0 }, "schema" : "https://github.com/citation-style-language/schema/raw/master/csl-citation.json" }</w:instrText>
            </w:r>
            <w:r w:rsidRPr="00A70A90">
              <w:rPr>
                <w:rFonts w:ascii="Times New Roman" w:hAnsi="Times New Roman" w:cs="Times New Roman"/>
                <w:noProof/>
                <w:lang w:eastAsia="zh-CN"/>
              </w:rPr>
              <w:fldChar w:fldCharType="separate"/>
            </w:r>
            <w:r w:rsidRPr="00A70A90">
              <w:rPr>
                <w:rFonts w:ascii="Times New Roman" w:hAnsi="Times New Roman" w:cs="Times New Roman"/>
                <w:noProof/>
                <w:lang w:eastAsia="zh-CN"/>
              </w:rPr>
              <w:t xml:space="preserve">Coulter &amp; Jenkinson, 2005; Darby et al., 2000; DeSilva, 1999; Forouzan et al., 2011; Letkovicova et al., 2005; Murray et al., 2001; Nigel Rice et al., 2008; Valentine et al., </w:t>
            </w:r>
            <w:r w:rsidRPr="00A70A90">
              <w:rPr>
                <w:rFonts w:ascii="Times New Roman" w:hAnsi="Times New Roman" w:cs="Times New Roman"/>
                <w:noProof/>
                <w:lang w:eastAsia="zh-CN"/>
              </w:rPr>
              <w:lastRenderedPageBreak/>
              <w:t>2007; WHO, 2000</w:t>
            </w:r>
            <w:r w:rsidRPr="00A70A90">
              <w:rPr>
                <w:rFonts w:ascii="Times New Roman" w:hAnsi="Times New Roman" w:cs="Times New Roman"/>
                <w:noProof/>
                <w:lang w:eastAsia="zh-CN"/>
              </w:rPr>
              <w:fldChar w:fldCharType="end"/>
            </w:r>
          </w:p>
        </w:tc>
      </w:tr>
      <w:tr w:rsidR="003128BD" w:rsidRPr="004D340D" w14:paraId="184A827B" w14:textId="3EF8CF6D" w:rsidTr="003128BD">
        <w:tc>
          <w:tcPr>
            <w:tcW w:w="1036" w:type="dxa"/>
          </w:tcPr>
          <w:p w14:paraId="0428A6EC"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lastRenderedPageBreak/>
              <w:t>21</w:t>
            </w:r>
          </w:p>
        </w:tc>
        <w:tc>
          <w:tcPr>
            <w:tcW w:w="5433" w:type="dxa"/>
          </w:tcPr>
          <w:p w14:paraId="269859AB"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Giving courage and reassurance</w:t>
            </w:r>
          </w:p>
        </w:tc>
        <w:tc>
          <w:tcPr>
            <w:tcW w:w="1522" w:type="dxa"/>
          </w:tcPr>
          <w:p w14:paraId="3DB4B5DC"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5</w:t>
            </w:r>
          </w:p>
        </w:tc>
        <w:tc>
          <w:tcPr>
            <w:tcW w:w="2157" w:type="dxa"/>
          </w:tcPr>
          <w:p w14:paraId="58B1905D"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2EFC18A7"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6A3A51F3" w14:textId="0D3CCAB6"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"DOI" : "10.1186/1471-2296-7-72", "ISBN" : "1471-2296 (Electronic)\\r1471-2296 (Linking)", "ISSN" : "1471-2296", "PMID" : "17156424", "abstract" : "BACKGROUND: A good patient-physician interaction is particularly important in chronic diseases like diabetes. There are so far no published data regarding the interaction between the primary health-care providers and patients with type 2 diabetes in Oman, where diabetes is a major and growing health problem. This study aimed at exploring how health-care providers interact with patients with type 2 diabetes at primary health-care level in Muscat, Oman, focusing on the consultation environment, and some aspects of care and information. METHODS: Direct observations of 90 consultations between 23 doctors and 13 diabetes nurses concerned with diabetes management during their consultations with type 2 diabetes patients in six primary health-care centres in the Muscat region, using checklists developed from the National Diabetes Guidelines. Consultations were assessed as optimal if more than 75% of observed aspects were fulfilled and sub-optimal if less than 50% were fulfilled. RESULTS: Overall 52% of the doctors' consultations were not optimal. Some important aspects for a positive consultation environment were fulfilled in only about half of the doctors' consultations: ensuring privacy of consultation (49%), eye contact (49%), good attention (52%), encouraging asking questions (47%), and emphasizing on the patients' understanding of the provided information (52%). The doctors inquired about adverse effects of anti-diabetes drugs in less than 10% of consultations. The quality of the nurses' consultations was sub-optimal in about 75% of 85 consultations regarding aspects of consultation environment, care and information. CONCLUSION: The performance of the primary health-care doctors and diabetes nurses needs to be improved. The role of the diabetes nurses and the teamwork should be enhanced. We suggest a multidisciplinary team approach, training and education to the providers to upgrade their skills regarding communication and care. Barriers to compliance with the guidelines need to be further explored. Improving the work situation mainly for the diabetes nurses and further improvement in the organizational efficiency of diabetes services such as lowering the number of patients in diabetes clinic, are suggested.", "author" : [ { "dropping-particle" : "", "family" : "Abdulhadi", "given" : "Nadia", "non-dropping-particle" : "", "parse-names" : false, "suffix" : "" }, { "dropping-particle" : "", "family" : "Al-Shafaee", "given" : "Mohammed Ali", "non-dropping-particle" : "", "parse-names" : false, "suffix" : "" }, { "dropping-particle" : "", "family" : "Ostenson", "given" : "Claes-G\u00f6ran", "non-dropping-particle" : "", "parse-names" : false, "suffix" : "" }, { "dropping-particle" : "", "family" : "Vernby", "given" : "Asa", "non-dropping-particle" : "", "parse-names" : false, "suffix" : "" }, { "dropping-particle" : "", "family" : "Wahlstr\u00f6m", "given" : "Rolf", "non-dropping-particle" : "", "parse-names" : false, "suffix" : "" } ], "container-title" : "BMC family practice", "id" : "ITEM-1", "issued" : { "date-parts" : [ [ "2006" ] ] }, "page" : "72", "title" : "Quality of interaction between primary health-care providers and patients with type 2 diabetes in Muscat, Oman: an observational study.", "type" : "article-journal", "volume" : "7" }, "uris" : [ "http://www.mendeley.com/documents/?uuid=dafc7419-ac9f-4d97-9f44-e78781973afe" ] }, { "id" : "ITEM-2", "itemData" : { "DOI" : "10.1016/S0738-3991(96)00962-7", "ISBN" : "0738-3991", "ISSN" : "07383991", "PMID" : "9128617", "abstract" : "The purpose of this preliminary study is to develop an operational definition of the closure phase of the medical visit. A listening group developed a definition of closure by consensus based on audiotaped data from 22 office visits to physicians. The group noted new problems in closure not previously raised. Closure was defined as the final phase of the medical visit in which the doctor and patient shift perspective to the future, finalize plans, and say goodbye. Two distinct organizational frameworks of closure are outlined. Thirty-six percent of closures were interrupted in some way. New problems occurred in 23% of visits, even those with open-ended beginnings and early physician requests for all patient concerns. Doctors' communication involved expression of emotion, patient education, clarification, summary, and parting comments. Patient communication included expression of emotion, information sharing, and parting comments. Doctors' communication skills for closure are proposed. Closure is a distinctive phase of the visit with an organizational framework and specific tasks. The frequency of new problems in closure suggests that physicians may have the potential to improve their effectiveness.", "author" : [ { "dropping-particle" : "", "family" : "White", "given" : "Jocelyn C", "non-dropping-particle" : "", "parse-names" : false, "suffix" : "" }, { "dropping-particle" : "", "family" : "Rosson", "given" : "Connie", "non-dropping-particle" : "", "parse-names" : false, "suffix" : "" }, { "dropping-particle" : "", "family" : "Christensen", "given" : "John", "non-dropping-particle" : "", "parse-names" : false, "suffix" : "" }, { "dropping-particle" : "", "family" : "Hart", "given" : "Rosemary", "non-dropping-particle" : "", "parse-names" : false, "suffix" : "" }, { "dropping-particle" : "", "family" : "Levinson", "given" : "Wendy", "non-dropping-particle" : "", "parse-names" : false, "suffix" : "" } ], "container-title" : "Patient Education and Counseling", "id" : "ITEM-2", "issue" : "2", "issued" : { "date-parts" : [ [ "1997" ] ] }, "page" : "155-165", "title" : "Wrapping things up: A qualitative analysis of the closing moments of the medical visit", "type" : "article-journal", "volume" : "30" }, "uris" : [ "http://www.mendeley.com/documents/?uuid=ccba0899-3ed5-435f-9843-41845c9b81d9" ] }, { "id" : "ITEM-3", "itemData" : { "ISBN" : "0893-8652", "ISSN" : "0893-8652", "PMID" : "11841136", "abstract" : "BACKGROUND: The physician-patient interview is the key component of all health care, particularly of primary medical care. This review sought to evaluate existing primary-care-based research studies to determine which verbal and nonverbal behaviors on the part of the physician during the medical encounter have been linked in empirical studies with favorable patient outcomes. METHODS: We reviewed the literature from 1975 to 2000 for studies of office interactions between primary care physicians and patients that evaluated these interactions empirically using neutral observers who coded observed encounters, videotapes, or audiotapes. Each study was reviewed for the quality of the methods and to find statistically significant relations between specific physician behaviors and patient outcomes. In examining nonverbal behaviors, because of a paucity of clinical outcome studies, outcomes were expanded to include associations with patient characteristics or subjective ratings of the interaction by observers. RESULTS: We found 14 studies of verbal communication and 8 studies of nonverbal communication that met inclusion criteria. Verbal behaviors positively associated with health outcomes included empathy, reassurance and support, various patient-centered questioning techniques, encounter length, history taking, explanations, both dominant and passive physician styles, positive reinforcement, humor, psychosocial talk, time in health education and information sharing, friendliness, courtesy, orienting the patient during examination, and summarization and clarification. Nonverbal behaviors positively associated with outcomes included head nodding, forward lean, direct body orientation, uncrossed legs and arms, arm symmetry, and less mutual gaze. CONCLUSION: Existing research is limited because of lack of consensus of what to measure, conflicting findings, and relative lack of empirical studies (especially of nonverbal behavior). Nonetheless, medical educators should focus on teaching and reinforcing behaviors known to be facilitative, and to continue to understand further how physician behavior can enhance favorable patient outcomes, such as understanding and adherence to medical regimens and overall satisfaction.", "author" : [ { "dropping-particle" : "", "family" : "Beck", "given" : "Rainer S", "non-dropping-particle" : "", "parse-names" : false, "suffix" : "" }, { "dropping-particle" : "", "family" : "Daughtridge", "given" : "Rebecca", "non-dropping-particle" : "", "parse-names" : false, "suffix" : "" }, { "dropping-particle" : "", "family" : "Sloane", "given" : "Philip D", "non-dropping-particle" : "", "parse-names" : false, "suffix" : "" } ], "container-title" : "The Journal of the American Board of Family Practice / American Board of Family Practice", "id" : "ITEM-3", "issue" : "1", "issued" : { "date-parts" : [ [ "2000" ] ] }, "page" : "25-38", "title" : "Physician-patient communication in the primary care office: a systematic review.", "type" : "article-journal", "volume" : "15" }, "uris" : [ "http://www.mendeley.com/documents/?uuid=4f428e78-1aa3-4810-aad2-6aa695f77c16" ] }, { "id" : "ITEM-4", "itemData" : { "DOI" : "10.1186/1472-6963-11-325", "ISSN" : "1472-6963", "PMID" : "22115499", "abstract" : "BACKGROUND: Individuals' experience of interacting with the healthcare system has significant impact on their overall health and well-being. To relate patients' experiences to a common set of standards, the World Health Organization (WHO) developed the concept of health system responsiveness. This study aimed to assess if the WHO responsiveness concept reflected the non-medical expectations of mental healthcare users in Teheran.\n\nMETHODS: In this qualitative study, four mixed focus group discussions were formed, comprising 53 mental health service users in Tehran, Iran, in 2010. Content analysis was performed for data analysis. Responses were examined in relation to the eight domains of the WHO's responsiveness model.\n\nRESULTS: There were many commonalities between the findings of this study and the eight domains of the WHO responsiveness model, although some variations were found. Effective care was a new domain generated from our findings. In addition, the domain of prompt attention was included in two new labelled domains: attention and access to care. Participants could not differentiate autonomy from choice of healthcare provider, believing that free choice is part of autonomy. Therefore these domains were unified under the name of autonomy. The domains of quality of basic amenities, access to social support, dignity and confidentiality were considered to be important for the responsiveness concept. Some differences regarding how these domains should be defined were observed, however.\n\nCONCLUSIONS: The results showed that the concept of responsiveness developed by the WHO is applicable to mental health services in Iran. These findings might help policy-makers' better understanding of what is useful for the improvement of mental health services.", "author" : [ { "dropping-particle" : "", "family" : "Forouzan", "given" : "Ameneh Setareh", "non-dropping-particle" : "", "parse-names" : false, "suffix" : "" }, { "dropping-particle" : "", "family" : "Ghazinour", "given" : "Mehdi", "non-dropping-particle" : "", "parse-names" : false, "suffix" : "" }, { "dropping-particle" : "", "family" : "Dejman", "given" : "Masoumeh", "non-dropping-particle" : "", "parse-names" : false, "suffix" : "" }, { "dropping-particle" : "", "family" : "Rafeiey", "given" : "Hassan", "non-dropping-particle" : "", "parse-names" : false, "suffix" : "" }, { "dropping-particle" : "", "family" : "San Sebastian", "given" : "Miguel", "non-dropping-particle" : "", "parse-names" : false, "suffix" : "" } ], "container-title" : "BMC health services research", "id" : "ITEM-4", "issue" : "1", "issued" : { "date-parts" : [ [ "2011", "1" ] ] }, "page" : "325", "publisher" : "BioMed Central Ltd", "title" : "Testing the WHO responsiveness concept in the Iranian mental healthcare system: a qualitative study of service users.", "type" : "article-journal", "volume" : "11" }, "uris" : [ "http://www.mendeley.com/documents/?uuid=2baa8362-05a9-4f3d-9ac7-07d827a12d42" ] } ], "mendeley" : { "formattedCitation" : "(Abdulhadi et al., 2006; Beck et al., 2000; Forouzan et al., 2011; J. C. White, Rosson, Christensen, Hart, &amp; Levinson, 1997)", "manualFormatting" : "Abdulhadi et al., 2006; Beck et al., 2000; Forouzan et al., 2011; White et al., 1997", "plainTextFormattedCitation" : "(Abdulhadi et al., 2006; Beck et al., 2000; Forouzan et al., 2011; J. C. White, Rosson, Christensen, Hart, &amp; Levinson, 1997)", "previouslyFormattedCitation" : "(Abdulhadi et al., 2006; Beck et al., 2000; Forouzan et al., 2011; J. C. White et al., 1997)"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Abdulhadi et al., 2006; Beck et al., 2000; Forouzan et al., 2011; White et al., 1997</w:t>
            </w:r>
            <w:r w:rsidRPr="00A70A90">
              <w:rPr>
                <w:rFonts w:ascii="Times New Roman" w:hAnsi="Times New Roman" w:cs="Times New Roman"/>
              </w:rPr>
              <w:fldChar w:fldCharType="end"/>
            </w:r>
          </w:p>
        </w:tc>
      </w:tr>
      <w:tr w:rsidR="003128BD" w:rsidRPr="004D340D" w14:paraId="24072FBC" w14:textId="5A66D0CF" w:rsidTr="003128BD">
        <w:tc>
          <w:tcPr>
            <w:tcW w:w="1036" w:type="dxa"/>
          </w:tcPr>
          <w:p w14:paraId="7D7C6AEB"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22</w:t>
            </w:r>
          </w:p>
        </w:tc>
        <w:tc>
          <w:tcPr>
            <w:tcW w:w="5433" w:type="dxa"/>
          </w:tcPr>
          <w:p w14:paraId="291EA917"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Earning trust of patients</w:t>
            </w:r>
          </w:p>
        </w:tc>
        <w:tc>
          <w:tcPr>
            <w:tcW w:w="1522" w:type="dxa"/>
          </w:tcPr>
          <w:p w14:paraId="1849AA9B"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27</w:t>
            </w:r>
          </w:p>
        </w:tc>
        <w:tc>
          <w:tcPr>
            <w:tcW w:w="2157" w:type="dxa"/>
          </w:tcPr>
          <w:p w14:paraId="5D22A837"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159C30C2"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356586DE" w14:textId="2E1E2981"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"DOI" : "10.1007/BF00846695", "ISBN" : "0160-7715 (Print)\\r0160-7715 (Linking)", "ISSN" : "0160-7715", "PMID" : "755868", "abstract" : "Patient satisfaction is a variable of increasing interest to researchers, clinicians, and medical educators. Of several studies reviewed, only a few have shown evidence of careful methodology. Most surveys have focused on general evaluations of doctors and/or health care services or of a particular facility. The present article reports the development of a scale to measure patient satisfaction with an encounter with a physician or other primary care provider. Methods of item generation and pretesting are detailed. The overall reliability of the scale (Cronbach's coefficient alpha) is 0.93. The distribution of satisfaction scores is broader than that reported for other scales and approaches the normal in shape. Clinical and research applications of the scale are suggested.", "author" : [ { "dropping-particle" : "", "family" : "Wolf", "given" : "Matthew H", "non-dropping-particle" : "", "parse-names" : false, "suffix" : "" }, { "dropping-particle" : "", "family" : "Putnam", "given" : "Samuel M", "non-dropping-particle" : "", "parse-names" : false, "suffix" : "" }, { "dropping-particle" : "", "family" : "James", "given" : "Sherman A", "non-dropping-particle" : "", "parse-names" : false, "suffix" : "" }, { "dropping-particle" : "", "family" : "Stiles", "given" : "William B", "non-dropping-particle" : "", "parse-names" : false, "suffix" : "" } ], "container-title" : "Journal of Behavioral Medicine", "id" : "ITEM-1", "issue" : "4", "issued" : { "date-parts" : [ [ "1978" ] ] }, "page" : "391-401", "title" : "The Medical Interview Satisfaction Scale: development of a scale to measure patient perceptions of physician behavior", "type" : "article-journal", "volume" : "1" }, "uris" : [ "http://www.mendeley.com/documents/?uuid=c97fc6f6-322d-44b9-9957-aa43f8a64bbd" ] }, { "id" : "ITEM-2", "itemData" : { "DOI" : "10.1016/S0738-3991(01)00136-7", "ISBN" : "0738-3991 (Print) 0738-3991 (Linking)", "ISSN" : "0738-3991 (Print) 0738-3991 (Linking)", "PMID" : "11602365", "abstract" : "This article examines uses and characteristics of the SEGUE Framework, a research-based checklist of medical communication tasks. A recent survey of US and Canadian medical schools indicates that the SEGUE Framework is the most widely used structure for communication skills teaching and assessment in North America. Student and faculty response to the SEGUE Framework as a teaching tool has been positive. Data drawn from clinical skills assessments with standardized patients provide evidence of concurrent and construct validity. Analysis of visits between general internists and their patients reinforces validity of the SEGUE Framework in an actual practice setting. Interrater reliability is high when standardized patients are recording student performance immediately after a live encounter, and when coders are evaluating videotaped or audiotaped encounters; intrarater reliability is strong as well. The SEGUE Framework has a high degree of acceptability, can be used reliably, has evidence of validity, and is applicable to a variety of contexts. Studies of predictive validity are needed.", "author" : [ { "dropping-particle" : "", "family" : "Makoul", "given" : "G", "non-dropping-particle" : "", "parse-names" : false, "suffix" : "" } ], "container-title" : "Patient education and counseling", "id" : "ITEM-2", "issue" : "1", "issued" : { "date-parts" : [ [ "2001" ] ] }, "page" : "23-34", "title" : "The SEGUE Framework for teaching and assessing communication skills.", "type" : "article-journal", "volume" : "45" }, "uris" : [ "http://www.mendeley.com/documents/?uuid=910716af-5254-4057-bdec-635dc3a0b4f5" ] }, { "id" : "ITEM-3", "itemData" : { "ISSN" : "00034819", "PMID" : "6638726", "abstract" : "Physician behavior during inpatient rounds was observed and quantified for 394 interactions between patients with cancer and physicians. Most patients had solid tumors (90%) and a limited prognosis despite treatment (61%). The physicians spent 1.45 +/- 0.58 h on morning rounds seeing an average of 9.3 +/- 3.39 patients. For each patient an average of 3.61 +/- 2.83 min was spent in the room. The rest of the time was involved in reviewing the results of diagnostic tests, discussing treatment plans, and updating patient's charts. Time spent in the room was significantly related to the patient's sex and diagnosis. Physicians spent more time with patients having the poorest prognosis (p = 0.009). Specific behaviors were analyzed using a Physician Behavior Check List that allows accurate recording of behavior during a brief patients-physician encounter. Factor analysis of responses to the check list resulted in four factors that explained 58.7% of the variance. The physician behavior factor scores failed to correlate with factor scores from the responses of the same physicians to the Cancer Attitude Survey. In addition, the physicians were unable to accurately estimate the time they actually spent with patients or the frequency of specific behaviors that occurred during these interactions.", "author" : [ { "dropping-particle" : "", "family" : "Blanchard", "given" : "C. G.", "non-dropping-particle" : "", "parse-names" : false, "suffix" : "" }, { "dropping-particle" : "", "family" : "Ruckdeschel", "given" : "J. C.", "non-dropping-particle" : "", "parse-names" : false, "suffix" : "" }, { "dropping-particle" : "", "family" : "Blanchard", "given" : "E B", "non-dropping-particle" : "", "parse-names" : false, "suffix" : "" }, { "dropping-particle" : "", "family" : "Arena", "given" : "J. G.", "non-dropping-particle" : "", "parse-names" : false, "suffix" : "" }, { "dropping-particle" : "", "family" : "Saunders", "given" : "N. L.", "non-dropping-particle" : "", "parse-names" : false, "suffix" : "" }, { "dropping-particle" : "", "family" : "Malloy", "given" : "E. D.", "non-dropping-particle" : "", "parse-names" : false, "suffix" : "" } ], "container-title" : "Annals of Internal Medicine", "id" : "ITEM-3", "issue" : "5", "issued" : { "date-parts" : [ [ "1983" ] ] }, "page" : "694-699", "title" : "Interactions between oncologists and patients during rounds", "type" : "article-journal", "volume" : "99" }, "uris" : [ "http://www.mendeley.com/documents/?uuid=dddcb62e-f3da-4c1b-92b6-5b6e1fd4b417" ] } ], "mendeley" : { "formattedCitation" : "(Blanchard et al., 1983; Makoul, 2001; Wolf et al., 1978)", "manualFormatting" : "Blanchard et al., 1983; Makoul, 2001; Wolf et al., 1978", "plainTextFormattedCitation" : "(Blanchard et al., 1983; Makoul, 2001; Wolf et al., 1978)", "previouslyFormattedCitation" : "(Blanchard et al., 1983; Makoul, 2001; Wolf et al., 1978)"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Blanchard et al., 1983; Makoul, 2001; Wolf et al., 1978</w:t>
            </w:r>
            <w:r w:rsidRPr="00A70A90">
              <w:rPr>
                <w:rFonts w:ascii="Times New Roman" w:hAnsi="Times New Roman" w:cs="Times New Roman"/>
              </w:rPr>
              <w:fldChar w:fldCharType="end"/>
            </w:r>
          </w:p>
        </w:tc>
      </w:tr>
      <w:tr w:rsidR="003128BD" w:rsidRPr="004D340D" w14:paraId="1C675742" w14:textId="12F3BB2F" w:rsidTr="003128BD">
        <w:tc>
          <w:tcPr>
            <w:tcW w:w="1036" w:type="dxa"/>
          </w:tcPr>
          <w:p w14:paraId="42BF0E0C"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23</w:t>
            </w:r>
          </w:p>
        </w:tc>
        <w:tc>
          <w:tcPr>
            <w:tcW w:w="5433" w:type="dxa"/>
          </w:tcPr>
          <w:p w14:paraId="368AB887"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Service or</w:t>
            </w:r>
            <w:r>
              <w:rPr>
                <w:rFonts w:ascii="Times New Roman" w:hAnsi="Times New Roman" w:cs="Times New Roman"/>
                <w:b/>
              </w:rPr>
              <w:t>iented, not businesslike behavior</w:t>
            </w:r>
          </w:p>
        </w:tc>
        <w:tc>
          <w:tcPr>
            <w:tcW w:w="1522" w:type="dxa"/>
          </w:tcPr>
          <w:p w14:paraId="02D5E88A"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28</w:t>
            </w:r>
          </w:p>
        </w:tc>
        <w:tc>
          <w:tcPr>
            <w:tcW w:w="2157" w:type="dxa"/>
          </w:tcPr>
          <w:p w14:paraId="6346B346"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2A5866AA"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2B60A6F5" w14:textId="54831FA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"DOI" : "10.1016/S0738-3991(96)00962-7", "ISBN" : "0738-3991", "ISSN" : "07383991", "PMID" : "9128617", "abstract" : "The purpose of this preliminary study is to develop an operational definition of the closure phase of the medical visit. A listening group developed a definition of closure by consensus based on audiotaped data from 22 office visits to physicians. The group noted new problems in closure not previously raised. Closure was defined as the final phase of the medical visit in which the doctor and patient shift perspective to the future, finalize plans, and say goodbye. Two distinct organizational frameworks of closure are outlined. Thirty-six percent of closures were interrupted in some way. New problems occurred in 23% of visits, even those with open-ended beginnings and early physician requests for all patient concerns. Doctors' communication involved expression of emotion, patient education, clarification, summary, and parting comments. Patient communication included expression of emotion, information sharing, and parting comments. Doctors' communication skills for closure are proposed. Closure is a distinctive phase of the visit with an organizational framework and specific tasks. The frequency of new problems in closure suggests that physicians may have the potential to improve their effectiveness.", "author" : [ { "dropping-particle" : "", "family" : "White", "given" : "Jocelyn C", "non-dropping-particle" : "", "parse-names" : false, "suffix" : "" }, { "dropping-particle" : "", "family" : "Rosson", "given" : "Connie", "non-dropping-particle" : "", "parse-names" : false, "suffix" : "" }, { "dropping-particle" : "", "family" : "Christensen", "given" : "John", "non-dropping-particle" : "", "parse-names" : false, "suffix" : "" }, { "dropping-particle" : "", "family" : "Hart", "given" : "Rosemary", "non-dropping-particle" : "", "parse-names" : false, "suffix" : "" }, { "dropping-particle" : "", "family" : "Levinson", "given" : "Wendy", "non-dropping-particle" : "", "parse-names" : false, "suffix" : "" } ], "container-title" : "Patient Education and Counseling", "id" : "ITEM-1", "issue" : "2", "issued" : { "date-parts" : [ [ "1997" ] ] }, "page" : "155-165", "title" : "Wrapping things up: A qualitative analysis of the closing moments of the medical visit", "type" : "article-journal", "volume" : "30" }, "uris" : [ "http://www.mendeley.com/documents/?uuid=ccba0899-3ed5-435f-9843-41845c9b81d9" ] } ], "mendeley" : { "formattedCitation" : "(J. C. White et al., 1997)", "manualFormatting" : "White et al., 1997", "plainTextFormattedCitation" : "(J. C. White et al., 1997)", "previouslyFormattedCitation" : "(J. C. White et al., 1997)"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White et al., 1997</w:t>
            </w:r>
            <w:r w:rsidRPr="00A70A90">
              <w:rPr>
                <w:rFonts w:ascii="Times New Roman" w:hAnsi="Times New Roman" w:cs="Times New Roman"/>
              </w:rPr>
              <w:fldChar w:fldCharType="end"/>
            </w:r>
          </w:p>
        </w:tc>
      </w:tr>
      <w:tr w:rsidR="003128BD" w:rsidRPr="004D340D" w14:paraId="38882ABE" w14:textId="35F1D747" w:rsidTr="003128BD">
        <w:tc>
          <w:tcPr>
            <w:tcW w:w="1036" w:type="dxa"/>
          </w:tcPr>
          <w:p w14:paraId="438B4E1A"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24</w:t>
            </w:r>
          </w:p>
        </w:tc>
        <w:tc>
          <w:tcPr>
            <w:tcW w:w="5433" w:type="dxa"/>
          </w:tcPr>
          <w:p w14:paraId="52400E17" w14:textId="77777777" w:rsidR="003128BD" w:rsidRPr="00A70A90" w:rsidRDefault="003128BD" w:rsidP="003128BD">
            <w:pPr>
              <w:spacing w:after="0" w:line="240" w:lineRule="auto"/>
              <w:rPr>
                <w:rFonts w:ascii="Times New Roman" w:hAnsi="Times New Roman" w:cs="Times New Roman"/>
                <w:i/>
              </w:rPr>
            </w:pPr>
            <w:r w:rsidRPr="00A70A90">
              <w:rPr>
                <w:rFonts w:ascii="Times New Roman" w:hAnsi="Times New Roman" w:cs="Times New Roman"/>
                <w:i/>
              </w:rPr>
              <w:t>Not sending patients to specific diagnostic centers</w:t>
            </w:r>
          </w:p>
        </w:tc>
        <w:tc>
          <w:tcPr>
            <w:tcW w:w="1522" w:type="dxa"/>
          </w:tcPr>
          <w:p w14:paraId="7E696F9A" w14:textId="77777777" w:rsidR="003128BD" w:rsidRPr="00A70A90" w:rsidRDefault="003128BD" w:rsidP="003128BD">
            <w:pPr>
              <w:spacing w:after="0" w:line="240" w:lineRule="auto"/>
              <w:jc w:val="center"/>
              <w:rPr>
                <w:rFonts w:ascii="Times New Roman" w:hAnsi="Times New Roman" w:cs="Times New Roman"/>
              </w:rPr>
            </w:pPr>
          </w:p>
        </w:tc>
        <w:tc>
          <w:tcPr>
            <w:tcW w:w="2157" w:type="dxa"/>
          </w:tcPr>
          <w:p w14:paraId="2DEB72B0"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3C9B9AA3" w14:textId="77777777" w:rsidR="003128BD" w:rsidRPr="00A70A90" w:rsidRDefault="003128BD" w:rsidP="003128BD">
            <w:pPr>
              <w:spacing w:after="0" w:line="240" w:lineRule="auto"/>
              <w:jc w:val="center"/>
              <w:rPr>
                <w:rFonts w:ascii="Times New Roman" w:hAnsi="Times New Roman" w:cs="Times New Roman"/>
              </w:rPr>
            </w:pPr>
          </w:p>
        </w:tc>
        <w:tc>
          <w:tcPr>
            <w:tcW w:w="1907" w:type="dxa"/>
          </w:tcPr>
          <w:p w14:paraId="19DC8335" w14:textId="77777777" w:rsidR="003128BD" w:rsidRPr="00A70A90" w:rsidRDefault="003128BD" w:rsidP="003128BD">
            <w:pPr>
              <w:spacing w:after="0" w:line="240" w:lineRule="auto"/>
              <w:jc w:val="center"/>
              <w:rPr>
                <w:rFonts w:ascii="Times New Roman" w:hAnsi="Times New Roman" w:cs="Times New Roman"/>
              </w:rPr>
            </w:pPr>
          </w:p>
        </w:tc>
      </w:tr>
      <w:tr w:rsidR="003128BD" w:rsidRPr="004D340D" w14:paraId="57469D1C" w14:textId="3BA23583" w:rsidTr="003128BD">
        <w:tc>
          <w:tcPr>
            <w:tcW w:w="1036" w:type="dxa"/>
          </w:tcPr>
          <w:p w14:paraId="5ADC9875"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25</w:t>
            </w:r>
          </w:p>
        </w:tc>
        <w:tc>
          <w:tcPr>
            <w:tcW w:w="5433" w:type="dxa"/>
          </w:tcPr>
          <w:p w14:paraId="5BD1ADBF" w14:textId="77777777" w:rsidR="003128BD" w:rsidRPr="00A70A90" w:rsidRDefault="003128BD" w:rsidP="003128BD">
            <w:pPr>
              <w:spacing w:after="0" w:line="240" w:lineRule="auto"/>
              <w:rPr>
                <w:rFonts w:ascii="Times New Roman" w:hAnsi="Times New Roman" w:cs="Times New Roman"/>
              </w:rPr>
            </w:pPr>
            <w:r w:rsidRPr="00A70A90">
              <w:rPr>
                <w:rFonts w:ascii="Times New Roman" w:hAnsi="Times New Roman" w:cs="Times New Roman"/>
              </w:rPr>
              <w:t>Involving patients in care related decision making</w:t>
            </w:r>
          </w:p>
        </w:tc>
        <w:tc>
          <w:tcPr>
            <w:tcW w:w="1522" w:type="dxa"/>
          </w:tcPr>
          <w:p w14:paraId="16037226" w14:textId="77777777" w:rsidR="003128BD" w:rsidRPr="00A70A90" w:rsidRDefault="003128BD" w:rsidP="003128BD">
            <w:pPr>
              <w:spacing w:after="0" w:line="240" w:lineRule="auto"/>
              <w:jc w:val="center"/>
              <w:rPr>
                <w:rFonts w:ascii="Times New Roman" w:hAnsi="Times New Roman" w:cs="Times New Roman"/>
              </w:rPr>
            </w:pPr>
          </w:p>
        </w:tc>
        <w:tc>
          <w:tcPr>
            <w:tcW w:w="2157" w:type="dxa"/>
          </w:tcPr>
          <w:p w14:paraId="1D3ED5A7" w14:textId="77777777" w:rsidR="003128BD" w:rsidRPr="00A70A90" w:rsidRDefault="003128BD" w:rsidP="003128BD">
            <w:pPr>
              <w:spacing w:after="0" w:line="240" w:lineRule="auto"/>
              <w:jc w:val="center"/>
              <w:rPr>
                <w:rFonts w:ascii="Times New Roman" w:hAnsi="Times New Roman" w:cs="Times New Roman"/>
              </w:rPr>
            </w:pPr>
          </w:p>
        </w:tc>
        <w:tc>
          <w:tcPr>
            <w:tcW w:w="2121" w:type="dxa"/>
          </w:tcPr>
          <w:p w14:paraId="0E9723D7"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58EBB157" w14:textId="00C84FCD"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"DOI" : "10.1016/S0738-3991(98)00063-9", "ISBN" : "0738-3991 (Print)", "ISSN" : "07383991", "PMID" : "9887849", "abstract" : "This paper provides a comprehensive review and comparison of instruments used to assess patient-doctor interaction over the past decade. Instruments were identified from papers indexed by MEDLINE from 1986 to 1996 using the medical subject headings 'physician-patient relations', 'physician-patient communication', and 'education, medical', as well as requests for instruments currently in use by colleagues. Each instrument was reviewed under the following categories: name of the instrument; description; number of items; reliability; validity; current use and special notes. Overall, 44 instruments were obtained and reviewed. Of these, 21 were used in only one published study each in the last decade and 15 have never been validated. While most instruments have been shown to be reliable (usually inter-rater reliability), very few instruments have been directly compared with another instrument designed to assess patient-doctor interactions. We suggest that further validation of existing instruments and incorporation of assessment of non-verbal communication between the patient and the doctor are needed. Copyright (C) 1998 Elsevier Science Ireland Ltd.", "author" : [ { "dropping-particle" : "", "family" : "Boon", "given" : "Heather", "non-dropping-particle" : "", "parse-names" : false, "suffix" : "" }, { "dropping-particle" : "", "family" : "Stewart", "given" : "Moira", "non-dropping-particle" : "", "parse-names" : false, "suffix" : "" } ], "container-title" : "Patient Education and Counseling", "id" : "ITEM-1", "issue" : "3", "issued" : { "date-parts" : [ [ "1998" ] ] }, "page" : "161-176", "title" : "Patient-physician communication assessment instruments:1986 to 1996 in review", "type" : "article-journal", "volume" : "35" }, "uris" : [ "http://www.mendeley.com/documents/?uuid=4b055d29-7449-41c7-a865-8aae6e75dbe0" ] }, { "id" : "ITEM-2", "itemData" : { "DOI" : "10.1016/S0738-3991(01)00136-7", "ISBN" : "0738-3991 (Print) 0738-3991 (Linking)", "ISSN" : "0738-3991 (Print) 0738-3991 (Linking)", "PMID" : "11602365", "abstract" : "This article examines uses and characteristics of the SEGUE Framework, a research-based checklist of medical communication tasks. A recent survey of US and Canadian medical schools indicates that the SEGUE Framework is the most widely used structure for communication skills teaching and assessment in North America. Student and faculty response to the SEGUE Framework as a teaching tool has been positive. Data drawn from clinical skills assessments with standardized patients provide evidence of concurrent and construct validity. Analysis of visits between general internists and their patients reinforces validity of the SEGUE Framework in an actual practice setting. Interrater reliability is high when standardized patients are recording student performance immediately after a live encounter, and when coders are evaluating videotaped or audiotaped encounters; intrarater reliability is strong as well. The SEGUE Framework has a high degree of acceptability, can be used reliably, has evidence of validity, and is applicable to a variety of contexts. Studies of predictive validity are needed.", "author" : [ { "dropping-particle" : "", "family" : "Makoul", "given" : "G", "non-dropping-particle" : "", "parse-names" : false, "suffix" : "" } ], "container-title" : "Patient education and counseling", "id" : "ITEM-2", "issue" : "1", "issued" : { "date-parts" : [ [ "2001" ] ] }, "page" : "23-34", "title" : "The SEGUE Framework for teaching and assessing communication skills.", "type" : "article-journal", "volume" : "45" }, "uris" : [ "http://www.mendeley.com/documents/?uuid=910716af-5254-4057-bdec-635dc3a0b4f5" ] }, { "id" : "ITEM-3", "itemData" : { "author" : [ { "dropping-particle" : "", "family" : "Letkovicova", "given" : "Hana", "non-dropping-particle" : "", "parse-names" : false, "suffix" : "" }, { "dropping-particle" : "", "family" : "Prasad", "given" : "Amit", "non-dropping-particle" : "", "parse-names" : false, "suffix" : "" }, { "dropping-particle" : "La", "family" : "Valle\u0301e", "given" : "Rene\u0301", "non-dropping-particle" : "", "parse-names" : false, "suffix" : "" }, { "dropping-particle" : "", "family" : "Valentine", "given" : "Nicole", "non-dropping-particle" : "", "parse-names" : false, "suffix" : "" }, { "dropping-particle" : "", "family" : "Adhikari", "given" : "Pramod", "non-dropping-particle" : "", "parse-names" : false, "suffix" : "" }, { "dropping-particle" : "van der", "family" : "Heide", "given" : "George W", "non-dropping-particle" : "", "parse-names" : false, "suffix" : "" } ], "id" : "ITEM-3", "issued" : { "date-parts" : [ [ "2005" ] ] }, "publisher-place" : "Geneva", "title" : "The health systems responsiveness analytical guidelines for surveys in the multi-country survey study", "type" : "report" }, "uris" : [ "http://www.mendeley.com/documents/?uuid=4096a533-98a2-45ce-835e-57ed22b354ac" ] }, { "id" : "ITEM-4", "itemData" : { "DOI" : "10.1377/hlthaff.20.3.21", "ISSN" : "0278-2715", "author" : [ { "dropping-particle" : "", "family" : "Murray", "given" : "Christopher J L", "non-dropping-particle" : "", "parse-names" : false, "suffix" : "" }, { "dropping-particle" : "", "family" : "Kawabata", "given" : "Kei", "non-dropping-particle" : "", "parse-names" : false, "suffix" : "" }, { "dropping-particle" : "", "family" : "Valentine", "given" : "N.", "non-dropping-particle" : "", "parse-names" : false, "suffix" : "" } ], "container-title" : "Health Affairs", "id" : "ITEM-4", "issue" : "3", "issued" : { "date-parts" : [ [ "2001", "5", "1" ] ] }, "page" : "21-24", "title" : "People's Experience Versus People's Expectations", "type" : "article-journal", "volume" : "20" }, "uris" : [ "http://www.mendeley.com/documents/?uuid=621d735a-bb59-439f-ba50-e054ec1cb7c9" ] }, { "id" : "ITEM-5", "itemData" : { "abstract" : "Measuring the performance of health systems has become a key tool in aiding decision makers to describe, analyze, compare and ultimately improve the delivery and outcomes achieved by a system. The World Health Organization\u2019s (WHO) framework for assessing performance includes three intrinsic goals of health systems, namely health improvement, fairness in financial contribution and responsiveness to user preferences. Broadly speaking health system responsiveness can be defined as the way in which individuals are treated and the environment in which they are treated, encompassing the notion of patient experience. Perhaps the most ambitious attempt to implement a cross-country comparative instrument aimed at measuring health system performance is the World Health Survey (WHS). The modules on responsiveness and health ask respondents to rate their experiences using a 5-point categorical scale (e.g. very good to very bad). A common problem with self-reported data is that individuals, when faced with the instrument, are likely to interpret the meaning of the response categories in a way that systematically differs across populations or population sub-groups. In such cases the ordinal response categories will not be cross-population comparable since they will not imply the same underlying level of the construct. Recently the method of anchoring vignettes has been promoted as a means for controlling for systematic differences across socioeconomic groups in preferences, expectations and norms when responding to survey questions. This paper applies the method of anchoring vignettes to adjust survey reports of responsiveness for reporting heterogeneity. We present preliminary results for a selected number of domains and countries to illustrate the approach and find systematic reporting by income and education, but not by age and gender. Further analysis will extend the method to a larger set of countries and domains to investigate more fully the application of the approach for international comparative analysis of health system performance.", "author" : [ { "dropping-particle" : "", "family" : "Rice", "given" : "Nigel", "non-dropping-particle" : "", "parse-names" : false, "suffix" : "" }, { "dropping-particle" : "", "family" : "Robone", "given" : "Silvana", "non-dropping-particle" : "", "parse-names" : false, "suffix" : "" }, { "dropping-particle" : "", "family" : "Smith", "given" : "Peter C", "non-dropping-particle" : "", "parse-names" : false, "suffix" : "" } ], "container-title" : "Health, Econometrics and Data Group (HEDG) Working Papers", "id" : "ITEM-5", "issue" : "March", "issued" : { "date-parts" : [ [ "2008" ] ] }, "number-of-pages" : "20", "publisher" : "HEDG, c/o Department of Economics, University of York", "title" : "The measurement and comparison of health system responsiveness", "type" : "report" }, "uris" : [ "http://www.mendeley.com/documents/?uuid=be8887fd-2226-4739-afcc-075758a6298c" ] }, { "id" : "ITEM-6", "itemData" : { "author" : [ { "dropping-particle" : "", "family" : "Silva", "given" : "Amala", "non-dropping-particle" : "De", "parse-names" : false, "suffix" : "" } ], "id" : "ITEM-6", "issue" : "32", "issued" : { "date-parts" : [ [ "1999" ] ] }, "note" : "This is the first paper on the responsivness", "publisher-place" : "Geneva", "title" : "A framework for measuring responsiveness", "type" : "report" }, "uris" : [ "http://www.mendeley.com/documents/?uuid=a2f1d58e-57c1-4363-9a2a-cb122ccac4c0" ] }, { "id" : "ITEM-7", "itemData" : { "author" : [ { "dropping-particle" : "", "family" : "Sirven", "given" : "Nicolas", "non-dropping-particle" : "", "parse-names" : false, "suffix" : "" }, { "dropping-particle" : "", "family" : "Santos-Eggimann", "given" : "Brigitte", "non-dropping-particle" : "", "parse-names" : false, "suffix" : "" }, { "dropping-particle" : "", "family" : "Spagnoli", "given" : "Jacques", "non-dropping-particle" : "", "parse-names" : false, "suffix" : "" } ], "id" : "ITEM-7", "issue" : "September", "issued" : { "date-parts" : [ [ "2008" ] ] }, "number-of-pages" : "14", "publisher" : "Institut de recherche et documentation en \u00e9conomie de la sant\u00e9", "title" : "Comparability of Health Care Responsiveness in Europe Using Anchoring Vignettes from Survey of Health, Aging and Retirement in Europe", "type" : "report" }, "uris" : [ "http://www.mendeley.com/documents/?uuid=1315d1ba-a00d-4a90-b95e-07f7c5e15a33" ] }, { "id" : "ITEM-8", "itemData" : { "DOI" : "10.1007/s11136-007-9189-1", "ISSN" : "0962-9343", "PMID" : "17624815", "abstract" : "OBJECTIVE: To evaluate, for different populations, psychometric properties of questions on \"health systems responsiveness\", a concept developed by World Health Organization (WHO) to describe non-clinical and non-financial aspects of quality of health care. DATA SOURCES/STUDY SETTING/DATA COLLECTION: The 2000-2002 WHO Multi-Country Study comprised 70 general population surveys. Forty-one surveys were interviewer-administered, from which we extracted respondent records indicating ambulatory and inpatient health services use (excluding long-term institutions) in the previous 12 months (50,876 ambulatory and 7,964 hospital interviews).\n\nSTUDY DESIGN: We evaluated feasibility, reliability, and construct validity using 33 items with polytomous response options, comparing responses from populations identified by countries, sex, age, education, health and income.\n\nPRINCIPAL FINDINGS: Average item missing rates ranged from 0 to 16%. Domain-specific alpha coefficients exceeded 0.7 in 7 (of 9) cases. Average intertemporal reliability was acceptable in 6 (of 10) sites, where Kappas ranged from 0.54 to 0.79, but low in 4 sites (K &lt; 0.5). Kappa statistics were higher for male, educated and healthier populations than for female, less educated and less healthy populations. Factor solutions confirmed the domain structure of 7 domains (only 7 were operationalized for ambulatory settings). As in other studies, higher incomes and age was associated with more positive responsiveness reports and ratings.\n\nCONCLUSIONS: Quality issues addressed by WHO's questions are understood and reported adequately across diverse populations. More research is needed to interpret user-assessed quality of care comparisons across population groups within and between countries.", "author" : [ { "dropping-particle" : "", "family" : "Valentine", "given" : "N B", "non-dropping-particle" : "", "parse-names" : false, "suffix" : "" }, { "dropping-particle" : "", "family" : "Bonsel", "given" : "G J", "non-dropping-particle" : "", "parse-names" : false, "suffix" : "" }, { "dropping-particle" : "", "family" : "Murray", "given" : "Christopher J L", "non-dropping-particle" : "", "parse-names" : false, "suffix" : "" } ], "container-title" : "Quality of life research : an international journal of quality of life aspects of treatment, care and rehabilitation", "id" : "ITEM-8", "issue" : "7", "issued" : { "date-parts" : [ [ "2007", "9" ] ] }, "page" : "1107-25", "title" : "Measuring quality of health care from the user's perspective in 41 countries: psychometric properties of WHO's questions on health systems responsiveness.", "type" : "article-journal", "volume" : "16" }, "uris" : [ "http://www.mendeley.com/documents/?uuid=55d306ce-8899-4bb0-bd1c-a2ef13bb66ff" ] }, { "id" : "ITEM-9", "itemData" : { "author" : [ { "dropping-particle" : "", "family" : "World Health Organization", "given" : "", "non-dropping-particle" : "", "parse-names" : false, "suffix" : "" } ], "id" : "ITEM-9", "issued" : { "date-parts" : [ [ "2000" ] ] }, "note" : "From Duplicate 2 ( \n\n\nThe World health report 2000 : health systems : improving performance.\n\n\n- World Health Organization )\n\n", "publisher-place" : "Geneva", "title" : "The World health report 2000 : health systems : improving performance.", "type" : "report" }, "uris" : [ "http://www.mendeley.com/documents/?uuid=6cb03831-ae19-44c5-990e-14bac78140c0" ] }, { "id" : "ITEM-10", "itemData" : { "DOI" : "10.1186/1472-6963-11-325", "ISSN" : "1472-6963", "PMID" : "22115499", "abstract" : "BACKGROUND: Individuals' experience of interacting with the healthcare system has significant impact on their overall health and well-being. To relate patients' experiences to a common set of standards, the World Health Organization (WHO) developed the concept of health system responsiveness. This study aimed to assess if the WHO responsiveness concept reflected the non-medical expectations of mental healthcare users in Teheran.\n\nMETHODS: In this qualitative study, four mixed focus group discussions were formed, comprising 53 mental health service users in Tehran, Iran, in 2010. Content analysis was performed for data analysis. Responses were examined in relation to the eight domains of the WHO's responsiveness model.\n\nRESULTS: There were many commonalities between the findings of this study and the eight domains of the WHO responsiveness model, although some variations were found. Effective care was a new domain generated from our findings. In addition, the domain of prompt attention was included in two new labelled domains: attention and access to care. Participants could not differentiate autonomy from choice of healthcare provider, believing that free choice is part of autonomy. Therefore these domains were unified under the name of autonomy. The domains of quality of basic amenities, access to social support, dignity and confidentiality were considered to be important for the responsiveness concept. Some differences regarding how these domains should be defined were observed, however.\n\nCONCLUSIONS: The results showed that the concept of responsiveness developed by the WHO is applicable to mental health services in Iran. These findings might help policy-makers' better understanding of what is useful for the improvement of mental health services.", "author" : [ { "dropping-particle" : "", "family" : "Forouzan", "given" : "Ameneh Setareh", "non-dropping-particle" : "", "parse-names" : false, "suffix" : "" }, { "dropping-particle" : "", "family" : "Ghazinour", "given" : "Mehdi", "non-dropping-particle" : "", "parse-names" : false, "suffix" : "" }, { "dropping-particle" : "", "family" : "Dejman", "given" : "Masoumeh", "non-dropping-particle" : "", "parse-names" : false, "suffix" : "" }, { "dropping-particle" : "", "family" : "Rafeiey", "given" : "Hassan", "non-dropping-particle" : "", "parse-names" : false, "suffix" : "" }, { "dropping-particle" : "", "family" : "San Sebastian", "given" : "Miguel", "non-dropping-particle" : "", "parse-names" : false, "suffix" : "" } ], "container-title" : "BMC health services research", "id" : "ITEM-10", "issue" : "1", "issued" : { "date-parts" : [ [ "2011", "1" ] ] }, "page" : "325", "publisher" : "BioMed Central Ltd", "title" : "Testing the WHO responsiveness concept in the Iranian mental healthcare system: a qualitative study of service users.", "type" : "article-journal", "volume" : "11" }, "uris" : [ "http://www.mendeley.com/documents/?uuid=2baa8362-05a9-4f3d-9ac7-07d827a12d42" ] }, { "id" : "ITEM-11", "itemData" : { "DOI" : "10.1093/eurpub/cki004", "ISSN" : "1101-1262", "PMID" : "15975955", "abstract" : "BACKGROUND: Responsiveness to patients is now seen as a key characteristic of effective health systems. This study aimed to learn more about European people's views on the responsiveness of their country's health systems and healthcare providers.\n\nMETHODS: Telephone survey with random samples of the populations in Germany, Italy, Poland, Slovenia, Spain, Sweden, Switzerland and the UK using random digit dialling.\n\nRESULTS: Responses were obtained from 8119 people aged 16 and over. Just over half the respondents said that doctors always listened carefully to them, gave them time for questions and provided clear explanations. Respondents from Switzerland and the UK reported consistently high rates of satisfaction with doctors' communication skills, while respondents from Poland were significantly less satisfied. Younger people were more critical than older people. Expectations of patient involvement in treatment decisions were high, particularly among younger people, with 74% indicating a desire to be actively involved. Most respondents felt they should have a choice of primary care doctor, specialist doctor and hospital, but less than half felt they had sufficient information to make an informed choice. There were significant variations between the countries in reported levels of involvement and in satisfaction with opportunities for choice.\n\nCONCLUSIONS: The results suggest that many European patients want a more autonomous role in health care decision-making. Policy-makers and clinicians should consider how to narrow the gap between public expectations and patients' experience.", "author" : [ { "dropping-particle" : "", "family" : "Coulter", "given" : "Angela", "non-dropping-particle" : "", "parse-names" : false, "suffix" : "" }, { "dropping-particle" : "", "family" : "Jenkinson", "given" : "Crispin", "non-dropping-particle" : "", "parse-names" : false, "suffix" : "" } ], "container-title" : "European journal of public health", "id" : "ITEM-11", "issue" : "4", "issued" : { "date-parts" : [ [ "2005", "8" ] ] }, "page" : "355-60", "title" : "European patients' views on the responsiveness of health systems and healthcare providers.", "type" : "article-journal", "volume" : "15" }, "uris" : [ "http://www.mendeley.com/documents/?uuid=8981347b-269d-4dbe-bea1-468264c5c17e" ] } ], "mendeley" : { "formattedCitation" : "(Boon &amp; Stewart, 1998; Coulter &amp; Jenkinson, 2005; De Silva, 1999; Forouzan et al., 2011; Letkovicova et al., 2005; Makoul, 2001; Murray et al., 2001; Rice et al., 2008; Sirven et al., 2008; Valentine et al., 2007; World Health Organization, 2000)", "manualFormatting" : "Boon &amp; Stewart, 1998; Coulter &amp; Jenkinson, 2005; DeSilva, 1999; Forouzan et al., 2011; Letkovicova et al., 2005; Makoul, 2001; Murray et al., 2001; Nigel Rice et al., 2008; Sirven et al., 2008; Valentine et al., 2007; WHO, 2000", "plainTextFormattedCitation" : "(Boon &amp; Stewart, 1998; Coulter &amp; Jenkinson, 2005; De Silva, 1999; Forouzan et al., 2011; Letkovicova et al., 2005; Makoul, 2001; Murray et al., 2001; Rice et al., 2008; Sirven et al., 2008; Valentine et al., 2007; World Health Organization, 2000)", "previouslyFormattedCitation" : "(Boon &amp; Stewart, 1998; Coulter &amp; Jenkinson, 2005; DeSilva, 1999; Forouzan et al., 2011; Letkovicova et al., 2005; Makoul, 2001; Murray et al., 2001; Rice et al., 2008a; Sirven et al., 2008; Valentine et al., 2007; World Health Organization, 2000)"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Boon &amp; Stewart, 1998; Coulter &amp; Jenkinson, 2005; DeSilva, 1999; Forouzan et al., 2011; Letkovicova et al., 2005; Makoul, 2001; Murray et al., 2001; Nigel Rice et al., 2008; Sirven et al., 2008; Valentine et al., 2007; WHO, 2000</w:t>
            </w:r>
            <w:r w:rsidRPr="00A70A90">
              <w:rPr>
                <w:rFonts w:ascii="Times New Roman" w:hAnsi="Times New Roman" w:cs="Times New Roman"/>
              </w:rPr>
              <w:fldChar w:fldCharType="end"/>
            </w:r>
          </w:p>
        </w:tc>
      </w:tr>
      <w:tr w:rsidR="003128BD" w:rsidRPr="004D340D" w14:paraId="30502D99" w14:textId="64FF2CC5" w:rsidTr="003128BD">
        <w:tc>
          <w:tcPr>
            <w:tcW w:w="1036" w:type="dxa"/>
          </w:tcPr>
          <w:p w14:paraId="4B06293E"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26</w:t>
            </w:r>
          </w:p>
        </w:tc>
        <w:tc>
          <w:tcPr>
            <w:tcW w:w="5433" w:type="dxa"/>
          </w:tcPr>
          <w:p w14:paraId="466902D8" w14:textId="77777777" w:rsidR="003128BD" w:rsidRPr="00A70A90" w:rsidRDefault="003128BD" w:rsidP="003128BD">
            <w:pPr>
              <w:spacing w:after="0" w:line="240" w:lineRule="auto"/>
              <w:rPr>
                <w:rFonts w:ascii="Times New Roman" w:hAnsi="Times New Roman" w:cs="Times New Roman"/>
                <w:i/>
              </w:rPr>
            </w:pPr>
            <w:r w:rsidRPr="00A70A90">
              <w:rPr>
                <w:rFonts w:ascii="Times New Roman" w:hAnsi="Times New Roman" w:cs="Times New Roman"/>
                <w:i/>
              </w:rPr>
              <w:t>Considering individual need of the patient</w:t>
            </w:r>
          </w:p>
        </w:tc>
        <w:tc>
          <w:tcPr>
            <w:tcW w:w="1522" w:type="dxa"/>
          </w:tcPr>
          <w:p w14:paraId="459EF1B5" w14:textId="77777777" w:rsidR="003128BD" w:rsidRPr="00A70A90" w:rsidRDefault="003128BD" w:rsidP="003128BD">
            <w:pPr>
              <w:spacing w:after="0" w:line="240" w:lineRule="auto"/>
              <w:jc w:val="center"/>
              <w:rPr>
                <w:rFonts w:ascii="Times New Roman" w:hAnsi="Times New Roman" w:cs="Times New Roman"/>
              </w:rPr>
            </w:pPr>
          </w:p>
        </w:tc>
        <w:tc>
          <w:tcPr>
            <w:tcW w:w="2157" w:type="dxa"/>
          </w:tcPr>
          <w:p w14:paraId="7DAB9367"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3A42D0C7"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2C657D6D" w14:textId="5B926741"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"ISSN" : "0737-3252", "PMID" : "10126032", "abstract" : "The quality of physician services is not yet included in the current Medicare Resource-Based Relative Value Scale (RBRVS) formula. Future RBRVS reimbursement calculations may incorporate a quality index. The authors' research sought to explore the applicability of SERVQUAL determinants when measuring physician perceptions of service quality. Process quality determinants, such as \"Reliability,\" \"Assurance,\" and \"Empathy,\" were rated higher in relative importance by physicians than outcome quality determinants, such as \"Core Medical Services,\" and six of the seven service quality determinants were rated higher by older physicians. Further analyses indicated that physicians' perceptions of health care service quality varied because of factors such as number of years in practice and gender.", "author" : [ { "dropping-particle" : "", "family" : "Walbridge", "given" : "S W", "non-dropping-particle" : "", "parse-names" : false, "suffix" : "" }, { "dropping-particle" : "", "family" : "Delene", "given" : "L M", "non-dropping-particle" : "", "parse-names" : false, "suffix" : "" } ], "container-title" : "Journal of health care marketing", "id" : "ITEM-1", "issue" : "1", "issued" : { "date-parts" : [ [ "1993" ] ] }, "page" : "6-15", "title" : "Measuring physician attitudes of service quality", "type" : "article-journal", "volume" : "13" }, "uris" : [ "http://www.mendeley.com/documents/?uuid=23fd4144-4b9b-4cdc-a6e0-8a446c6ea702" ] }, { "id" : "ITEM-2", "itemData" : { "DOI" : "10.1016/S0738-3991(01)00136-7", "ISBN" : "0738-3991 (Print) 0738-3991 (Linking)", "ISSN" : "0738-3991 (Print) 0738-3991 (Linking)", "PMID" : "11602365", "abstract" : "This article examines uses and characteristics of the SEGUE Framework, a research-based checklist of medical communication tasks. A recent survey of US and Canadian medical schools indicates that the SEGUE Framework is the most widely used structure for communication skills teaching and assessment in North America. Student and faculty response to the SEGUE Framework as a teaching tool has been positive. Data drawn from clinical skills assessments with standardized patients provide evidence of concurrent and construct validity. Analysis of visits between general internists and their patients reinforces validity of the SEGUE Framework in an actual practice setting. Interrater reliability is high when standardized patients are recording student performance immediately after a live encounter, and when coders are evaluating videotaped or audiotaped encounters; intrarater reliability is strong as well. The SEGUE Framework has a high degree of acceptability, can be used reliably, has evidence of validity, and is applicable to a variety of contexts. Studies of predictive validity are needed.", "author" : [ { "dropping-particle" : "", "family" : "Makoul", "given" : "G", "non-dropping-particle" : "", "parse-names" : false, "suffix" : "" } ], "container-title" : "Patient education and counseling", "id" : "ITEM-2", "issue" : "1", "issued" : { "date-parts" : [ [ "2001" ] ] }, "page" : "23-34", "title" : "The SEGUE Framework for teaching and assessing communication skills.", "type" : "article-journal", "volume" : "45" }, "uris" : [ "http://www.mendeley.com/documents/?uuid=910716af-5254-4057-bdec-635dc3a0b4f5" ] }, { "id" : "ITEM-3", "itemData" : { "DOI" : "10.1186/1472-6963-11-325", "ISSN" : "1472-6963", "PMID" : "22115499", "abstract" : "BACKGROUND: Individuals' experience of interacting with the healthcare system has significant impact on their overall health and well-being. To relate patients' experiences to a common set of standards, the World Health Organization (WHO) developed the concept of health system responsiveness. This study aimed to assess if the WHO responsiveness concept reflected the non-medical expectations of mental healthcare users in Teheran.\n\nMETHODS: In this qualitative study, four mixed focus group discussions were formed, comprising 53 mental health service users in Tehran, Iran, in 2010. Content analysis was performed for data analysis. Responses were examined in relation to the eight domains of the WHO's responsiveness model.\n\nRESULTS: There were many commonalities between the findings of this study and the eight domains of the WHO responsiveness model, although some variations were found. Effective care was a new domain generated from our findings. In addition, the domain of prompt attention was included in two new labelled domains: attention and access to care. Participants could not differentiate autonomy from choice of healthcare provider, believing that free choice is part of autonomy. Therefore these domains were unified under the name of autonomy. The domains of quality of basic amenities, access to social support, dignity and confidentiality were considered to be important for the responsiveness concept. Some differences regarding how these domains should be defined were observed, however.\n\nCONCLUSIONS: The results showed that the concept of responsiveness developed by the WHO is applicable to mental health services in Iran. These findings might help policy-makers' better understanding of what is useful for the improvement of mental health services.", "author" : [ { "dropping-particle" : "", "family" : "Forouzan", "given" : "Ameneh Setareh", "non-dropping-particle" : "", "parse-names" : false, "suffix" : "" }, { "dropping-particle" : "", "family" : "Ghazinour", "given" : "Mehdi", "non-dropping-particle" : "", "parse-names" : false, "suffix" : "" }, { "dropping-particle" : "", "family" : "Dejman", "given" : "Masoumeh", "non-dropping-particle" : "", "parse-names" : false, "suffix" : "" }, { "dropping-particle" : "", "family" : "Rafeiey", "given" : "Hassan", "non-dropping-particle" : "", "parse-names" : false, "suffix" : "" }, { "dropping-particle" : "", "family" : "San Sebastian", "given" : "Miguel", "non-dropping-particle" : "", "parse-names" : false, "suffix" : "" } ], "container-title" : "BMC health services research", "id" : "ITEM-3", "issue" : "1", "issued" : { "date-parts" : [ [ "2011", "1" ] ] }, "page" : "325", "publisher" : "BioMed Central Ltd", "title" : "Testing the WHO responsiveness concept in the Iranian mental healthcare system: a qualitative study of service users.", "type" : "article-journal", "volume" : "11" }, "uris" : [ "http://www.mendeley.com/documents/?uuid=2baa8362-05a9-4f3d-9ac7-07d827a12d42" ] }, { "id" : "ITEM-4", "itemData" : { "DOI" : "10.1186/1471-2458-6-72", "ISSN" : "1471-2458", "PMID" : "16542462", "abstract" : "BACKGROUND: Responsiveness is an indicator used to measure how well a health system performs relative to non-health aspects. This study assessed whether seven dimensions proposed by the World Health Organization (WHO) to measure responsiveness (dignity, autonomy, confidentiality, prompt attention, social support, basic amenities, and choices of providers) are applicable in evaluating the health system of Taiwan. METHODS: A key informant survey and focus group research were used in this study. The translated WHO proposed questionnaire was sent to 205 nominated key informants by mail, and 132 (64.4%) were returned. We used principal component analysis to extract factors. Linear regression analysis was used to assess the relationship between the total score and the extracted factors. A qualitative content analysis was also carried out in focus group research. RESULTS: Principal component analysis produced five factors (respect, access, confidentiality, basic amenities, and social support) that explained 63.5% of the total variances. These five factors demonstrated acceptable internal consistency and four of them (except social support) were significantly correlated with the total responsiveness score. The focus group interviews revealed health providers' communication ability and medical ethics were also highly appraised by Taiwanese. CONCLUSION: When the performance of a health system is to be evaluated, elements of responsiveness proposed by WHO may have to be tailored to fit different cultural backgrounds. Four key features illustrate the uniqueness of Taiwanese perspectives: the idea of autonomy may not be conceptualized, prompt attention and choice of providers are on the same track, social support during care is trivially correlated to the total responsiveness score, and accountability of health providers is deemed essential to a health system.", "author" : [ { "dropping-particle" : "", "family" : "Hsu", "given" : "Chih-Cheng", "non-dropping-particle" : "", "parse-names" : false, "suffix" : "" }, { "dropping-particle" : "", "family" : "Chen", "given" : "Likwang", "non-dropping-particle" : "", "parse-names" : false, "suffix" : "" }, { "dropping-particle" : "", "family" : "Hu", "given" : "Yu-Whuei", "non-dropping-particle" : "", "parse-names" : false, "suffix" : "" }, { "dropping-particle" : "", "family" : "Yip", "given" : "Winnie", "non-dropping-particle" : "", "parse-names" : false, "suffix" : "" }, { "dropping-particle" : "", "family" : "Shu", "given" : "Chen-Chun", "non-dropping-particle" : "", "parse-names" : false, "suffix" : "" } ], "container-title" : "BMC public health", "id" : "ITEM-4", "issued" : { "date-parts" : [ [ "2006", "1" ] ] }, "page" : "72", "title" : "The dimensions of responsiveness of a health system: a Taiwanese perspective.", "type" : "article-journal", "volume" : "6" }, "uris" : [ "http://www.mendeley.com/documents/?uuid=72a911b9-c739-4db2-afd3-94c8faeb7d0c" ] }, { "id" : "ITEM-5", "itemData" : { "author" : [ { "dropping-particle" : "", "family" : "Levinson", "given" : "Wendy", "non-dropping-particle" : "", "parse-names" : false, "suffix" : "" }, { "dropping-particle" : "", "family" : "Hudak", "given" : "Pamela L", "non-dropping-particle" : "", "parse-names" : false, "suffix" : "" }, { "dropping-particle" : "", "family" : "Feldman", "given" : "Jacob J", "non-dropping-particle" : "", "parse-names" : false, "suffix" : "" }, { "dropping-particle" : "", "family" : "Frankel", "given" : "Richard M", "non-dropping-particle" : "", "parse-names" : false, "suffix" : "" }, { "dropping-particle" : "", "family" : "Kuby", "given" : "Alma", "non-dropping-particle" : "", "parse-names" : false, "suffix" : "" }, { "dropping-particle" : "", "family" : "Bereknyei", "given" : "Sylvia", "non-dropping-particle" : "", "parse-names" : false, "suffix" : "" } ], "id" : "ITEM-5", "issue" : "4", "issued" : { "date-parts" : [ [ "2008" ] ] }, "page" : "10-16", "title" : "\u201cIt\u2019s Not What You Say . . .\u201d", "type" : "article-journal", "volume" : "46" }, "uris" : [ "http://www.mendeley.com/documents/?uuid=6d3e7fe8-de39-4491-b52b-b319fdbbdde7" ] } ], "mendeley" : { "formattedCitation" : "(Forouzan et al., 2011; Hsu et al., 2006; Levinson et al., 2008; Makoul, 2001; Walbridge &amp; Delene, 1993)", "manualFormatting" : "Forouzan et al., 2011; Hsu et al., 2006; Levinson et al., 2008; Makoul, 2001; Walbridge &amp; Delene, 1993", "plainTextFormattedCitation" : "(Forouzan et al., 2011; Hsu et al., 2006; Levinson et al., 2008; Makoul, 2001; Walbridge &amp; Delene, 1993)", "previouslyFormattedCitation" : "(Forouzan et al., 2011; Hsu et al., 2006; Levinson et al., 2008; Makoul, 2001; Walbridge &amp; Delene, 1993)"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Forouzan et al., 2011; Hsu et al., 2006; Levinson et al., 2008; Makoul, 2001; Walbridge &amp; Delene, 1993</w:t>
            </w:r>
            <w:r w:rsidRPr="00A70A90">
              <w:rPr>
                <w:rFonts w:ascii="Times New Roman" w:hAnsi="Times New Roman" w:cs="Times New Roman"/>
              </w:rPr>
              <w:fldChar w:fldCharType="end"/>
            </w:r>
          </w:p>
        </w:tc>
      </w:tr>
      <w:tr w:rsidR="003128BD" w:rsidRPr="004D340D" w14:paraId="0101BD63" w14:textId="4C897BBD" w:rsidTr="003128BD">
        <w:tc>
          <w:tcPr>
            <w:tcW w:w="1036" w:type="dxa"/>
          </w:tcPr>
          <w:p w14:paraId="0EF20F1E"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lastRenderedPageBreak/>
              <w:t>27</w:t>
            </w:r>
          </w:p>
        </w:tc>
        <w:tc>
          <w:tcPr>
            <w:tcW w:w="5433" w:type="dxa"/>
          </w:tcPr>
          <w:p w14:paraId="773A9EC7" w14:textId="77777777" w:rsidR="003128BD" w:rsidRPr="00A70A90" w:rsidRDefault="003128BD" w:rsidP="003128BD">
            <w:pPr>
              <w:spacing w:after="0" w:line="240" w:lineRule="auto"/>
              <w:rPr>
                <w:rFonts w:ascii="Times New Roman" w:hAnsi="Times New Roman" w:cs="Times New Roman"/>
              </w:rPr>
            </w:pPr>
            <w:r w:rsidRPr="00A70A90">
              <w:rPr>
                <w:rFonts w:ascii="Times New Roman" w:hAnsi="Times New Roman" w:cs="Times New Roman"/>
              </w:rPr>
              <w:t>Considering religious and cultural orientation of the patient</w:t>
            </w:r>
          </w:p>
        </w:tc>
        <w:tc>
          <w:tcPr>
            <w:tcW w:w="1522" w:type="dxa"/>
          </w:tcPr>
          <w:p w14:paraId="1EEA30EE" w14:textId="77777777" w:rsidR="003128BD" w:rsidRPr="00A70A90" w:rsidRDefault="003128BD" w:rsidP="003128BD">
            <w:pPr>
              <w:spacing w:after="0" w:line="240" w:lineRule="auto"/>
              <w:jc w:val="center"/>
              <w:rPr>
                <w:rFonts w:ascii="Times New Roman" w:hAnsi="Times New Roman" w:cs="Times New Roman"/>
              </w:rPr>
            </w:pPr>
          </w:p>
        </w:tc>
        <w:tc>
          <w:tcPr>
            <w:tcW w:w="2157" w:type="dxa"/>
          </w:tcPr>
          <w:p w14:paraId="1963DF06"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276FA460"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515CE3E4" w14:textId="3538B446"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"DOI" : "10.1177/1077558706290946", "ISBN" : "1077-5587 (Print)\\r1077-5587 (Linking)", "ISSN" : "1077-5587", "PMID" : "16954311", "abstract" : "While cultural competency is widely promoted, the lack of a measure of cultural competency limits our ability to evaluate interventions and to understand the effects of cultural competency on health care quality. Based on a conceptual framework of cultural competency derived from expert focus groups, we developed a patient-reported measure of physician culturally competent communication behaviors that we validated in a group of 429 adult primary-care patients with diabetes and/or hypertension and their 53 physicians. Construct validity was supported by a moderate association with both patient satisfaction (r = .32, p &lt; .001) and patient trust (r = .53, p &lt; .001). Predictive validity was supported by an association with a decrease in blood pressure among hypertensive patients (r = -.18; p &lt; .05). This new measure may be useful in assessing levels of culturally competent provider behavior and investigating associations between provider cultural competency and health care processes and outcomes.", "author" : [ { "dropping-particle" : "", "family" : "Thom", "given" : "David H", "non-dropping-particle" : "", "parse-names" : false, "suffix" : "" }, { "dropping-particle" : "", "family" : "Tirado", "given" : "Miguel D", "non-dropping-particle" : "", "parse-names" : false, "suffix" : "" } ], "container-title" : "Medical care research and review : MCRR", "id" : "ITEM-1", "issue" : "5", "issued" : { "date-parts" : [ [ "2006" ] ] }, "page" : "636-655", "title" : "Development and validation of a patient-reported measure of physician cultural competency.", "type" : "article-journal", "volume" : "63" }, "uris" : [ "http://www.mendeley.com/documents/?uuid=316ab2a7-85e9-4d1b-a88b-8442e0388682" ] }, { "id" : "ITEM-2", "itemData" : { "DOI" : "10.1891/1521-0987.10.1.2", "ISSN" : "15210987", "author" : [ { "dropping-particle" : "", "family" : "Werkmeister-Rozas", "given" : "Lisa", "non-dropping-particle" : "", "parse-names" : false, "suffix" : "" }, { "dropping-particle" : "", "family" : "Klein", "given" : "Waldo C.", "non-dropping-particle" : "", "parse-names" : false, "suffix" : "" } ], "container-title" : "Care Management Journals", "id" : "ITEM-2", "issue" : "1", "issued" : { "date-parts" : [ [ "2009", "3", "1" ] ] }, "page" : "2-7", "title" : "Cultural Responsiveness in Long-Term-Care Case Management: Moving Beyond Competence", "type" : "article-journal", "volume" : "10" }, "uris" : [ "http://www.mendeley.com/documents/?uuid=0454ef9b-25df-4911-9cc8-e7f30ed4ffa2" ] }, { "id" : "ITEM-3", "itemData" : { "DOI" : "10.1111/j.1525-1497.2004.30266.x", "ISSN" : "0884-8734", "author" : [ { "dropping-particle" : "", "family" : "Fernandez", "given" : "Alicia", "non-dropping-particle" : "", "parse-names" : false, "suffix" : "" }, { "dropping-particle" : "", "family" : "Schillinger", "given" : "Dean", "non-dropping-particle" : "", "parse-names" : false, "suffix" : "" }, { "dropping-particle" : "", "family" : "Grumbach", "given" : "Kevin", "non-dropping-particle" : "", "parse-names" : false, "suffix" : "" }, { "dropping-particle" : "", "family" : "Rosenthal", "given" : "Anne", "non-dropping-particle" : "", "parse-names" : false, "suffix" : "" }, { "dropping-particle" : "", "family" : "Stewart", "given" : "Anita L.", "non-dropping-particle" : "", "parse-names" : false, "suffix" : "" }, { "dropping-particle" : "", "family" : "Wang", "given" : "Frances", "non-dropping-particle" : "", "parse-names" : false, "suffix" : "" }, { "dropping-particle" : "", "family" : "P\u00e9rez-Stable", "given" : "Eliseo J.", "non-dropping-particle" : "", "parse-names" : false, "suffix" : "" } ], "container-title" : "Journal of General Internal Medicine", "id" : "ITEM-3", "issue" : "2", "issued" : { "date-parts" : [ [ "2004", "2" ] ] }, "page" : "167-174", "title" : "Physician language ability and cultural competence", "type" : "article-journal", "volume" : "19" }, "uris" : [ "http://www.mendeley.com/documents/?uuid=9b2b7a06-bbfa-4992-82b8-115b952e683f" ] } ], "mendeley" : { "formattedCitation" : "(Fernandez et al., 2004; Thom &amp; Tirado, 2006; Werkmeister-Rozas &amp; Klein, 2009)", "manualFormatting" : "Fernandez et al., 2004; Thom &amp; Tirado, 2006; Werkmeister-Rozas &amp; Klein, 2009", "plainTextFormattedCitation" : "(Fernandez et al., 2004; Thom &amp; Tirado, 2006; Werkmeister-Rozas &amp; Klein, 2009)", "previouslyFormattedCitation" : "(Fernandez et al., 2004; Thom &amp; Tirado, 2006; Werkmeister-Rozas &amp; Klein, 2009)"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Fernandez et al., 2004; Thom &amp; Tirado, 2006; Werkmeister-Rozas &amp; Klein, 2009</w:t>
            </w:r>
            <w:r w:rsidRPr="00A70A90">
              <w:rPr>
                <w:rFonts w:ascii="Times New Roman" w:hAnsi="Times New Roman" w:cs="Times New Roman"/>
              </w:rPr>
              <w:fldChar w:fldCharType="end"/>
            </w:r>
          </w:p>
        </w:tc>
      </w:tr>
      <w:tr w:rsidR="003128BD" w:rsidRPr="004D340D" w14:paraId="6F5A614A" w14:textId="739F80AF" w:rsidTr="003128BD">
        <w:tc>
          <w:tcPr>
            <w:tcW w:w="1036" w:type="dxa"/>
          </w:tcPr>
          <w:p w14:paraId="3ACB2F85"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28</w:t>
            </w:r>
          </w:p>
        </w:tc>
        <w:tc>
          <w:tcPr>
            <w:tcW w:w="5433" w:type="dxa"/>
          </w:tcPr>
          <w:p w14:paraId="1FEACFC5" w14:textId="77777777" w:rsidR="003128BD" w:rsidRPr="00A70A90" w:rsidRDefault="003128BD" w:rsidP="003128BD">
            <w:pPr>
              <w:spacing w:after="0" w:line="240" w:lineRule="auto"/>
              <w:rPr>
                <w:rFonts w:ascii="Times New Roman" w:hAnsi="Times New Roman" w:cs="Times New Roman"/>
                <w:i/>
              </w:rPr>
            </w:pPr>
            <w:r w:rsidRPr="00A70A90">
              <w:rPr>
                <w:rFonts w:ascii="Times New Roman" w:hAnsi="Times New Roman" w:cs="Times New Roman"/>
                <w:i/>
              </w:rPr>
              <w:t>Facilitating utilization of local resources</w:t>
            </w:r>
          </w:p>
        </w:tc>
        <w:tc>
          <w:tcPr>
            <w:tcW w:w="1522" w:type="dxa"/>
          </w:tcPr>
          <w:p w14:paraId="0E317E54" w14:textId="77777777" w:rsidR="003128BD" w:rsidRPr="00A70A90" w:rsidRDefault="003128BD" w:rsidP="003128BD">
            <w:pPr>
              <w:spacing w:after="0" w:line="240" w:lineRule="auto"/>
              <w:jc w:val="center"/>
              <w:rPr>
                <w:rFonts w:ascii="Times New Roman" w:hAnsi="Times New Roman" w:cs="Times New Roman"/>
              </w:rPr>
            </w:pPr>
          </w:p>
        </w:tc>
        <w:tc>
          <w:tcPr>
            <w:tcW w:w="2157" w:type="dxa"/>
          </w:tcPr>
          <w:p w14:paraId="1BC8141D"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65B86DD5"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4918B821" w14:textId="6D087265"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"DOI" : "10.1177/1077558706290946", "ISBN" : "1077-5587 (Print)\\r1077-5587 (Linking)", "ISSN" : "1077-5587", "PMID" : "16954311", "abstract" : "While cultural competency is widely promoted, the lack of a measure of cultural competency limits our ability to evaluate interventions and to understand the effects of cultural competency on health care quality. Based on a conceptual framework of cultural competency derived from expert focus groups, we developed a patient-reported measure of physician culturally competent communication behaviors that we validated in a group of 429 adult primary-care patients with diabetes and/or hypertension and their 53 physicians. Construct validity was supported by a moderate association with both patient satisfaction (r = .32, p &lt; .001) and patient trust (r = .53, p &lt; .001). Predictive validity was supported by an association with a decrease in blood pressure among hypertensive patients (r = -.18; p &lt; .05). This new measure may be useful in assessing levels of culturally competent provider behavior and investigating associations between provider cultural competency and health care processes and outcomes.", "author" : [ { "dropping-particle" : "", "family" : "Thom", "given" : "David H", "non-dropping-particle" : "", "parse-names" : false, "suffix" : "" }, { "dropping-particle" : "", "family" : "Tirado", "given" : "Miguel D", "non-dropping-particle" : "", "parse-names" : false, "suffix" : "" } ], "container-title" : "Medical care research and review : MCRR", "id" : "ITEM-1", "issue" : "5", "issued" : { "date-parts" : [ [ "2006" ] ] }, "page" : "636-655", "title" : "Development and validation of a patient-reported measure of physician cultural competency.", "type" : "article-journal", "volume" : "63" }, "uris" : [ "http://www.mendeley.com/documents/?uuid=316ab2a7-85e9-4d1b-a88b-8442e0388682" ] }, { "id" : "ITEM-2", "itemData" : { "DOI" : "10.1186/1472-6963-11-325", "ISSN" : "1472-6963", "PMID" : "22115499", "abstract" : "BACKGROUND: Individuals' experience of interacting with the healthcare system has significant impact on their overall health and well-being. To relate patients' experiences to a common set of standards, the World Health Organization (WHO) developed the concept of health system responsiveness. This study aimed to assess if the WHO responsiveness concept reflected the non-medical expectations of mental healthcare users in Teheran.\n\nMETHODS: In this qualitative study, four mixed focus group discussions were formed, comprising 53 mental health service users in Tehran, Iran, in 2010. Content analysis was performed for data analysis. Responses were examined in relation to the eight domains of the WHO's responsiveness model.\n\nRESULTS: There were many commonalities between the findings of this study and the eight domains of the WHO responsiveness model, although some variations were found. Effective care was a new domain generated from our findings. In addition, the domain of prompt attention was included in two new labelled domains: attention and access to care. Participants could not differentiate autonomy from choice of healthcare provider, believing that free choice is part of autonomy. Therefore these domains were unified under the name of autonomy. The domains of quality of basic amenities, access to social support, dignity and confidentiality were considered to be important for the responsiveness concept. Some differences regarding how these domains should be defined were observed, however.\n\nCONCLUSIONS: The results showed that the concept of responsiveness developed by the WHO is applicable to mental health services in Iran. These findings might help policy-makers' better understanding of what is useful for the improvement of mental health services.", "author" : [ { "dropping-particle" : "", "family" : "Forouzan", "given" : "Ameneh Setareh", "non-dropping-particle" : "", "parse-names" : false, "suffix" : "" }, { "dropping-particle" : "", "family" : "Ghazinour", "given" : "Mehdi", "non-dropping-particle" : "", "parse-names" : false, "suffix" : "" }, { "dropping-particle" : "", "family" : "Dejman", "given" : "Masoumeh", "non-dropping-particle" : "", "parse-names" : false, "suffix" : "" }, { "dropping-particle" : "", "family" : "Rafeiey", "given" : "Hassan", "non-dropping-particle" : "", "parse-names" : false, "suffix" : "" }, { "dropping-particle" : "", "family" : "San Sebastian", "given" : "Miguel", "non-dropping-particle" : "", "parse-names" : false, "suffix" : "" } ], "container-title" : "BMC health services research", "id" : "ITEM-2", "issue" : "1", "issued" : { "date-parts" : [ [ "2011", "1" ] ] }, "page" : "325", "publisher" : "BioMed Central Ltd", "title" : "Testing the WHO responsiveness concept in the Iranian mental healthcare system: a qualitative study of service users.", "type" : "article-journal", "volume" : "11" }, "uris" : [ "http://www.mendeley.com/documents/?uuid=2baa8362-05a9-4f3d-9ac7-07d827a12d42" ] } ], "mendeley" : { "formattedCitation" : "(Forouzan et al., 2011; Thom &amp; Tirado, 2006)", "manualFormatting" : "Forouzan et al., 2011; Thom &amp; Tirado, 2006", "plainTextFormattedCitation" : "(Forouzan et al., 2011; Thom &amp; Tirado, 2006)", "previouslyFormattedCitation" : "(Forouzan et al., 2011; Thom &amp; Tirado, 2006)"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Forouzan et al., 2011; Thom &amp; Tirado, 2006</w:t>
            </w:r>
            <w:r w:rsidRPr="00A70A90">
              <w:rPr>
                <w:rFonts w:ascii="Times New Roman" w:hAnsi="Times New Roman" w:cs="Times New Roman"/>
              </w:rPr>
              <w:fldChar w:fldCharType="end"/>
            </w:r>
          </w:p>
        </w:tc>
      </w:tr>
      <w:tr w:rsidR="003128BD" w:rsidRPr="004D340D" w14:paraId="4B91695C" w14:textId="545C9BE2" w:rsidTr="003128BD">
        <w:tc>
          <w:tcPr>
            <w:tcW w:w="1036" w:type="dxa"/>
          </w:tcPr>
          <w:p w14:paraId="795336B6"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29</w:t>
            </w:r>
          </w:p>
        </w:tc>
        <w:tc>
          <w:tcPr>
            <w:tcW w:w="5433" w:type="dxa"/>
          </w:tcPr>
          <w:p w14:paraId="0866D470"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Considering socio-economic status of the patient</w:t>
            </w:r>
          </w:p>
        </w:tc>
        <w:tc>
          <w:tcPr>
            <w:tcW w:w="1522" w:type="dxa"/>
          </w:tcPr>
          <w:p w14:paraId="6BF08AF3"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31</w:t>
            </w:r>
          </w:p>
        </w:tc>
        <w:tc>
          <w:tcPr>
            <w:tcW w:w="2157" w:type="dxa"/>
          </w:tcPr>
          <w:p w14:paraId="060F8A50"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1D39C042" w14:textId="77777777" w:rsidR="003128BD" w:rsidRPr="00A70A90" w:rsidRDefault="003128BD" w:rsidP="003128BD">
            <w:pPr>
              <w:spacing w:after="0" w:line="240" w:lineRule="auto"/>
              <w:jc w:val="center"/>
              <w:rPr>
                <w:rFonts w:ascii="Times New Roman" w:hAnsi="Times New Roman" w:cs="Times New Roman"/>
              </w:rPr>
            </w:pPr>
          </w:p>
        </w:tc>
        <w:tc>
          <w:tcPr>
            <w:tcW w:w="1907" w:type="dxa"/>
          </w:tcPr>
          <w:p w14:paraId="7FD51B64" w14:textId="77777777" w:rsidR="003128BD" w:rsidRPr="00A70A90" w:rsidRDefault="003128BD" w:rsidP="003128BD">
            <w:pPr>
              <w:spacing w:after="0" w:line="240" w:lineRule="auto"/>
              <w:jc w:val="center"/>
              <w:rPr>
                <w:rFonts w:ascii="Times New Roman" w:hAnsi="Times New Roman" w:cs="Times New Roman"/>
              </w:rPr>
            </w:pPr>
          </w:p>
        </w:tc>
      </w:tr>
      <w:tr w:rsidR="003128BD" w:rsidRPr="004D340D" w14:paraId="59FF8140" w14:textId="2D88D9EB" w:rsidTr="003128BD">
        <w:tc>
          <w:tcPr>
            <w:tcW w:w="1036" w:type="dxa"/>
          </w:tcPr>
          <w:p w14:paraId="2483CFE8"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30</w:t>
            </w:r>
          </w:p>
        </w:tc>
        <w:tc>
          <w:tcPr>
            <w:tcW w:w="5433" w:type="dxa"/>
          </w:tcPr>
          <w:p w14:paraId="6FCBB6D1"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Trying to understand socio-economic status of the patient</w:t>
            </w:r>
          </w:p>
        </w:tc>
        <w:tc>
          <w:tcPr>
            <w:tcW w:w="1522" w:type="dxa"/>
          </w:tcPr>
          <w:p w14:paraId="75317153"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32</w:t>
            </w:r>
          </w:p>
        </w:tc>
        <w:tc>
          <w:tcPr>
            <w:tcW w:w="2157" w:type="dxa"/>
          </w:tcPr>
          <w:p w14:paraId="04D571AB"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0B7671FC" w14:textId="77777777" w:rsidR="003128BD" w:rsidRPr="00A70A90" w:rsidRDefault="003128BD" w:rsidP="003128BD">
            <w:pPr>
              <w:spacing w:after="0" w:line="240" w:lineRule="auto"/>
              <w:jc w:val="center"/>
              <w:rPr>
                <w:rFonts w:ascii="Times New Roman" w:hAnsi="Times New Roman" w:cs="Times New Roman"/>
              </w:rPr>
            </w:pPr>
          </w:p>
        </w:tc>
        <w:tc>
          <w:tcPr>
            <w:tcW w:w="1907" w:type="dxa"/>
          </w:tcPr>
          <w:p w14:paraId="761CD952" w14:textId="77777777" w:rsidR="003128BD" w:rsidRPr="00A70A90" w:rsidRDefault="003128BD" w:rsidP="003128BD">
            <w:pPr>
              <w:spacing w:after="0" w:line="240" w:lineRule="auto"/>
              <w:jc w:val="center"/>
              <w:rPr>
                <w:rFonts w:ascii="Times New Roman" w:hAnsi="Times New Roman" w:cs="Times New Roman"/>
              </w:rPr>
            </w:pPr>
          </w:p>
        </w:tc>
      </w:tr>
      <w:tr w:rsidR="003128BD" w:rsidRPr="004D340D" w14:paraId="262A071E" w14:textId="4BCA0D88" w:rsidTr="003128BD">
        <w:tc>
          <w:tcPr>
            <w:tcW w:w="1036" w:type="dxa"/>
          </w:tcPr>
          <w:p w14:paraId="3A0E50A3"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31</w:t>
            </w:r>
          </w:p>
        </w:tc>
        <w:tc>
          <w:tcPr>
            <w:tcW w:w="5433" w:type="dxa"/>
          </w:tcPr>
          <w:p w14:paraId="523855A1"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Informing the cost of treatment/ financial counseling</w:t>
            </w:r>
          </w:p>
        </w:tc>
        <w:tc>
          <w:tcPr>
            <w:tcW w:w="1522" w:type="dxa"/>
          </w:tcPr>
          <w:p w14:paraId="5639E837"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33</w:t>
            </w:r>
          </w:p>
        </w:tc>
        <w:tc>
          <w:tcPr>
            <w:tcW w:w="2157" w:type="dxa"/>
          </w:tcPr>
          <w:p w14:paraId="068E60F2"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1F29EB06"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2176063B" w14:textId="3DBCDF9E"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"DOI" : "10.1007/BF00846695", "ISBN" : "0160-7715 (Print)\\r0160-7715 (Linking)", "ISSN" : "0160-7715", "PMID" : "755868", "abstract" : "Patient satisfaction is a variable of increasing interest to researchers, clinicians, and medical educators. Of several studies reviewed, only a few have shown evidence of careful methodology. Most surveys have focused on general evaluations of doctors and/or health care services or of a particular facility. The present article reports the development of a scale to measure patient satisfaction with an encounter with a physician or other primary care provider. Methods of item generation and pretesting are detailed. The overall reliability of the scale (Cronbach's coefficient alpha) is 0.93. The distribution of satisfaction scores is broader than that reported for other scales and approaches the normal in shape. Clinical and research applications of the scale are suggested.", "author" : [ { "dropping-particle" : "", "family" : "Wolf", "given" : "Matthew H", "non-dropping-particle" : "", "parse-names" : false, "suffix" : "" }, { "dropping-particle" : "", "family" : "Putnam", "given" : "Samuel M", "non-dropping-particle" : "", "parse-names" : false, "suffix" : "" }, { "dropping-particle" : "", "family" : "James", "given" : "Sherman A", "non-dropping-particle" : "", "parse-names" : false, "suffix" : "" }, { "dropping-particle" : "", "family" : "Stiles", "given" : "William B", "non-dropping-particle" : "", "parse-names" : false, "suffix" : "" } ], "container-title" : "Journal of Behavioral Medicine", "id" : "ITEM-1", "issue" : "4", "issued" : { "date-parts" : [ [ "1978" ] ] }, "page" : "391-401", "title" : "The Medical Interview Satisfaction Scale: development of a scale to measure patient perceptions of physician behavior", "type" : "article-journal", "volume" : "1" }, "uris" : [ "http://www.mendeley.com/documents/?uuid=c97fc6f6-322d-44b9-9957-aa43f8a64bbd" ] }, { "id" : "ITEM-2", "itemData" : { "ISSN" : "0737-3252", "PMID" : "10126032", "abstract" : "The quality of physician services is not yet included in the current Medicare Resource-Based Relative Value Scale (RBRVS) formula. Future RBRVS reimbursement calculations may incorporate a quality index. The authors' research sought to explore the applicability of SERVQUAL determinants when measuring physician perceptions of service quality. Process quality determinants, such as \"Reliability,\" \"Assurance,\" and \"Empathy,\" were rated higher in relative importance by physicians than outcome quality determinants, such as \"Core Medical Services,\" and six of the seven service quality determinants were rated higher by older physicians. Further analyses indicated that physicians' perceptions of health care service quality varied because of factors such as number of years in practice and gender.", "author" : [ { "dropping-particle" : "", "family" : "Walbridge", "given" : "S W", "non-dropping-particle" : "", "parse-names" : false, "suffix" : "" }, { "dropping-particle" : "", "family" : "Delene", "given" : "L M", "non-dropping-particle" : "", "parse-names" : false, "suffix" : "" } ], "container-title" : "Journal of health care marketing", "id" : "ITEM-2", "issue" : "1", "issued" : { "date-parts" : [ [ "1993" ] ] }, "page" : "6-15", "title" : "Measuring physician attitudes of service quality", "type" : "article-journal", "volume" : "13" }, "uris" : [ "http://www.mendeley.com/documents/?uuid=23fd4144-4b9b-4cdc-a6e0-8a446c6ea702" ] } ], "mendeley" : { "formattedCitation" : "(Walbridge &amp; Delene, 1993; Wolf et al., 1978)", "manualFormatting" : "Walbridge &amp; Delene, 1993; Wolf et al., 1978", "plainTextFormattedCitation" : "(Walbridge &amp; Delene, 1993; Wolf et al., 1978)", "previouslyFormattedCitation" : "(Walbridge &amp; Delene, 1993; Wolf et al., 1978)"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Walbridge &amp; Delene, 1993; Wolf et al., 1978</w:t>
            </w:r>
            <w:r w:rsidRPr="00A70A90">
              <w:rPr>
                <w:rFonts w:ascii="Times New Roman" w:hAnsi="Times New Roman" w:cs="Times New Roman"/>
              </w:rPr>
              <w:fldChar w:fldCharType="end"/>
            </w:r>
          </w:p>
        </w:tc>
      </w:tr>
      <w:tr w:rsidR="003128BD" w:rsidRPr="004D340D" w14:paraId="59E1AE76" w14:textId="47D9C785" w:rsidTr="003128BD">
        <w:tc>
          <w:tcPr>
            <w:tcW w:w="1036" w:type="dxa"/>
          </w:tcPr>
          <w:p w14:paraId="355FDDBF"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32</w:t>
            </w:r>
          </w:p>
        </w:tc>
        <w:tc>
          <w:tcPr>
            <w:tcW w:w="5433" w:type="dxa"/>
          </w:tcPr>
          <w:p w14:paraId="39CAA5AE"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Providing financial assistance if needed</w:t>
            </w:r>
          </w:p>
        </w:tc>
        <w:tc>
          <w:tcPr>
            <w:tcW w:w="1522" w:type="dxa"/>
          </w:tcPr>
          <w:p w14:paraId="2E42CE04"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34</w:t>
            </w:r>
          </w:p>
        </w:tc>
        <w:tc>
          <w:tcPr>
            <w:tcW w:w="2157" w:type="dxa"/>
          </w:tcPr>
          <w:p w14:paraId="53E64612"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441AF97B" w14:textId="77777777" w:rsidR="003128BD" w:rsidRPr="00A70A90" w:rsidRDefault="003128BD" w:rsidP="003128BD">
            <w:pPr>
              <w:spacing w:after="0" w:line="240" w:lineRule="auto"/>
              <w:jc w:val="center"/>
              <w:rPr>
                <w:rFonts w:ascii="Times New Roman" w:hAnsi="Times New Roman" w:cs="Times New Roman"/>
              </w:rPr>
            </w:pPr>
          </w:p>
        </w:tc>
        <w:tc>
          <w:tcPr>
            <w:tcW w:w="1907" w:type="dxa"/>
          </w:tcPr>
          <w:p w14:paraId="08C81B1A" w14:textId="77777777" w:rsidR="003128BD" w:rsidRPr="00A70A90" w:rsidRDefault="003128BD" w:rsidP="003128BD">
            <w:pPr>
              <w:spacing w:after="0" w:line="240" w:lineRule="auto"/>
              <w:jc w:val="center"/>
              <w:rPr>
                <w:rFonts w:ascii="Times New Roman" w:hAnsi="Times New Roman" w:cs="Times New Roman"/>
              </w:rPr>
            </w:pPr>
          </w:p>
        </w:tc>
      </w:tr>
      <w:tr w:rsidR="003128BD" w:rsidRPr="004D340D" w14:paraId="79E6577F" w14:textId="7FC4697E" w:rsidTr="003128BD">
        <w:tc>
          <w:tcPr>
            <w:tcW w:w="1036" w:type="dxa"/>
          </w:tcPr>
          <w:p w14:paraId="41EEC959"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33</w:t>
            </w:r>
          </w:p>
        </w:tc>
        <w:tc>
          <w:tcPr>
            <w:tcW w:w="5433" w:type="dxa"/>
          </w:tcPr>
          <w:p w14:paraId="00AF2511"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Facilitating follow-up</w:t>
            </w:r>
          </w:p>
        </w:tc>
        <w:tc>
          <w:tcPr>
            <w:tcW w:w="1522" w:type="dxa"/>
          </w:tcPr>
          <w:p w14:paraId="5A2DA676"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18</w:t>
            </w:r>
          </w:p>
        </w:tc>
        <w:tc>
          <w:tcPr>
            <w:tcW w:w="2157" w:type="dxa"/>
          </w:tcPr>
          <w:p w14:paraId="2457D9EE"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59505554"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2D0FF7B1" w14:textId="5A6D1BBB"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"ISSN" : "0737-3252", "PMID" : "10126032", "abstract" : "The quality of physician services is not yet included in the current Medicare Resource-Based Relative Value Scale (RBRVS) formula. Future RBRVS reimbursement calculations may incorporate a quality index. The authors' research sought to explore the applicability of SERVQUAL determinants when measuring physician perceptions of service quality. Process quality determinants, such as \"Reliability,\" \"Assurance,\" and \"Empathy,\" were rated higher in relative importance by physicians than outcome quality determinants, such as \"Core Medical Services,\" and six of the seven service quality determinants were rated higher by older physicians. Further analyses indicated that physicians' perceptions of health care service quality varied because of factors such as number of years in practice and gender.", "author" : [ { "dropping-particle" : "", "family" : "Walbridge", "given" : "S W", "non-dropping-particle" : "", "parse-names" : false, "suffix" : "" }, { "dropping-particle" : "", "family" : "Delene", "given" : "L M", "non-dropping-particle" : "", "parse-names" : false, "suffix" : "" } ], "container-title" : "Journal of health care marketing", "id" : "ITEM-1", "issue" : "1", "issued" : { "date-parts" : [ [ "1993" ] ] }, "page" : "6-15", "title" : "Measuring physician attitudes of service quality", "type" : "article-journal", "volume" : "13" }, "uris" : [ "http://www.mendeley.com/documents/?uuid=23fd4144-4b9b-4cdc-a6e0-8a446c6ea702" ] }, { "id" : "ITEM-2", "itemData" : { "author" : [ { "dropping-particle" : "", "family" : "White", "given" : "D G", "non-dropping-particle" : "", "parse-names" : false, "suffix" : "" }, { "dropping-particle" : "", "family" : "Tiberius", "given" : "R", "non-dropping-particle" : "", "parse-names" : false, "suffix" : "" }, { "dropping-particle" : "", "family" : "Talbot", "given" : "Y", "non-dropping-particle" : "", "parse-names" : false, "suffix" : "" }, { "dropping-particle" : "", "family" : "Schiralli", "given" : "V", "non-dropping-particle" : "", "parse-names" : false, "suffix" : "" }, { "dropping-particle" : "", "family" : "Rickett", "given" : "M", "non-dropping-particle" : "", "parse-names" : false, "suffix" : "" } ], "container-title" : "Canadian Family Physician", "id" : "ITEM-2", "issued" : { "date-parts" : [ [ "1991" ] ] }, "page" : "64-70", "title" : "Improving Feedback for Medical Students in a Famnily Medicine Clerkship", "type" : "article-journal", "volume" : "37" }, "uris" : [ "http://www.mendeley.com/documents/?uuid=b5403e3f-50b7-4cb0-ab14-69cf5545cc85" ] }, { "id" : "ITEM-3", "itemData" : { "ISBN" : "0742-3225 (Print) 0742-3225 (Linking)", "ISSN" : "07423225", "PMID" : "15739134", "author" : [ { "dropping-particle" : "", "family" : "Schirmer", "given" : "J", "non-dropping-particle" : "", "parse-names" : false, "suffix" : "" }, { "dropping-particle" : "", "family" : "Mauksch", "given" : "L", "non-dropping-particle" : "", "parse-names" : false, "suffix" : "" }, { "dropping-particle" : "", "family" : "Lang", "given" : "F", "non-dropping-particle" : "", "parse-names" : false, "suffix" : "" }, { "dropping-particle" : "", "family" : "Marvel", "given" : "K", "non-dropping-particle" : "", "parse-names" : false, "suffix" : "" }, { "dropping-particle" : "", "family" : "Zoopi", "given" : "K", "non-dropping-particle" : "", "parse-names" : false, "suffix" : "" }, { "dropping-particle" : "", "family" : "Epstein", "given" : "R", "non-dropping-particle" : "", "parse-names" : false, "suffix" : "" } ], "container-title" : "Fam Med", "id" : "ITEM-3", "issue" : "3", "issued" : { "date-parts" : [ [ "2005" ] ] }, "page" : "184-192", "title" : "Assesing Comunication Competence: A review of current tools", "type" : "article-journal", "volume" : "37" }, "uris" : [ "http://www.mendeley.com/documents/?uuid=1d5c4505-906e-4ea9-92b5-6ad4319efe7a" ] }, { "id" : "ITEM-4", "itemData" : { "DOI" : "10.1186/1472-6963-11-325", "ISSN" : "1472-6963", "PMID" : "22115499", "abstract" : "BACKGROUND: Individuals' experience of interacting with the healthcare system has significant impact on their overall health and well-being. To relate patients' experiences to a common set of standards, the World Health Organization (WHO) developed the concept of health system responsiveness. This study aimed to assess if the WHO responsiveness concept reflected the non-medical expectations of mental healthcare users in Teheran.\n\nMETHODS: In this qualitative study, four mixed focus group discussions were formed, comprising 53 mental health service users in Tehran, Iran, in 2010. Content analysis was performed for data analysis. Responses were examined in relation to the eight domains of the WHO's responsiveness model.\n\nRESULTS: There were many commonalities between the findings of this study and the eight domains of the WHO responsiveness model, although some variations were found. Effective care was a new domain generated from our findings. In addition, the domain of prompt attention was included in two new labelled domains: attention and access to care. Participants could not differentiate autonomy from choice of healthcare provider, believing that free choice is part of autonomy. Therefore these domains were unified under the name of autonomy. The domains of quality of basic amenities, access to social support, dignity and confidentiality were considered to be important for the responsiveness concept. Some differences regarding how these domains should be defined were observed, however.\n\nCONCLUSIONS: The results showed that the concept of responsiveness developed by the WHO is applicable to mental health services in Iran. These findings might help policy-makers' better understanding of what is useful for the improvement of mental health services.", "author" : [ { "dropping-particle" : "", "family" : "Forouzan", "given" : "Ameneh Setareh", "non-dropping-particle" : "", "parse-names" : false, "suffix" : "" }, { "dropping-particle" : "", "family" : "Ghazinour", "given" : "Mehdi", "non-dropping-particle" : "", "parse-names" : false, "suffix" : "" }, { "dropping-particle" : "", "family" : "Dejman", "given" : "Masoumeh", "non-dropping-particle" : "", "parse-names" : false, "suffix" : "" }, { "dropping-particle" : "", "family" : "Rafeiey", "given" : "Hassan", "non-dropping-particle" : "", "parse-names" : false, "suffix" : "" }, { "dropping-particle" : "", "family" : "San Sebastian", "given" : "Miguel", "non-dropping-particle" : "", "parse-names" : false, "suffix" : "" } ], "container-title" : "BMC health services research", "id" : "ITEM-4", "issue" : "1", "issued" : { "date-parts" : [ [ "2011", "1" ] ] }, "page" : "325", "publisher" : "BioMed Central Ltd", "title" : "Testing the WHO responsiveness concept in the Iranian mental healthcare system: a qualitative study of service users.", "type" : "article-journal", "volume" : "11" }, "uris" : [ "http://www.mendeley.com/documents/?uuid=2baa8362-05a9-4f3d-9ac7-07d827a12d42" ] } ], "mendeley" : { "formattedCitation" : "(Forouzan et al., 2011; Schirmer et al., 2005; Walbridge &amp; Delene, 1993; D. G. White et al., 1991)", "manualFormatting" : "Forouzan et al., 2011; Schirmer et al., 2005; Walbridge &amp; Delene, 1993; White et al., 1991", "plainTextFormattedCitation" : "(Forouzan et al., 2011; Schirmer et al., 2005; Walbridge &amp; Delene, 1993; D. G. White et al., 1991)", "previouslyFormattedCitation" : "(Forouzan et al., 2011; Schirmer et al., 2005; Walbridge &amp; Delene, 1993; D. G. White et al., 1991)"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Forouzan et al., 2011; Schirmer et al., 2005; Walbridge &amp; Delene, 1993; White et al., 1991</w:t>
            </w:r>
            <w:r w:rsidRPr="00A70A90">
              <w:rPr>
                <w:rFonts w:ascii="Times New Roman" w:hAnsi="Times New Roman" w:cs="Times New Roman"/>
              </w:rPr>
              <w:fldChar w:fldCharType="end"/>
            </w:r>
          </w:p>
        </w:tc>
      </w:tr>
      <w:tr w:rsidR="003128BD" w:rsidRPr="004D340D" w14:paraId="6A5776CC" w14:textId="589E10F3" w:rsidTr="003128BD">
        <w:tc>
          <w:tcPr>
            <w:tcW w:w="1036" w:type="dxa"/>
          </w:tcPr>
          <w:p w14:paraId="14B79721"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34</w:t>
            </w:r>
          </w:p>
        </w:tc>
        <w:tc>
          <w:tcPr>
            <w:tcW w:w="5433" w:type="dxa"/>
          </w:tcPr>
          <w:p w14:paraId="622D875B"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Quantity of issues explained and the quality of explanation</w:t>
            </w:r>
          </w:p>
        </w:tc>
        <w:tc>
          <w:tcPr>
            <w:tcW w:w="1522" w:type="dxa"/>
          </w:tcPr>
          <w:p w14:paraId="07AE9B02"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19</w:t>
            </w:r>
          </w:p>
        </w:tc>
        <w:tc>
          <w:tcPr>
            <w:tcW w:w="2157" w:type="dxa"/>
          </w:tcPr>
          <w:p w14:paraId="507D533F"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72EF8893"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42FD1757" w14:textId="4E419B1F"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"DOI" : "10.1007/BF00846695", "ISBN" : "0160-7715 (Print)\\r0160-7715 (Linking)", "ISSN" : "0160-7715", "PMID" : "755868", "abstract" : "Patient satisfaction is a variable of increasing interest to researchers, clinicians, and medical educators. Of several studies reviewed, only a few have shown evidence of careful methodology. Most surveys have focused on general evaluations of doctors and/or health care services or of a particular facility. The present article reports the development of a scale to measure patient satisfaction with an encounter with a physician or other primary care provider. Methods of item generation and pretesting are detailed. The overall reliability of the scale (Cronbach's coefficient alpha) is 0.93. The distribution of satisfaction scores is broader than that reported for other scales and approaches the normal in shape. Clinical and research applications of the scale are suggested.", "author" : [ { "dropping-particle" : "", "family" : "Wolf", "given" : "Matthew H", "non-dropping-particle" : "", "parse-names" : false, "suffix" : "" }, { "dropping-particle" : "", "family" : "Putnam", "given" : "Samuel M", "non-dropping-particle" : "", "parse-names" : false, "suffix" : "" }, { "dropping-particle" : "", "family" : "James", "given" : "Sherman A", "non-dropping-particle" : "", "parse-names" : false, "suffix" : "" }, { "dropping-particle" : "", "family" : "Stiles", "given" : "William B", "non-dropping-particle" : "", "parse-names" : false, "suffix" : "" } ], "container-title" : "Journal of Behavioral Medicine", "id" : "ITEM-1", "issue" : "4", "issued" : { "date-parts" : [ [ "1978" ] ] }, "page" : "391-401", "title" : "The Medical Interview Satisfaction Scale: development of a scale to measure patient perceptions of physician behavior", "type" : "article-journal", "volume" : "1" }, "uris" : [ "http://www.mendeley.com/documents/?uuid=c97fc6f6-322d-44b9-9957-aa43f8a64bbd" ] }, { "id" : "ITEM-2", "itemData" : { "ISBN" : "0893-8652", "ISSN" : "0893-8652", "PMID" : "11841136", "abstract" : "BACKGROUND: The physician-patient interview is the key component of all health care, particularly of primary medical care. This review sought to evaluate existing primary-care-based research studies to determine which verbal and nonverbal behaviors on the part of the physician during the medical encounter have been linked in empirical studies with favorable patient outcomes. METHODS: We reviewed the literature from 1975 to 2000 for studies of office interactions between primary care physicians and patients that evaluated these interactions empirically using neutral observers who coded observed encounters, videotapes, or audiotapes. Each study was reviewed for the quality of the methods and to find statistically significant relations between specific physician behaviors and patient outcomes. In examining nonverbal behaviors, because of a paucity of clinical outcome studies, outcomes were expanded to include associations with patient characteristics or subjective ratings of the interaction by observers. RESULTS: We found 14 studies of verbal communication and 8 studies of nonverbal communication that met inclusion criteria. Verbal behaviors positively associated with health outcomes included empathy, reassurance and support, various patient-centered questioning techniques, encounter length, history taking, explanations, both dominant and passive physician styles, positive reinforcement, humor, psychosocial talk, time in health education and information sharing, friendliness, courtesy, orienting the patient during examination, and summarization and clarification. Nonverbal behaviors positively associated with outcomes included head nodding, forward lean, direct body orientation, uncrossed legs and arms, arm symmetry, and less mutual gaze. CONCLUSION: Existing research is limited because of lack of consensus of what to measure, conflicting findings, and relative lack of empirical studies (especially of nonverbal behavior). Nonetheless, medical educators should focus on teaching and reinforcing behaviors known to be facilitative, and to continue to understand further how physician behavior can enhance favorable patient outcomes, such as understanding and adherence to medical regimens and overall satisfaction.", "author" : [ { "dropping-particle" : "", "family" : "Beck", "given" : "Rainer S", "non-dropping-particle" : "", "parse-names" : false, "suffix" : "" }, { "dropping-particle" : "", "family" : "Daughtridge", "given" : "Rebecca", "non-dropping-particle" : "", "parse-names" : false, "suffix" : "" }, { "dropping-particle" : "", "family" : "Sloane", "given" : "Philip D", "non-dropping-particle" : "", "parse-names" : false, "suffix" : "" } ], "container-title" : "The Journal of the American Board of Family Practice / American Board of Family Practice", "id" : "ITEM-2", "issue" : "1", "issued" : { "date-parts" : [ [ "2000" ] ] }, "page" : "25-38", "title" : "Physician-patient communication in the primary care office: a systematic review.", "type" : "article-journal", "volume" : "15" }, "uris" : [ "http://www.mendeley.com/documents/?uuid=4f428e78-1aa3-4810-aad2-6aa695f77c16" ] } ], "mendeley" : { "formattedCitation" : "(Beck et al., 2000; Wolf et al., 1978)", "manualFormatting" : "Beck et al., 2000; Wolf et al., 1978", "plainTextFormattedCitation" : "(Beck et al., 2000; Wolf et al., 1978)", "previouslyFormattedCitation" : "(Beck et al., 2000; Wolf et al., 1978)"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Beck et al., 2000; Wolf et al., 1978</w:t>
            </w:r>
            <w:r w:rsidRPr="00A70A90">
              <w:rPr>
                <w:rFonts w:ascii="Times New Roman" w:hAnsi="Times New Roman" w:cs="Times New Roman"/>
              </w:rPr>
              <w:fldChar w:fldCharType="end"/>
            </w:r>
          </w:p>
        </w:tc>
      </w:tr>
      <w:tr w:rsidR="003128BD" w:rsidRPr="004D340D" w14:paraId="08C0301F" w14:textId="02752F03" w:rsidTr="003128BD">
        <w:tc>
          <w:tcPr>
            <w:tcW w:w="1036" w:type="dxa"/>
          </w:tcPr>
          <w:p w14:paraId="387552A4"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35</w:t>
            </w:r>
          </w:p>
        </w:tc>
        <w:tc>
          <w:tcPr>
            <w:tcW w:w="5433" w:type="dxa"/>
          </w:tcPr>
          <w:p w14:paraId="07F031F3"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Quantity of issues explained</w:t>
            </w:r>
          </w:p>
        </w:tc>
        <w:tc>
          <w:tcPr>
            <w:tcW w:w="1522" w:type="dxa"/>
          </w:tcPr>
          <w:p w14:paraId="24B8FEFC"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20</w:t>
            </w:r>
          </w:p>
        </w:tc>
        <w:tc>
          <w:tcPr>
            <w:tcW w:w="2157" w:type="dxa"/>
          </w:tcPr>
          <w:p w14:paraId="681ADCDD"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699809E3"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649947BA" w14:textId="291871D4"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"DOI" : "10.1093/intqhc/mzl049", "ISBN" : "1353-4505 (Print)\\n1353-4505 (Linking)", "ISSN" : "1353-4505", "PMID" : "17012306", "abstract" : "OBJECTIVE: . (i) To develop a reliable and valid scale to measure in-patient and outpatient perceptions of quality in India and (ii) to identify aspects of perceived quality which have large effects on patient satisfaction. DESIGN: Cross-sectional survey of health facilities and patients at clinics. SETTING: Primary health centers, community health centers, district hospitals, and female district hospitals in the state of Uttar Pradesh in north India. MAIN OUTCOME MEASURES: Internal consistency, validity, and factor structure of the scale are evaluated. The association between patient satisfaction and perceived quality dimensions is examined. RESULTS: A 16-item scale having good reliability and validity is developed. Five dimensions of perceived quality are identified-medicine availability, medical information, staff behavior, doctor behavior, and hospital infrastructure. Patient perceptions of quality at public health facilities are slightly better than neutral. Multivariate regression analysis results indicate that for outpatients, doctor behavior has the largest effect on general patient satisfaction followed by medicine availability, hospital infrastructure, staff behavior, and medical information. For in-patients, staff behavior has the largest effect followed by doctor behavior, medicine availability, medical information, and hospital infrastructure. CONCLUSIONS: The scale developed can be used to measure perceived quality at a range of facility types for outpatients and in-patients. Perceived quality at public facilities is only marginally favorable, leaving much scope for improvement. Better staff and physician interpersonal skills, facility infrastructure, and availability of drugs have the largest effect in improving patient satisfaction at public health facilities.", "author" : [ { "dropping-particle" : "", "family" : "Rao", "given" : "Krishna Dipankar", "non-dropping-particle" : "", "parse-names" : false, "suffix" : "" }, { "dropping-particle" : "", "family" : "Peters", "given" : "David H.", "non-dropping-particle" : "", "parse-names" : false, "suffix" : "" }, { "dropping-particle" : "", "family" : "Bandeen-Roche", "given" : "Karen", "non-dropping-particle" : "", "parse-names" : false, "suffix" : "" } ], "container-title" : "International journal for quality in health care : journal of the International Society for Quality in Health Care / ISQua", "id" : "ITEM-1", "issue" : "6", "issued" : { "date-parts" : [ [ "2006", "12", "1" ] ] }, "page" : "414-421", "title" : "Towards patient-centered health services in India--a scale to measure patient perceptions of quality.", "type" : "article-journal", "volume" : "18" }, "uris" : [ "http://www.mendeley.com/documents/?uuid=e5b99dc0-7d6a-4ac0-b98e-3e7c2639020d" ] }, { "id" : "ITEM-2", "itemData" : { "DOI" : "10.1016/S0738-3991(98)00063-9", "ISBN" : "0738-3991 (Print)", "ISSN" : "07383991", "PMID" : "9887849", "abstract" : "This paper provides a comprehensive review and comparison of instruments used to assess patient-doctor interaction over the past decade. Instruments were identified from papers indexed by MEDLINE from 1986 to 1996 using the medical subject headings 'physician-patient relations', 'physician-patient communication', and 'education, medical', as well as requests for instruments currently in use by colleagues. Each instrument was reviewed under the following categories: name of the instrument; description; number of items; reliability; validity; current use and special notes. Overall, 44 instruments were obtained and reviewed. Of these, 21 were used in only one published study each in the last decade and 15 have never been validated. While most instruments have been shown to be reliable (usually inter-rater reliability), very few instruments have been directly compared with another instrument designed to assess patient-doctor interactions. We suggest that further validation of existing instruments and incorporation of assessment of non-verbal communication between the patient and the doctor are needed. Copyright (C) 1998 Elsevier Science Ireland Ltd.", "author" : [ { "dropping-particle" : "", "family" : "Boon", "given" : "Heather", "non-dropping-particle" : "", "parse-names" : false, "suffix" : "" }, { "dropping-particle" : "", "family" : "Stewart", "given" : "Moira", "non-dropping-particle" : "", "parse-names" : false, "suffix" : "" } ], "container-title" : "Patient Education and Counseling", "id" : "ITEM-2", "issue" : "3", "issued" : { "date-parts" : [ [ "1998" ] ] }, "page" : "161-176", "title" : "Patient-physician communication assessment instruments:1986 to 1996 in review", "type" : "article-journal", "volume" : "35" }, "uris" : [ "http://www.mendeley.com/documents/?uuid=4b055d29-7449-41c7-a865-8aae6e75dbe0" ] } ], "mendeley" : { "formattedCitation" : "(Boon &amp; Stewart, 1998; Rao et al., 2006)", "manualFormatting" : "Boon &amp; Stewart, 1998; Rao et al., 2006", "plainTextFormattedCitation" : "(Boon &amp; Stewart, 1998; Rao et al., 2006)", "previouslyFormattedCitation" : "(Boon &amp; Stewart, 1998; Rao et al., 2006)"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Boon &amp; Stewart, 1998; Rao et al., 2006</w:t>
            </w:r>
            <w:r w:rsidRPr="00A70A90">
              <w:rPr>
                <w:rFonts w:ascii="Times New Roman" w:hAnsi="Times New Roman" w:cs="Times New Roman"/>
              </w:rPr>
              <w:fldChar w:fldCharType="end"/>
            </w:r>
          </w:p>
        </w:tc>
      </w:tr>
      <w:tr w:rsidR="003128BD" w:rsidRPr="004D340D" w14:paraId="59A83546" w14:textId="676188E8" w:rsidTr="003128BD">
        <w:tc>
          <w:tcPr>
            <w:tcW w:w="1036" w:type="dxa"/>
          </w:tcPr>
          <w:p w14:paraId="5002C2E4"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36</w:t>
            </w:r>
          </w:p>
        </w:tc>
        <w:tc>
          <w:tcPr>
            <w:tcW w:w="5433" w:type="dxa"/>
          </w:tcPr>
          <w:p w14:paraId="14FB966C" w14:textId="77777777" w:rsidR="003128BD" w:rsidRPr="00A70A90" w:rsidRDefault="003128BD" w:rsidP="003128BD">
            <w:pPr>
              <w:spacing w:after="0" w:line="240" w:lineRule="auto"/>
              <w:rPr>
                <w:rFonts w:ascii="Times New Roman" w:hAnsi="Times New Roman" w:cs="Times New Roman"/>
                <w:i/>
              </w:rPr>
            </w:pPr>
            <w:r w:rsidRPr="00A70A90">
              <w:rPr>
                <w:rFonts w:ascii="Times New Roman" w:hAnsi="Times New Roman" w:cs="Times New Roman"/>
                <w:i/>
              </w:rPr>
              <w:t>Explaining everything to the patient by the doctor himself</w:t>
            </w:r>
          </w:p>
        </w:tc>
        <w:tc>
          <w:tcPr>
            <w:tcW w:w="1522" w:type="dxa"/>
          </w:tcPr>
          <w:p w14:paraId="12C66ECD" w14:textId="77777777" w:rsidR="003128BD" w:rsidRPr="00A70A90" w:rsidRDefault="003128BD" w:rsidP="003128BD">
            <w:pPr>
              <w:spacing w:after="0" w:line="240" w:lineRule="auto"/>
              <w:jc w:val="center"/>
              <w:rPr>
                <w:rFonts w:ascii="Times New Roman" w:hAnsi="Times New Roman" w:cs="Times New Roman"/>
              </w:rPr>
            </w:pPr>
          </w:p>
        </w:tc>
        <w:tc>
          <w:tcPr>
            <w:tcW w:w="2157" w:type="dxa"/>
          </w:tcPr>
          <w:p w14:paraId="61955F79"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3A7C9D38" w14:textId="77777777" w:rsidR="003128BD" w:rsidRPr="00A70A90" w:rsidRDefault="003128BD" w:rsidP="003128BD">
            <w:pPr>
              <w:spacing w:after="0" w:line="240" w:lineRule="auto"/>
              <w:jc w:val="center"/>
              <w:rPr>
                <w:rFonts w:ascii="Times New Roman" w:hAnsi="Times New Roman" w:cs="Times New Roman"/>
              </w:rPr>
            </w:pPr>
          </w:p>
        </w:tc>
        <w:tc>
          <w:tcPr>
            <w:tcW w:w="1907" w:type="dxa"/>
          </w:tcPr>
          <w:p w14:paraId="23CE1110" w14:textId="77777777" w:rsidR="003128BD" w:rsidRPr="00A70A90" w:rsidRDefault="003128BD" w:rsidP="003128BD">
            <w:pPr>
              <w:spacing w:after="0" w:line="240" w:lineRule="auto"/>
              <w:jc w:val="center"/>
              <w:rPr>
                <w:rFonts w:ascii="Times New Roman" w:hAnsi="Times New Roman" w:cs="Times New Roman"/>
              </w:rPr>
            </w:pPr>
          </w:p>
        </w:tc>
      </w:tr>
      <w:tr w:rsidR="003128BD" w:rsidRPr="004D340D" w14:paraId="2E23C6EC" w14:textId="3371520E" w:rsidTr="003128BD">
        <w:tc>
          <w:tcPr>
            <w:tcW w:w="1036" w:type="dxa"/>
          </w:tcPr>
          <w:p w14:paraId="2510A6A8"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37</w:t>
            </w:r>
          </w:p>
        </w:tc>
        <w:tc>
          <w:tcPr>
            <w:tcW w:w="5433" w:type="dxa"/>
          </w:tcPr>
          <w:p w14:paraId="0AD647E9"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Asking patient if s/he understood the explanation</w:t>
            </w:r>
          </w:p>
        </w:tc>
        <w:tc>
          <w:tcPr>
            <w:tcW w:w="1522" w:type="dxa"/>
          </w:tcPr>
          <w:p w14:paraId="5991770E"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21</w:t>
            </w:r>
          </w:p>
        </w:tc>
        <w:tc>
          <w:tcPr>
            <w:tcW w:w="2157" w:type="dxa"/>
          </w:tcPr>
          <w:p w14:paraId="3C9143E1"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2BE5E8E1"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1D65A241" w14:textId="4D6202E6"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"DOI" : "10.1186/1471-2296-7-72", "ISBN" : "1471-2296 (Electronic)\\r1471-2296 (Linking)", "ISSN" : "1471-2296", "PMID" : "17156424", "abstract" : "BACKGROUND: A good patient-physician interaction is particularly important in chronic diseases like diabetes. There are so far no published data regarding the interaction between the primary health-care providers and patients with type 2 diabetes in Oman, where diabetes is a major and growing health problem. This study aimed at exploring how health-care providers interact with patients with type 2 diabetes at primary health-care level in Muscat, Oman, focusing on the consultation environment, and some aspects of care and information. METHODS: Direct observations of 90 consultations between 23 doctors and 13 diabetes nurses concerned with diabetes management during their consultations with type 2 diabetes patients in six primary health-care centres in the Muscat region, using checklists developed from the National Diabetes Guidelines. Consultations were assessed as optimal if more than 75% of observed aspects were fulfilled and sub-optimal if less than 50% were fulfilled. RESULTS: Overall 52% of the doctors' consultations were not optimal. Some important aspects for a positive consultation environment were fulfilled in only about half of the doctors' consultations: ensuring privacy of consultation (49%), eye contact (49%), good attention (52%), encouraging asking questions (47%), and emphasizing on the patients' understanding of the provided information (52%). The doctors inquired about adverse effects of anti-diabetes drugs in less than 10% of consultations. The quality of the nurses' consultations was sub-optimal in about 75% of 85 consultations regarding aspects of consultation environment, care and information. CONCLUSION: The performance of the primary health-care doctors and diabetes nurses needs to be improved. The role of the diabetes nurses and the teamwork should be enhanced. We suggest a multidisciplinary team approach, training and education to the providers to upgrade their skills regarding communication and care. Barriers to compliance with the guidelines need to be further explored. Improving the work situation mainly for the diabetes nurses and further improvement in the organizational efficiency of diabetes services such as lowering the number of patients in diabetes clinic, are suggested.", "author" : [ { "dropping-particle" : "", "family" : "Abdulhadi", "given" : "Nadia", "non-dropping-particle" : "", "parse-names" : false, "suffix" : "" }, { "dropping-particle" : "", "family" : "Al-Shafaee", "given" : "Mohammed Ali", "non-dropping-particle" : "", "parse-names" : false, "suffix" : "" }, { "dropping-particle" : "", "family" : "Ostenson", "given" : "Claes-G\u00f6ran", "non-dropping-particle" : "", "parse-names" : false, "suffix" : "" }, { "dropping-particle" : "", "family" : "Vernby", "given" : "Asa", "non-dropping-particle" : "", "parse-names" : false, "suffix" : "" }, { "dropping-particle" : "", "family" : "Wahlstr\u00f6m", "given" : "Rolf", "non-dropping-particle" : "", "parse-names" : false, "suffix" : "" } ], "container-title" : "BMC family practice", "id" : "ITEM-1", "issued" : { "date-parts" : [ [ "2006" ] ] }, "page" : "72", "title" : "Quality of interaction between primary health-care providers and patients with type 2 diabetes in Muscat, Oman: an observational study.", "type" : "article-journal", "volume" : "7" }, "uris" : [ "http://www.mendeley.com/documents/?uuid=dafc7419-ac9f-4d97-9f44-e78781973afe" ] }, { "id" : "ITEM-2", "itemData" : { "DOI" : "10.1007/BF00846695", "ISBN" : "0160-7715 (Print)\\r0160-7715 (Linking)", "ISSN" : "0160-7715", "PMID" : "755868", "abstract" : "Patient satisfaction is a variable of increasing interest to researchers, clinicians, and medical educators. Of several studies reviewed, only a few have shown evidence of careful methodology. Most surveys have focused on general evaluations of doctors and/or health care services or of a particular facility. The present article reports the development of a scale to measure patient satisfaction with an encounter with a physician or other primary care provider. Methods of item generation and pretesting are detailed. The overall reliability of the scale (Cronbach's coefficient alpha) is 0.93. The distribution of satisfaction scores is broader than that reported for other scales and approaches the normal in shape. Clinical and research applications of the scale are suggested.", "author" : [ { "dropping-particle" : "", "family" : "Wolf", "given" : "Matthew H", "non-dropping-particle" : "", "parse-names" : false, "suffix" : "" }, { "dropping-particle" : "", "family" : "Putnam", "given" : "Samuel M", "non-dropping-particle" : "", "parse-names" : false, "suffix" : "" }, { "dropping-particle" : "", "family" : "James", "given" : "Sherman A", "non-dropping-particle" : "", "parse-names" : false, "suffix" : "" }, { "dropping-particle" : "", "family" : "Stiles", "given" : "William B", "non-dropping-particle" : "", "parse-names" : false, "suffix" : "" } ], "container-title" : "Journal of Behavioral Medicine", "id" : "ITEM-2", "issue" : "4", "issued" : { "date-parts" : [ [ "1978" ] ] }, "page" : "391-401", "title" : "The Medical Interview Satisfaction Scale: development of a scale to measure patient perceptions of physician behavior", "type" : "article-journal", "volume" : "1" }, "uris" : [ "http://www.mendeley.com/documents/?uuid=c97fc6f6-322d-44b9-9957-aa43f8a64bbd" ] }, { "id" : "ITEM-3", "itemData" : { "DOI" : "10.1177/1077558706290946", "ISBN" : "1077-5587 (Print)\\r1077-5587 (Linking)", "ISSN" : "1077-5587", "PMID" : "16954311", "abstract" : "While cultural competency is widely promoted, the lack of a measure of cultural competency limits our ability to evaluate interventions and to understand the effects of cultural competency on health care quality. Based on a conceptual framework of cultural competency derived from expert focus groups, we developed a patient-reported measure of physician culturally competent communication behaviors that we validated in a group of 429 adult primary-care patients with diabetes and/or hypertension and their 53 physicians. Construct validity was supported by a moderate association with both patient satisfaction (r = .32, p &lt; .001) and patient trust (r = .53, p &lt; .001). Predictive validity was supported by an association with a decrease in blood pressure among hypertensive patients (r = -.18; p &lt; .05). This new measure may be useful in assessing levels of culturally competent provider behavior and investigating associations between provider cultural competency and health care processes and outcomes.", "author" : [ { "dropping-particle" : "", "family" : "Thom", "given" : "David H", "non-dropping-particle" : "", "parse-names" : false, "suffix" : "" }, { "dropping-particle" : "", "family" : "Tirado", "given" : "Miguel D", "non-dropping-particle" : "", "parse-names" : false, "suffix" : "" } ], "container-title" : "Medical care research and review : MCRR", "id" : "ITEM-3", "issue" : "5", "issued" : { "date-parts" : [ [ "2006" ] ] }, "page" : "636-655", "title" : "Development and validation of a patient-reported measure of physician cultural competency.", "type" : "article-journal", "volume" : "63" }, "uris" : [ "http://www.mendeley.com/documents/?uuid=316ab2a7-85e9-4d1b-a88b-8442e0388682" ] }, { "id" : "ITEM-4", "itemData" : { "DOI" : "10.1016/S0738-3991(96)00962-7", "ISBN" : "0738-3991", "ISSN" : "07383991", "PMID" : "9128617", "abstract" : "The purpose of this preliminary study is to develop an operational definition of the closure phase of the medical visit. A listening group developed a definition of closure by consensus based on audiotaped data from 22 office visits to physicians. The group noted new problems in closure not previously raised. Closure was defined as the final phase of the medical visit in which the doctor and patient shift perspective to the future, finalize plans, and say goodbye. Two distinct organizational frameworks of closure are outlined. Thirty-six percent of closures were interrupted in some way. New problems occurred in 23% of visits, even those with open-ended beginnings and early physician requests for all patient concerns. Doctors' communication involved expression of emotion, patient education, clarification, summary, and parting comments. Patient communication included expression of emotion, information sharing, and parting comments. Doctors' communication skills for closure are proposed. Closure is a distinctive phase of the visit with an organizational framework and specific tasks. The frequency of new problems in closure suggests that physicians may have the potential to improve their effectiveness.", "author" : [ { "dropping-particle" : "", "family" : "White", "given" : "Jocelyn C", "non-dropping-particle" : "", "parse-names" : false, "suffix" : "" }, { "dropping-particle" : "", "family" : "Rosson", "given" : "Connie", "non-dropping-particle" : "", "parse-names" : false, "suffix" : "" }, { "dropping-particle" : "", "family" : "Christensen", "given" : "John", "non-dropping-particle" : "", "parse-names" : false, "suffix" : "" }, { "dropping-particle" : "", "family" : "Hart", "given" : "Rosemary", "non-dropping-particle" : "", "parse-names" : false, "suffix" : "" }, { "dropping-particle" : "", "family" : "Levinson", "given" : "Wendy", "non-dropping-particle" : "", "parse-names" : false, "suffix" : "" } ], "container-title" : "Patient Education and Counseling", "id" : "ITEM-4", "issue" : "2", "issued" : { "date-parts" : [ [ "1997" ] ] }, "page" : "155-165", "title" : "Wrapping things up: A qualitative analysis of the closing moments of the medical visit", "type" : "article-journal", "volume" : "30" }, "uris" : [ "http://www.mendeley.com/documents/?uuid=ccba0899-3ed5-435f-9843-41845c9b81d9" ] }, { "id" : "ITEM-5", "itemData" : { "author" : [ { "dropping-particle" : "", "family" : "Letkovicova", "given" : "Hana", "non-dropping-particle" : "", "parse-names" : false, "suffix" : "" }, { "dropping-particle" : "", "family" : "Prasad", "given" : "Amit", "non-dropping-particle" : "", "parse-names" : false, "suffix" : "" }, { "dropping-particle" : "La", "family" : "Valle\u0301e", "given" : "Rene\u0301", "non-dropping-particle" : "", "parse-names" : false, "suffix" : "" }, { "dropping-particle" : "", "family" : "Valentine", "given" : "Nicole", "non-dropping-particle" : "", "parse-names" : false, "suffix" : "" }, { "dropping-particle" : "", "family" : "Adhikari", "given" : "Pramod", "non-dropping-particle" : "", "parse-names" : false, "suffix" : "" }, { "dropping-particle" : "van der", "family" : "Heide", "given" : "George W", "non-dropping-particle" : "", "parse-names" : false, "suffix" : "" } ], "id" : "ITEM-5", "issued" : { "date-parts" : [ [ "2005" ] ] }, "publisher-place" : "Geneva", "title" : "The health systems responsiveness analytical guidelines for surveys in the multi-country survey study", "type" : "report" }, "uris" : [ "http://www.mendeley.com/documents/?uuid=4096a533-98a2-45ce-835e-57ed22b354ac" ] }, { "id" : "ITEM-6", "itemData" : { "DOI" : "10.1186/1472-6963-11-325", "ISSN" : "1472-6963", "PMID" : "22115499", "abstract" : "BACKGROUND: Individuals' experience of interacting with the healthcare system has significant impact on their overall health and well-being. To relate patients' experiences to a common set of standards, the World Health Organization (WHO) developed the concept of health system responsiveness. This study aimed to assess if the WHO responsiveness concept reflected the non-medical expectations of mental healthcare users in Teheran.\n\nMETHODS: In this qualitative study, four mixed focus group discussions were formed, comprising 53 mental health service users in Tehran, Iran, in 2010. Content analysis was performed for data analysis. Responses were examined in relation to the eight domains of the WHO's responsiveness model.\n\nRESULTS: There were many commonalities between the findings of this study and the eight domains of the WHO responsiveness model, although some variations were found. Effective care was a new domain generated from our findings. In addition, the domain of prompt attention was included in two new labelled domains: attention and access to care. Participants could not differentiate autonomy from choice of healthcare provider, believing that free choice is part of autonomy. Therefore these domains were unified under the name of autonomy. The domains of quality of basic amenities, access to social support, dignity and confidentiality were considered to be important for the responsiveness concept. Some differences regarding how these domains should be defined were observed, however.\n\nCONCLUSIONS: The results showed that the concept of responsiveness developed by the WHO is applicable to mental health services in Iran. These findings might help policy-makers' better understanding of what is useful for the improvement of mental health services.", "author" : [ { "dropping-particle" : "", "family" : "Forouzan", "given" : "Ameneh Setareh", "non-dropping-particle" : "", "parse-names" : false, "suffix" : "" }, { "dropping-particle" : "", "family" : "Ghazinour", "given" : "Mehdi", "non-dropping-particle" : "", "parse-names" : false, "suffix" : "" }, { "dropping-particle" : "", "family" : "Dejman", "given" : "Masoumeh", "non-dropping-particle" : "", "parse-names" : false, "suffix" : "" }, { "dropping-particle" : "", "family" : "Rafeiey", "given" : "Hassan", "non-dropping-particle" : "", "parse-names" : false, "suffix" : "" }, { "dropping-particle" : "", "family" : "San Sebastian", "given" : "Miguel", "non-dropping-particle" : "", "parse-names" : false, "suffix" : "" } ], "container-title" : "BMC health services research", "id" : "ITEM-6", "issue" : "1", "issued" : { "date-parts" : [ [ "2011", "1" ] ] }, "page" : "325", "publisher" : "BioMed Central Ltd", "title" : "Testing the WHO responsiveness concept in the Iranian mental healthcare system: a qualitative study of service users.", "type" : "article-journal", "volume" : "11" }, "uris" : [ "http://www.mendeley.com/documents/?uuid=2baa8362-05a9-4f3d-9ac7-07d827a12d42" ] }, { "id" : "ITEM-7", "itemData" : { "DOI" : "10.1093/eurpub/cki004", "ISSN" : "1101-1262", "PMID" : "15975955", "abstract" : "BACKGROUND: Responsiveness to patients is now seen as a key characteristic of effective health systems. This study aimed to learn more about European people's views on the responsiveness of their country's health systems and healthcare providers.\n\nMETHODS: Telephone survey with random samples of the populations in Germany, Italy, Poland, Slovenia, Spain, Sweden, Switzerland and the UK using random digit dialling.\n\nRESULTS: Responses were obtained from 8119 people aged 16 and over. Just over half the respondents said that doctors always listened carefully to them, gave them time for questions and provided clear explanations. Respondents from Switzerland and the UK reported consistently high rates of satisfaction with doctors' communication skills, while respondents from Poland were significantly less satisfied. Younger people were more critical than older people. Expectations of patient involvement in treatment decisions were high, particularly among younger people, with 74% indicating a desire to be actively involved. Most respondents felt they should have a choice of primary care doctor, specialist doctor and hospital, but less than half felt they had sufficient information to make an informed choice. There were significant variations between the countries in reported levels of involvement and in satisfaction with opportunities for choice.\n\nCONCLUSIONS: The results suggest that many European patients want a more autonomous role in health care decision-making. Policy-makers and clinicians should consider how to narrow the gap between public expectations and patients' experience.", "author" : [ { "dropping-particle" : "", "family" : "Coulter", "given" : "Angela", "non-dropping-particle" : "", "parse-names" : false, "suffix" : "" }, { "dropping-particle" : "", "family" : "Jenkinson", "given" : "Crispin", "non-dropping-particle" : "", "parse-names" : false, "suffix" : "" } ], "container-title" : "European journal of public health", "id" : "ITEM-7", "issue" : "4", "issued" : { "date-parts" : [ [ "2005", "8" ] ] }, "page" : "355-60", "title" : "European patients' views on the responsiveness of health systems and healthcare providers.", "type" : "article-journal", "volume" : "15" }, "uris" : [ "http://www.mendeley.com/documents/?uuid=8981347b-269d-4dbe-bea1-468264c5c17e" ] } ], "mendeley" : { "formattedCitation" : "(Abdulhadi et al., 2006; Coulter &amp; Jenkinson, 2005; Forouzan et al., 2011; Letkovicova et al., 2005; Thom &amp; Tirado, 2006; J. C. White et al., 1997; Wolf et al., 1978)", "manualFormatting" : "Abdulhadi et al., 2006; Coulter &amp; Jenkinson, 2005; Forouzan et al., 2011; Letkovicova et al., 2005; Thom &amp; Tirado, 2006; White et al., 1997; Wolf et al., 1978", "plainTextFormattedCitation" : "(Abdulhadi et al., 2006; Coulter &amp; Jenkinson, 2005; Forouzan et al., 2011; Letkovicova et al., 2005; Thom &amp; Tirado, 2006; J. C. White et al., 1997; Wolf et al., 1978)", "previouslyFormattedCitation" : "(Abdulhadi et al., 2006; Coulter &amp; Jenkinson, 2005; Forouzan et al., 2011; Letkovicova et al., 2005; Thom &amp; Tirado, 2006; J. C. White et al., 1997; Wolf et al., 1978)"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 xml:space="preserve">Abdulhadi et al., 2006; Coulter &amp; Jenkinson, 2005; Forouzan et al., </w:t>
            </w:r>
            <w:r w:rsidRPr="00A70A90">
              <w:rPr>
                <w:rFonts w:ascii="Times New Roman" w:hAnsi="Times New Roman" w:cs="Times New Roman"/>
                <w:noProof/>
              </w:rPr>
              <w:lastRenderedPageBreak/>
              <w:t>2011; Letkovicova et al., 2005; Thom &amp; Tirado, 2006; White et al., 1997; Wolf et al., 1978</w:t>
            </w:r>
            <w:r w:rsidRPr="00A70A90">
              <w:rPr>
                <w:rFonts w:ascii="Times New Roman" w:hAnsi="Times New Roman" w:cs="Times New Roman"/>
              </w:rPr>
              <w:fldChar w:fldCharType="end"/>
            </w:r>
          </w:p>
        </w:tc>
      </w:tr>
      <w:tr w:rsidR="003128BD" w:rsidRPr="004D340D" w14:paraId="7F170B20" w14:textId="5F0E4FCF" w:rsidTr="003128BD">
        <w:tc>
          <w:tcPr>
            <w:tcW w:w="1036" w:type="dxa"/>
          </w:tcPr>
          <w:p w14:paraId="2D9314A4"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lastRenderedPageBreak/>
              <w:t>38</w:t>
            </w:r>
          </w:p>
        </w:tc>
        <w:tc>
          <w:tcPr>
            <w:tcW w:w="5433" w:type="dxa"/>
          </w:tcPr>
          <w:p w14:paraId="7E8BA74C"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Explaining the cause of disease to the patient</w:t>
            </w:r>
          </w:p>
        </w:tc>
        <w:tc>
          <w:tcPr>
            <w:tcW w:w="1522" w:type="dxa"/>
          </w:tcPr>
          <w:p w14:paraId="4E9E1900"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22</w:t>
            </w:r>
          </w:p>
        </w:tc>
        <w:tc>
          <w:tcPr>
            <w:tcW w:w="2157" w:type="dxa"/>
          </w:tcPr>
          <w:p w14:paraId="223201B9"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7378DF2F" w14:textId="77777777" w:rsidR="003128BD" w:rsidRPr="00A70A90" w:rsidRDefault="003128BD" w:rsidP="003128BD">
            <w:pPr>
              <w:spacing w:after="0" w:line="240" w:lineRule="auto"/>
              <w:jc w:val="center"/>
              <w:rPr>
                <w:rFonts w:ascii="Times New Roman" w:hAnsi="Times New Roman" w:cs="Times New Roman"/>
              </w:rPr>
            </w:pPr>
          </w:p>
        </w:tc>
        <w:tc>
          <w:tcPr>
            <w:tcW w:w="1907" w:type="dxa"/>
          </w:tcPr>
          <w:p w14:paraId="43189AE1" w14:textId="77777777" w:rsidR="003128BD" w:rsidRPr="00A70A90" w:rsidRDefault="003128BD" w:rsidP="003128BD">
            <w:pPr>
              <w:spacing w:after="0" w:line="240" w:lineRule="auto"/>
              <w:jc w:val="center"/>
              <w:rPr>
                <w:rFonts w:ascii="Times New Roman" w:hAnsi="Times New Roman" w:cs="Times New Roman"/>
              </w:rPr>
            </w:pPr>
          </w:p>
        </w:tc>
      </w:tr>
      <w:tr w:rsidR="003128BD" w:rsidRPr="004D340D" w14:paraId="6D2FB0F7" w14:textId="21FA8C0C" w:rsidTr="003128BD">
        <w:tc>
          <w:tcPr>
            <w:tcW w:w="1036" w:type="dxa"/>
          </w:tcPr>
          <w:p w14:paraId="3212D0F9"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39</w:t>
            </w:r>
          </w:p>
        </w:tc>
        <w:tc>
          <w:tcPr>
            <w:tcW w:w="5433" w:type="dxa"/>
          </w:tcPr>
          <w:p w14:paraId="16E7AE29"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Explaining the diagnosis of disease to the patient</w:t>
            </w:r>
          </w:p>
        </w:tc>
        <w:tc>
          <w:tcPr>
            <w:tcW w:w="1522" w:type="dxa"/>
          </w:tcPr>
          <w:p w14:paraId="51111C3B"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23</w:t>
            </w:r>
          </w:p>
        </w:tc>
        <w:tc>
          <w:tcPr>
            <w:tcW w:w="2157" w:type="dxa"/>
          </w:tcPr>
          <w:p w14:paraId="1874EC43"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58987E3C"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23DB67D3" w14:textId="7B6C6B96"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lang w:eastAsia="zh-CN"/>
              </w:rPr>
              <w:fldChar w:fldCharType="begin" w:fldLock="1"/>
            </w:r>
            <w:r w:rsidR="002B2DFD">
              <w:rPr>
                <w:rFonts w:ascii="Times New Roman" w:hAnsi="Times New Roman" w:cs="Times New Roman"/>
                <w:lang w:eastAsia="zh-CN"/>
              </w:rPr>
              <w:instrText>ADDIN CSL_CITATION { "citationItems" : [ { "id" : "ITEM-1", "itemData" : { "DOI" : "10.1016/j.aenj.2012.05.003", "ISSN" : "1574-6267", "PMID" : "22947687", "abstract" : "Mainstreaming of mental health services (MHS) within the Australian medical system has generated a fundamental transformation in the way consumers and carers access emergency MHS. People present to the Emergency Department (ED) with many health issues which can often include the management of their mental illness, physical co morbidity, or substance use. This paper discusses the issues surrounding access to EDs for clients, families and staff in the context of presentations for mental health problems at a southern metropolitan hospital in Victoria. The pilot project utilised focus groups with mental health care consumers and carers to collaboratively focus on and document the mental health client's 'journey of care' in the ED. There is evidence to suggest from this project that the ED mental health client journey needs continuous improvement and evaluation.", "author" : [ { "dropping-particle" : "", "family" : "Morphet", "given" : "Julia", "non-dropping-particle" : "", "parse-names" : false, "suffix" : "" }, { "dropping-particle" : "", "family" : "Innes", "given" : "Kelli", "non-dropping-particle" : "", "parse-names" : false, "suffix" : "" }, { "dropping-particle" : "", "family" : "Munro", "given" : "Ian", "non-dropping-particle" : "", "parse-names" : false, "suffix" : "" }, { "dropping-particle" : "", "family" : "O'Brien", "given" : "Anthony", "non-dropping-particle" : "", "parse-names" : false, "suffix" : "" }, { "dropping-particle" : "", "family" : "Gaskin", "given" : "Cadeyrn J.", "non-dropping-particle" : "", "parse-names" : false, "suffix" : "" }, { "dropping-particle" : "", "family" : "Reed", "given" : "Fiona", "non-dropping-particle" : "", "parse-names" : false, "suffix" : "" }, { "dropping-particle" : "", "family" : "Kudinoff", "given" : "Teresa", "non-dropping-particle" : "", "parse-names" : false, "suffix" : "" } ], "container-title" : "Australasian emergency nursing journal : AENJ", "id" : "ITEM-1", "issue" : "3", "issued" : { "date-parts" : [ [ "2012", "8" ] ] }, "page" : "148-55", "publisher" : "College of Emergency Nursing Australasia", "title" : "Managing people with mental health presentations in emergency departments--a service exploration of the issues surrounding responsiveness from a mental health care consumer and carer perspective.", "type" : "article-journal", "volume" : "15" }, "uris" : [ "http://www.mendeley.com/documents/?uuid=c97432db-61b7-4e54-a242-1191e46bd496" ] }, { "id" : "ITEM-2", "itemData" : { "ISBN" : "0025-7079", "ISSN" : "0025-7079", "PMID" : "8366685", "abstract" : "This study describes the results of a four-year research effort to develop inpatient and outpatient questionnaires that have sufficient validity and reliability to be used to measure patient perceptions of quality. As part of this effort, over 50,000 inpatients, emergency room patients, and ambulatory surgery patients from over 300 hospitals representing every US census region were surveyed. Separate questionnaires, called Quality of Care Monitors, were developed for inpatients and outpatients. The inpatient questionnaire consisted of 8 scales: Physician Care, Nursing Care, Medical Outcome, Courtesy, Food Service, Comfort and Cleanliness, Admissions/Billing, and Religious Care. The outpatient questionnaire had 7 scales: Physician Care, Nursing Care, Medical Outcome, Facility Characteristics, Waiting Time, Testing Services and Registration Process. The study found strong evidence of construct validity, predictive validity, and internal consistency for both questionnaires. Each questionnaire is capable of measuring separate dimensions of patient experience. A data bank developed from these questionnaires is currently accessed regularly by participating hospitals to assess quality improvement and to make benchmark comparisons with similar hospitals.", "author" : [ { "dropping-particle" : "", "family" : "Carey", "given" : "R G", "non-dropping-particle" : "", "parse-names" : false, "suffix" : "" }, { "dropping-particle" : "", "family" : "Seibert", "given" : "J H", "non-dropping-particle" : "", "parse-names" : false, "suffix" : "" } ], "container-title" : "Medical care", "id" : "ITEM-2", "issue" : "9", "issued" : { "date-parts" : [ [ "1993" ] ] }, "page" : "834-845", "title" : "A patient survey system to measure quality improvement: questionnaire reliability and validity.", "type" : "article-journal", "volume" : "31" }, "uris" : [ "http://www.mendeley.com/documents/?uuid=9acfae34-deec-414d-9e8c-5ee44b3aa962" ] } ], "mendeley" : { "formattedCitation" : "(Carey &amp; Seibert, 1993; Morphet et al., 2012)", "manualFormatting" : "Carey &amp; Seibert, 1993; Morphet et al., 2012", "plainTextFormattedCitation" : "(Carey &amp; Seibert, 1993; Morphet et al., 2012)", "previouslyFormattedCitation" : "(Carey &amp; Seibert, 1993; Morphet et al., 2012)" }, "properties" : { "noteIndex" : 0 }, "schema" : "https://github.com/citation-style-language/schema/raw/master/csl-citation.json" }</w:instrText>
            </w:r>
            <w:r w:rsidRPr="00A70A90">
              <w:rPr>
                <w:rFonts w:ascii="Times New Roman" w:hAnsi="Times New Roman" w:cs="Times New Roman"/>
                <w:lang w:eastAsia="zh-CN"/>
              </w:rPr>
              <w:fldChar w:fldCharType="separate"/>
            </w:r>
            <w:r w:rsidRPr="00A70A90">
              <w:rPr>
                <w:rFonts w:ascii="Times New Roman" w:hAnsi="Times New Roman" w:cs="Times New Roman"/>
                <w:noProof/>
                <w:lang w:eastAsia="zh-CN"/>
              </w:rPr>
              <w:t>Carey &amp; Seibert, 1993; Morphet et al., 2012</w:t>
            </w:r>
            <w:r w:rsidRPr="00A70A90">
              <w:rPr>
                <w:rFonts w:ascii="Times New Roman" w:hAnsi="Times New Roman" w:cs="Times New Roman"/>
                <w:lang w:eastAsia="zh-CN"/>
              </w:rPr>
              <w:fldChar w:fldCharType="end"/>
            </w:r>
          </w:p>
        </w:tc>
      </w:tr>
      <w:tr w:rsidR="003128BD" w:rsidRPr="004D340D" w14:paraId="5A268503" w14:textId="332ADDB9" w:rsidTr="003128BD">
        <w:tc>
          <w:tcPr>
            <w:tcW w:w="1036" w:type="dxa"/>
          </w:tcPr>
          <w:p w14:paraId="59A4E685"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40</w:t>
            </w:r>
          </w:p>
        </w:tc>
        <w:tc>
          <w:tcPr>
            <w:tcW w:w="5433" w:type="dxa"/>
          </w:tcPr>
          <w:p w14:paraId="262C60A6"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Explaining the prognosis of disease to the patient</w:t>
            </w:r>
          </w:p>
        </w:tc>
        <w:tc>
          <w:tcPr>
            <w:tcW w:w="1522" w:type="dxa"/>
          </w:tcPr>
          <w:p w14:paraId="0F847C1A"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24</w:t>
            </w:r>
          </w:p>
        </w:tc>
        <w:tc>
          <w:tcPr>
            <w:tcW w:w="2157" w:type="dxa"/>
          </w:tcPr>
          <w:p w14:paraId="6899A2F9"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690E06C4"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0E88D468" w14:textId="68E48705"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"DOI" : "10.1007/BF00846695", "ISBN" : "0160-7715 (Print)\\r0160-7715 (Linking)", "ISSN" : "0160-7715", "PMID" : "755868", "abstract" : "Patient satisfaction is a variable of increasing interest to researchers, clinicians, and medical educators. Of several studies reviewed, only a few have shown evidence of careful methodology. Most surveys have focused on general evaluations of doctors and/or health care services or of a particular facility. The present article reports the development of a scale to measure patient satisfaction with an encounter with a physician or other primary care provider. Methods of item generation and pretesting are detailed. The overall reliability of the scale (Cronbach's coefficient alpha) is 0.93. The distribution of satisfaction scores is broader than that reported for other scales and approaches the normal in shape. Clinical and research applications of the scale are suggested.", "author" : [ { "dropping-particle" : "", "family" : "Wolf", "given" : "Matthew H", "non-dropping-particle" : "", "parse-names" : false, "suffix" : "" }, { "dropping-particle" : "", "family" : "Putnam", "given" : "Samuel M", "non-dropping-particle" : "", "parse-names" : false, "suffix" : "" }, { "dropping-particle" : "", "family" : "James", "given" : "Sherman A", "non-dropping-particle" : "", "parse-names" : false, "suffix" : "" }, { "dropping-particle" : "", "family" : "Stiles", "given" : "William B", "non-dropping-particle" : "", "parse-names" : false, "suffix" : "" } ], "container-title" : "Journal of Behavioral Medicine", "id" : "ITEM-1", "issue" : "4", "issued" : { "date-parts" : [ [ "1978" ] ] }, "page" : "391-401", "title" : "The Medical Interview Satisfaction Scale: development of a scale to measure patient perceptions of physician behavior", "type" : "article-journal", "volume" : "1" }, "uris" : [ "http://www.mendeley.com/documents/?uuid=c97fc6f6-322d-44b9-9957-aa43f8a64bbd" ] }, { "id" : "ITEM-2", "itemData" : { "DOI" : "10.1016/S0738-3991(96)00962-7", "ISBN" : "0738-3991", "ISSN" : "07383991", "PMID" : "9128617", "abstract" : "The purpose of this preliminary study is to develop an operational definition of the closure phase of the medical visit. A listening group developed a definition of closure by consensus based on audiotaped data from 22 office visits to physicians. The group noted new problems in closure not previously raised. Closure was defined as the final phase of the medical visit in which the doctor and patient shift perspective to the future, finalize plans, and say goodbye. Two distinct organizational frameworks of closure are outlined. Thirty-six percent of closures were interrupted in some way. New problems occurred in 23% of visits, even those with open-ended beginnings and early physician requests for all patient concerns. Doctors' communication involved expression of emotion, patient education, clarification, summary, and parting comments. Patient communication included expression of emotion, information sharing, and parting comments. Doctors' communication skills for closure are proposed. Closure is a distinctive phase of the visit with an organizational framework and specific tasks. The frequency of new problems in closure suggests that physicians may have the potential to improve their effectiveness.", "author" : [ { "dropping-particle" : "", "family" : "White", "given" : "Jocelyn C", "non-dropping-particle" : "", "parse-names" : false, "suffix" : "" }, { "dropping-particle" : "", "family" : "Rosson", "given" : "Connie", "non-dropping-particle" : "", "parse-names" : false, "suffix" : "" }, { "dropping-particle" : "", "family" : "Christensen", "given" : "John", "non-dropping-particle" : "", "parse-names" : false, "suffix" : "" }, { "dropping-particle" : "", "family" : "Hart", "given" : "Rosemary", "non-dropping-particle" : "", "parse-names" : false, "suffix" : "" }, { "dropping-particle" : "", "family" : "Levinson", "given" : "Wendy", "non-dropping-particle" : "", "parse-names" : false, "suffix" : "" } ], "container-title" : "Patient Education and Counseling", "id" : "ITEM-2", "issue" : "2", "issued" : { "date-parts" : [ [ "1997" ] ] }, "page" : "155-165", "title" : "Wrapping things up: A qualitative analysis of the closing moments of the medical visit", "type" : "article-journal", "volume" : "30" }, "uris" : [ "http://www.mendeley.com/documents/?uuid=ccba0899-3ed5-435f-9843-41845c9b81d9" ] }, { "id" : "ITEM-3", "itemData" : { "ISSN" : "00034819", "PMID" : "6638726", "abstract" : "Physician behavior during inpatient rounds was observed and quantified for 394 interactions between patients with cancer and physicians. Most patients had solid tumors (90%) and a limited prognosis despite treatment (61%). The physicians spent 1.45 +/- 0.58 h on morning rounds seeing an average of 9.3 +/- 3.39 patients. For each patient an average of 3.61 +/- 2.83 min was spent in the room. The rest of the time was involved in reviewing the results of diagnostic tests, discussing treatment plans, and updating patient's charts. Time spent in the room was significantly related to the patient's sex and diagnosis. Physicians spent more time with patients having the poorest prognosis (p = 0.009). Specific behaviors were analyzed using a Physician Behavior Check List that allows accurate recording of behavior during a brief patients-physician encounter. Factor analysis of responses to the check list resulted in four factors that explained 58.7% of the variance. The physician behavior factor scores failed to correlate with factor scores from the responses of the same physicians to the Cancer Attitude Survey. In addition, the physicians were unable to accurately estimate the time they actually spent with patients or the frequency of specific behaviors that occurred during these interactions.", "author" : [ { "dropping-particle" : "", "family" : "Blanchard", "given" : "C. G.", "non-dropping-particle" : "", "parse-names" : false, "suffix" : "" }, { "dropping-particle" : "", "family" : "Ruckdeschel", "given" : "J. C.", "non-dropping-particle" : "", "parse-names" : false, "suffix" : "" }, { "dropping-particle" : "", "family" : "Blanchard", "given" : "E B", "non-dropping-particle" : "", "parse-names" : false, "suffix" : "" }, { "dropping-particle" : "", "family" : "Arena", "given" : "J. G.", "non-dropping-particle" : "", "parse-names" : false, "suffix" : "" }, { "dropping-particle" : "", "family" : "Saunders", "given" : "N. L.", "non-dropping-particle" : "", "parse-names" : false, "suffix" : "" }, { "dropping-particle" : "", "family" : "Malloy", "given" : "E. D.", "non-dropping-particle" : "", "parse-names" : false, "suffix" : "" } ], "container-title" : "Annals of Internal Medicine", "id" : "ITEM-3", "issue" : "5", "issued" : { "date-parts" : [ [ "1983" ] ] }, "page" : "694-699", "title" : "Interactions between oncologists and patients during rounds", "type" : "article-journal", "volume" : "99" }, "uris" : [ "http://www.mendeley.com/documents/?uuid=dddcb62e-f3da-4c1b-92b6-5b6e1fd4b417" ] } ], "mendeley" : { "formattedCitation" : "(Blanchard et al., 1983; J. C. White et al., 1997; Wolf et al., 1978)", "manualFormatting" : "Blanchard et al., 1983; White et al., 1997; Wolf et al., 1978", "plainTextFormattedCitation" : "(Blanchard et al., 1983; J. C. White et al., 1997; Wolf et al., 1978)", "previouslyFormattedCitation" : "(Blanchard et al., 1983; J. C. White et al., 1997; Wolf et al., 1978)"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Blanchard et al., 1983; White et al., 1997; Wolf et al., 1978</w:t>
            </w:r>
            <w:r w:rsidRPr="00A70A90">
              <w:rPr>
                <w:rFonts w:ascii="Times New Roman" w:hAnsi="Times New Roman" w:cs="Times New Roman"/>
              </w:rPr>
              <w:fldChar w:fldCharType="end"/>
            </w:r>
          </w:p>
        </w:tc>
      </w:tr>
      <w:tr w:rsidR="003128BD" w:rsidRPr="004D340D" w14:paraId="4A6F4641" w14:textId="32495739" w:rsidTr="003128BD">
        <w:tc>
          <w:tcPr>
            <w:tcW w:w="1036" w:type="dxa"/>
          </w:tcPr>
          <w:p w14:paraId="12C9AEF1"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41</w:t>
            </w:r>
          </w:p>
        </w:tc>
        <w:tc>
          <w:tcPr>
            <w:tcW w:w="5433" w:type="dxa"/>
          </w:tcPr>
          <w:p w14:paraId="5E4907C6"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Explaining the treatment to the patient</w:t>
            </w:r>
          </w:p>
        </w:tc>
        <w:tc>
          <w:tcPr>
            <w:tcW w:w="1522" w:type="dxa"/>
          </w:tcPr>
          <w:p w14:paraId="32BC27EC"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25</w:t>
            </w:r>
          </w:p>
        </w:tc>
        <w:tc>
          <w:tcPr>
            <w:tcW w:w="2157" w:type="dxa"/>
          </w:tcPr>
          <w:p w14:paraId="77545F46"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7AD7F8C3"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42A3FD73" w14:textId="1E16C59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lang w:eastAsia="zh-CN"/>
              </w:rPr>
              <w:fldChar w:fldCharType="begin" w:fldLock="1"/>
            </w:r>
            <w:r w:rsidR="002B2DFD">
              <w:rPr>
                <w:rFonts w:ascii="Times New Roman" w:hAnsi="Times New Roman" w:cs="Times New Roman"/>
                <w:lang w:eastAsia="zh-CN"/>
              </w:rPr>
              <w:instrText>ADDIN CSL_CITATION { "citationItems" : [ { "id" : "ITEM-1", "itemData" : { "ISSN" : "0379-8577", "PMID" : "16045107", "abstract" : "The aim of the study was to survey perceptions of quality of (primary) health care services provided in rural communities in the Limpopo province. Ten focus groups discussions were held with community members chosen by convenience from public places from four villages in the central region of the Limpopo Province. The sample included 42 women and 34 men (76 participants). Results indicated perceived quality discussed within the following categories: (1) conduct of staff (reception, communication, discrimination, care and compassion, respect for privacy), (2) technical care (examination, explanation of treatment, responsiveness, treatment outcomes), (3) health care facility, (4) health care organisation, (5) drugs (availability, explanation, effectiveness, payment), and (6) waiting time. The findings suggest some satisfaction with free basic and preventive health care and social services provided but there is a need to look closely into the interpersonal dimension of the services provided, provision of medication with adequate explanation to patients on the medication given, and on structural aspects, there is need for the government to give support to the clinics to provide adequate services. Improving drug availability, interpersonal skills (including attitudes towards patients) and technical care have been identified as the three main priorities for enhancing perceived quality of primary health care and health policy action.", "author" : [ { "dropping-particle" : "", "family" : "Mashego", "given" : "T-AB", "non-dropping-particle" : "", "parse-names" : false, "suffix" : "" }, { "dropping-particle" : "", "family" : "Peltzer", "given" : "Karl", "non-dropping-particle" : "", "parse-names" : false, "suffix" : "" } ], "container-title" : "Curationis", "id" : "ITEM-1", "issue" : "2", "issued" : { "date-parts" : [ [ "2005", "5" ] ] }, "page" : "13-21", "title" : "Community perception of quality of (primary) health care services in a rural area of Limpopo Province, South Africa: a qualitative study.", "type" : "article-journal", "volume" : "28" }, "uris" : [ "http://www.mendeley.com/documents/?uuid=536cd457-6035-4241-a004-c4b9926f4a54" ] }, { "id" : "ITEM-2", "itemData" : { "DOI" : "10.1186/1471-2296-7-72", "ISBN" : "1471-2296 (Electronic)\\r1471-2296 (Linking)", "ISSN" : "1471-2296", "PMID" : "17156424", "abstract" : "BACKGROUND: A good patient-physician interaction is particularly important in chronic diseases like diabetes. There are so far no published data regarding the interaction between the primary health-care providers and patients with type 2 diabetes in Oman, where diabetes is a major and growing health problem. This study aimed at exploring how health-care providers interact with patients with type 2 diabetes at primary health-care level in Muscat, Oman, focusing on the consultation environment, and some aspects of care and information. METHODS: Direct observations of 90 consultations between 23 doctors and 13 diabetes nurses concerned with diabetes management during their consultations with type 2 diabetes patients in six primary health-care centres in the Muscat region, using checklists developed from the National Diabetes Guidelines. Consultations were assessed as optimal if more than 75% of observed aspects were fulfilled and sub-optimal if less than 50% were fulfilled. RESULTS: Overall 52% of the doctors' consultations were not optimal. Some important aspects for a positive consultation environment were fulfilled in only about half of the doctors' consultations: ensuring privacy of consultation (49%), eye contact (49%), good attention (52%), encouraging asking questions (47%), and emphasizing on the patients' understanding of the provided information (52%). The doctors inquired about adverse effects of anti-diabetes drugs in less than 10% of consultations. The quality of the nurses' consultations was sub-optimal in about 75% of 85 consultations regarding aspects of consultation environment, care and information. CONCLUSION: The performance of the primary health-care doctors and diabetes nurses needs to be improved. The role of the diabetes nurses and the teamwork should be enhanced. We suggest a multidisciplinary team approach, training and education to the providers to upgrade their skills regarding communication and care. Barriers to compliance with the guidelines need to be further explored. Improving the work situation mainly for the diabetes nurses and further improvement in the organizational efficiency of diabetes services such as lowering the number of patients in diabetes clinic, are suggested.", "author" : [ { "dropping-particle" : "", "family" : "Abdulhadi", "given" : "Nadia", "non-dropping-particle" : "", "parse-names" : false, "suffix" : "" }, { "dropping-particle" : "", "family" : "Al-Shafaee", "given" : "Mohammed Ali", "non-dropping-particle" : "", "parse-names" : false, "suffix" : "" }, { "dropping-particle" : "", "family" : "Ostenson", "given" : "Claes-G\u00f6ran", "non-dropping-particle" : "", "parse-names" : false, "suffix" : "" }, { "dropping-particle" : "", "family" : "Vernby", "given" : "Asa", "non-dropping-particle" : "", "parse-names" : false, "suffix" : "" }, { "dropping-particle" : "", "family" : "Wahlstr\u00f6m", "given" : "Rolf", "non-dropping-particle" : "", "parse-names" : false, "suffix" : "" } ], "container-title" : "BMC family practice", "id" : "ITEM-2", "issued" : { "date-parts" : [ [ "2006" ] ] }, "page" : "72", "title" : "Quality of interaction between primary health-care providers and patients with type 2 diabetes in Muscat, Oman: an observational study.", "type" : "article-journal", "volume" : "7" }, "uris" : [ "http://www.mendeley.com/documents/?uuid=dafc7419-ac9f-4d97-9f44-e78781973afe" ] }, { "id" : "ITEM-3", "itemData" : { "DOI" : "10.1007/BF00846695", "ISBN" : "0160-7715 (Print)\\r0160-7715 (Linking)", "ISSN" : "0160-7715", "PMID" : "755868", "abstract" : "Patient satisfaction is a variable of increasing interest to researchers, clinicians, and medical educators. Of several studies reviewed, only a few have shown evidence of careful methodology. Most surveys have focused on general evaluations of doctors and/or health care services or of a particular facility. The present article reports the development of a scale to measure patient satisfaction with an encounter with a physician or other primary care provider. Methods of item generation and pretesting are detailed. The overall reliability of the scale (Cronbach's coefficient alpha) is 0.93. The distribution of satisfaction scores is broader than that reported for other scales and approaches the normal in shape. Clinical and research applications of the scale are suggested.", "author" : [ { "dropping-particle" : "", "family" : "Wolf", "given" : "Matthew H", "non-dropping-particle" : "", "parse-names" : false, "suffix" : "" }, { "dropping-particle" : "", "family" : "Putnam", "given" : "Samuel M", "non-dropping-particle" : "", "parse-names" : false, "suffix" : "" }, { "dropping-particle" : "", "family" : "James", "given" : "Sherman A", "non-dropping-particle" : "", "parse-names" : false, "suffix" : "" }, { "dropping-particle" : "", "family" : "Stiles", "given" : "William B", "non-dropping-particle" : "", "parse-names" : false, "suffix" : "" } ], "container-title" : "Journal of Behavioral Medicine", "id" : "ITEM-3", "issue" : "4", "issued" : { "date-parts" : [ [ "1978" ] ] }, "page" : "391-401", "title" : "The Medical Interview Satisfaction Scale: development of a scale to measure patient perceptions of physician behavior", "type" : "article-journal", "volume" : "1" }, "uris" : [ "http://www.mendeley.com/documents/?uuid=c97fc6f6-322d-44b9-9957-aa43f8a64bbd" ] }, { "id" : "ITEM-4", "itemData" : { "ISBN" : "0025-7079", "ISSN" : "0025-7079", "PMID" : "8366685", "abstract" : "This study describes the results of a four-year research effort to develop inpatient and outpatient questionnaires that have sufficient validity and reliability to be used to measure patient perceptions of quality. As part of this effort, over 50,000 inpatients, emergency room patients, and ambulatory surgery patients from over 300 hospitals representing every US census region were surveyed. Separate questionnaires, called Quality of Care Monitors, were developed for inpatients and outpatients. The inpatient questionnaire consisted of 8 scales: Physician Care, Nursing Care, Medical Outcome, Courtesy, Food Service, Comfort and Cleanliness, Admissions/Billing, and Religious Care. The outpatient questionnaire had 7 scales: Physician Care, Nursing Care, Medical Outcome, Facility Characteristics, Waiting Time, Testing Services and Registration Process. The study found strong evidence of construct validity, predictive validity, and internal consistency for both questionnaires. Each questionnaire is capable of measuring separate dimensions of patient experience. A data bank developed from these questionnaires is currently accessed regularly by participating hospitals to assess quality improvement and to make benchmark comparisons with similar hospitals.", "author" : [ { "dropping-particle" : "", "family" : "Carey", "given" : "R G", "non-dropping-particle" : "", "parse-names" : false, "suffix" : "" }, { "dropping-particle" : "", "family" : "Seibert", "given" : "J H", "non-dropping-particle" : "", "parse-names" : false, "suffix" : "" } ], "container-title" : "Medical care", "id" : "ITEM-4", "issue" : "9", "issued" : { "date-parts" : [ [ "1993" ] ] }, "page" : "834-845", "title" : "A patient survey system to measure quality improvement: questionnaire reliability and validity.", "type" : "article-journal", "volume" : "31" }, "uris" : [ "http://www.mendeley.com/documents/?uuid=9acfae34-deec-414d-9e8c-5ee44b3aa962" ] }, { "id" : "ITEM-5", "itemData" : { "DOI" : "10.1093/intqhc/mzl049", "ISBN" : "1353-4505 (Print)\\n1353-4505 (Linking)", "ISSN" : "1353-4505", "PMID" : "17012306", "abstract" : "OBJECTIVE: . (i) To develop a reliable and valid scale to measure in-patient and outpatient perceptions of quality in India and (ii) to identify aspects of perceived quality which have large effects on patient satisfaction. DESIGN: Cross-sectional survey of health facilities and patients at clinics. SETTING: Primary health centers, community health centers, district hospitals, and female district hospitals in the state of Uttar Pradesh in north India. MAIN OUTCOME MEASURES: Internal consistency, validity, and factor structure of the scale are evaluated. The association between patient satisfaction and perceived quality dimensions is examined. RESULTS: A 16-item scale having good reliability and validity is developed. Five dimensions of perceived quality are identified-medicine availability, medical information, staff behavior, doctor behavior, and hospital infrastructure. Patient perceptions of quality at public health facilities are slightly better than neutral. Multivariate regression analysis results indicate that for outpatients, doctor behavior has the largest effect on general patient satisfaction followed by medicine availability, hospital infrastructure, staff behavior, and medical information. For in-patients, staff behavior has the largest effect followed by doctor behavior, medicine availability, medical information, and hospital infrastructure. CONCLUSIONS: The scale developed can be used to measure perceived quality at a range of facility types for outpatients and in-patients. Perceived quality at public facilities is only marginally favorable, leaving much scope for improvement. Better staff and physician interpersonal skills, facility infrastructure, and availability of drugs have the largest effect in improving patient satisfaction at public health facilities.", "author" : [ { "dropping-particle" : "", "family" : "Rao", "given" : "Krishna Dipankar", "non-dropping-particle" : "", "parse-names" : false, "suffix" : "" }, { "dropping-particle" : "", "family" : "Peters", "given" : "David H.", "non-dropping-particle" : "", "parse-names" : false, "suffix" : "" }, { "dropping-particle" : "", "family" : "Bandeen-Roche", "given" : "Karen", "non-dropping-particle" : "", "parse-names" : false, "suffix" : "" } ], "container-title" : "International journal for quality in health care : journal of the International Society for Quality in Health Care / ISQua", "id" : "ITEM-5", "issue" : "6", "issued" : { "date-parts" : [ [ "2006", "12", "1" ] ] }, "page" : "414-421", "title" : "Towards patient-centered health services in India--a scale to measure patient perceptions of quality.", "type" : "article-journal", "volume" : "18" }, "uris" : [ "http://www.mendeley.com/documents/?uuid=e5b99dc0-7d6a-4ac0-b98e-3e7c2639020d" ] }, { "id" : "ITEM-6", "itemData" : { "DOI" : "10.1016/S0738-3991(96)00962-7", "ISBN" : "0738-3991", "ISSN" : "07383991", "PMID" : "9128617", "abstract" : "The purpose of this preliminary study is to develop an operational definition of the closure phase of the medical visit. A listening group developed a definition of closure by consensus based on audiotaped data from 22 office visits to physicians. The group noted new problems in closure not previously raised. Closure was defined as the final phase of the medical visit in which the doctor and patient shift perspective to the future, finalize plans, and say goodbye. Two distinct organizational frameworks of closure are outlined. Thirty-six percent of closures were interrupted in some way. New problems occurred in 23% of visits, even those with open-ended beginnings and early physician requests for all patient concerns. Doctors' communication involved expression of emotion, patient education, clarification, summary, and parting comments. Patient communication included expression of emotion, information sharing, and parting comments. Doctors' communication skills for closure are proposed. Closure is a distinctive phase of the visit with an organizational framework and specific tasks. The frequency of new problems in closure suggests that physicians may have the potential to improve their effectiveness.", "author" : [ { "dropping-particle" : "", "family" : "White", "given" : "Jocelyn C", "non-dropping-particle" : "", "parse-names" : false, "suffix" : "" }, { "dropping-particle" : "", "family" : "Rosson", "given" : "Connie", "non-dropping-particle" : "", "parse-names" : false, "suffix" : "" }, { "dropping-particle" : "", "family" : "Christensen", "given" : "John", "non-dropping-particle" : "", "parse-names" : false, "suffix" : "" }, { "dropping-particle" : "", "family" : "Hart", "given" : "Rosemary", "non-dropping-particle" : "", "parse-names" : false, "suffix" : "" }, { "dropping-particle" : "", "family" : "Levinson", "given" : "Wendy", "non-dropping-particle" : "", "parse-names" : false, "suffix" : "" } ], "container-title" : "Patient Education and Counseling", "id" : "ITEM-6", "issue" : "2", "issued" : { "date-parts" : [ [ "1997" ] ] }, "page" : "155-165", "title" : "Wrapping things up: A qualitative analysis of the closing moments of the medical visit", "type" : "article-journal", "volume" : "30" }, "uris" : [ "http://www.mendeley.com/documents/?uuid=ccba0899-3ed5-435f-9843-41845c9b81d9" ] }, { "id" : "ITEM-7", "itemData" : { "ISSN" : "00034819", "PMID" : "6638726", "abstract" : "Physician behavior during inpatient rounds was observed and quantified for 394 interactions between patients with cancer and physicians. Most patients had solid tumors (90%) and a limited prognosis despite treatment (61%). The physicians spent 1.45 +/- 0.58 h on morning rounds seeing an average of 9.3 +/- 3.39 patients. For each patient an average of 3.61 +/- 2.83 min was spent in the room. The rest of the time was involved in reviewing the results of diagnostic tests, discussing treatment plans, and updating patient's charts. Time spent in the room was significantly related to the patient's sex and diagnosis. Physicians spent more time with patients having the poorest prognosis (p = 0.009). Specific behaviors were analyzed using a Physician Behavior Check List that allows accurate recording of behavior during a brief patients-physician encounter. Factor analysis of responses to the check list resulted in four factors that explained 58.7% of the variance. The physician behavior factor scores failed to correlate with factor scores from the responses of the same physicians to the Cancer Attitude Survey. In addition, the physicians were unable to accurately estimate the time they actually spent with patients or the frequency of specific behaviors that occurred during these interactions.", "author" : [ { "dropping-particle" : "", "family" : "Blanchard", "given" : "C. G.", "non-dropping-particle" : "", "parse-names" : false, "suffix" : "" }, { "dropping-particle" : "", "family" : "Ruckdeschel", "given" : "J. C.", "non-dropping-particle" : "", "parse-names" : false, "suffix" : "" }, { "dropping-particle" : "", "family" : "Blanchard", "given" : "E B", "non-dropping-particle" : "", "parse-names" : false, "suffix" : "" }, { "dropping-particle" : "", "family" : "Arena", "given" : "J. G.", "non-dropping-particle" : "", "parse-names" : false, "suffix" : "" }, { "dropping-particle" : "", "family" : "Saunders", "given" : "N. L.", "non-dropping-particle" : "", "parse-names" : false, "suffix" : "" }, { "dropping-particle" : "", "family" : "Malloy", "given" : "E. D.", "non-dropping-particle" : "", "parse-names" : false, "suffix" : "" } ], "container-title" : "Annals of Internal Medicine", "id" : "ITEM-7", "issue" : "5", "issued" : { "date-parts" : [ [ "1983" ] ] }, "page" : "694-699", "title" : "Interactions between oncologists and patients during rounds", "type" : "article-journal", "volume" : "99" }, "uris" : [ "http://www.mendeley.com/documents/?uuid=dddcb62e-f3da-4c1b-92b6-5b6e1fd4b417" ] } ], "mendeley" : { "formattedCitation" : "(Abdulhadi et al., 2006; Blanchard et al., 1983; Carey &amp; Seibert, 1993; Mashego &amp; Peltzer, 2005; Rao et al., 2006; J. C. White et al., 1997; Wolf et al., 1978)", "manualFormatting" : "Abdulhadi et al., 2006; Blanchard et al., 1983; Carey &amp; Seibert, 1993; Mashego &amp; Peltzer, 2005; Rao et al., 2006; White et al., 1997; Wolf et al., 1978", "plainTextFormattedCitation" : "(Abdulhadi et al., 2006; Blanchard et al., 1983; Carey &amp; Seibert, 1993; Mashego &amp; Peltzer, 2005; Rao et al., 2006; J. C. White et al., 1997; Wolf et al., 1978)", "previouslyFormattedCitation" : "(Abdulhadi et al., 2006; Blanchard et al., 1983; Carey &amp; Seibert, 1993; Mashego &amp; Peltzer, 2005; Rao et al., 2006; J. C. White et al., 1997; Wolf et al., 1978)" }, "properties" : { "noteIndex" : 0 }, "schema" : "https://github.com/citation-style-language/schema/raw/master/csl-citation.json" }</w:instrText>
            </w:r>
            <w:r w:rsidRPr="00A70A90">
              <w:rPr>
                <w:rFonts w:ascii="Times New Roman" w:hAnsi="Times New Roman" w:cs="Times New Roman"/>
                <w:lang w:eastAsia="zh-CN"/>
              </w:rPr>
              <w:fldChar w:fldCharType="separate"/>
            </w:r>
            <w:r w:rsidRPr="00A70A90">
              <w:rPr>
                <w:rFonts w:ascii="Times New Roman" w:hAnsi="Times New Roman" w:cs="Times New Roman"/>
                <w:noProof/>
                <w:lang w:eastAsia="zh-CN"/>
              </w:rPr>
              <w:t>Abdulhadi et al., 2006; Blanchard et al., 1983; Carey &amp; Seibert, 1993; Mashego &amp; Peltzer, 2005; Rao et al., 2006; White et al., 1997; Wolf et al., 1978</w:t>
            </w:r>
            <w:r w:rsidRPr="00A70A90">
              <w:rPr>
                <w:rFonts w:ascii="Times New Roman" w:hAnsi="Times New Roman" w:cs="Times New Roman"/>
                <w:lang w:eastAsia="zh-CN"/>
              </w:rPr>
              <w:fldChar w:fldCharType="end"/>
            </w:r>
          </w:p>
        </w:tc>
      </w:tr>
      <w:tr w:rsidR="003128BD" w:rsidRPr="004D340D" w14:paraId="4DFC0EFC" w14:textId="283EF327" w:rsidTr="003128BD">
        <w:tc>
          <w:tcPr>
            <w:tcW w:w="1036" w:type="dxa"/>
          </w:tcPr>
          <w:p w14:paraId="29E6F75E"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42</w:t>
            </w:r>
          </w:p>
        </w:tc>
        <w:tc>
          <w:tcPr>
            <w:tcW w:w="5433" w:type="dxa"/>
          </w:tcPr>
          <w:p w14:paraId="1CAC9D21"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Explaining the preventive aspects to the patient</w:t>
            </w:r>
          </w:p>
        </w:tc>
        <w:tc>
          <w:tcPr>
            <w:tcW w:w="1522" w:type="dxa"/>
          </w:tcPr>
          <w:p w14:paraId="2514B582"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26</w:t>
            </w:r>
          </w:p>
        </w:tc>
        <w:tc>
          <w:tcPr>
            <w:tcW w:w="2157" w:type="dxa"/>
          </w:tcPr>
          <w:p w14:paraId="268410BF"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33834508"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1202F8DC" w14:textId="29C49EF3"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"DOI" : "10.1016/S0738-3991(96)00962-7", "ISBN" : "0738-3991", "ISSN" : "07383991", "PMID" : "9128617", "abstract" : "The purpose of this preliminary study is to develop an operational definition of the closure phase of the medical visit. A listening group developed a definition of closure by consensus based on audiotaped data from 22 office visits to physicians. The group noted new problems in closure not previously raised. Closure was defined as the final phase of the medical visit in which the doctor and patient shift perspective to the future, finalize plans, and say goodbye. Two distinct organizational frameworks of closure are outlined. Thirty-six percent of closures were interrupted in some way. New problems occurred in 23% of visits, even those with open-ended beginnings and early physician requests for all patient concerns. Doctors' communication involved expression of emotion, patient education, clarification, summary, and parting comments. Patient communication included expression of emotion, information sharing, and parting comments. Doctors' communication skills for closure are proposed. Closure is a distinctive phase of the visit with an organizational framework and specific tasks. The frequency of new problems in closure suggests that physicians may have the potential to improve their effectiveness.", "author" : [ { "dropping-particle" : "", "family" : "White", "given" : "Jocelyn C", "non-dropping-particle" : "", "parse-names" : false, "suffix" : "" }, { "dropping-particle" : "", "family" : "Rosson", "given" : "Connie", "non-dropping-particle" : "", "parse-names" : false, "suffix" : "" }, { "dropping-particle" : "", "family" : "Christensen", "given" : "John", "non-dropping-particle" : "", "parse-names" : false, "suffix" : "" }, { "dropping-particle" : "", "family" : "Hart", "given" : "Rosemary", "non-dropping-particle" : "", "parse-names" : false, "suffix" : "" }, { "dropping-particle" : "", "family" : "Levinson", "given" : "Wendy", "non-dropping-particle" : "", "parse-names" : false, "suffix" : "" } ], "container-title" : "Patient Education and Counseling", "id" : "ITEM-1", "issue" : "2", "issued" : { "date-parts" : [ [ "1997" ] ] }, "page" : "155-165", "title" : "Wrapping things up: A qualitative analysis of the closing moments of the medical visit", "type" : "article-journal", "volume" : "30" }, "uris" : [ "http://www.mendeley.com/documents/?uuid=ccba0899-3ed5-435f-9843-41845c9b81d9" ] } ], "mendeley" : { "formattedCitation" : "(J. C. White et al., 1997)", "manualFormatting" : "White et al., 1997", "plainTextFormattedCitation" : "(J. C. White et al., 1997)", "previouslyFormattedCitation" : "(J. C. White et al., 1997)"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White et al., 1997</w:t>
            </w:r>
            <w:r w:rsidRPr="00A70A90">
              <w:rPr>
                <w:rFonts w:ascii="Times New Roman" w:hAnsi="Times New Roman" w:cs="Times New Roman"/>
              </w:rPr>
              <w:fldChar w:fldCharType="end"/>
            </w:r>
          </w:p>
        </w:tc>
      </w:tr>
      <w:tr w:rsidR="003128BD" w:rsidRPr="004D340D" w14:paraId="12E04179" w14:textId="1711D3A9" w:rsidTr="003128BD">
        <w:tc>
          <w:tcPr>
            <w:tcW w:w="1036" w:type="dxa"/>
          </w:tcPr>
          <w:p w14:paraId="59D7B389"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43</w:t>
            </w:r>
          </w:p>
        </w:tc>
        <w:tc>
          <w:tcPr>
            <w:tcW w:w="5433" w:type="dxa"/>
          </w:tcPr>
          <w:p w14:paraId="430F6E61" w14:textId="77777777" w:rsidR="003128BD" w:rsidRPr="00A70A90" w:rsidRDefault="003128BD" w:rsidP="003128BD">
            <w:pPr>
              <w:spacing w:after="0" w:line="240" w:lineRule="auto"/>
              <w:rPr>
                <w:rFonts w:ascii="Times New Roman" w:hAnsi="Times New Roman" w:cs="Times New Roman"/>
                <w:i/>
              </w:rPr>
            </w:pPr>
            <w:r w:rsidRPr="00A70A90">
              <w:rPr>
                <w:rFonts w:ascii="Times New Roman" w:hAnsi="Times New Roman" w:cs="Times New Roman"/>
                <w:i/>
              </w:rPr>
              <w:t>Explaining the side effects of the treatment to the patient</w:t>
            </w:r>
          </w:p>
        </w:tc>
        <w:tc>
          <w:tcPr>
            <w:tcW w:w="1522" w:type="dxa"/>
          </w:tcPr>
          <w:p w14:paraId="420A5063" w14:textId="77777777" w:rsidR="003128BD" w:rsidRPr="00A70A90" w:rsidRDefault="003128BD" w:rsidP="003128BD">
            <w:pPr>
              <w:spacing w:after="0" w:line="240" w:lineRule="auto"/>
              <w:jc w:val="center"/>
              <w:rPr>
                <w:rFonts w:ascii="Times New Roman" w:hAnsi="Times New Roman" w:cs="Times New Roman"/>
              </w:rPr>
            </w:pPr>
          </w:p>
        </w:tc>
        <w:tc>
          <w:tcPr>
            <w:tcW w:w="2157" w:type="dxa"/>
          </w:tcPr>
          <w:p w14:paraId="20BAB4F1"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35BC4643"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21F1B5AA" w14:textId="628D79DA"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"ISBN" : "0893-8652", "ISSN" : "0893-8652", "PMID" : "11841136", "abstract" : "BACKGROUND: The physician-patient interview is the key component of all health care, particularly of primary medical care. This review sought to evaluate existing primary-care-based research studies to determine which verbal and nonverbal behaviors on the part of the physician during the medical encounter have been linked in empirical studies with favorable patient outcomes. METHODS: We reviewed the literature from 1975 to 2000 for studies of office interactions between primary care physicians and patients that evaluated these interactions empirically using neutral observers who coded observed encounters, videotapes, or audiotapes. Each study was reviewed for the quality of the methods and to find statistically significant relations between specific physician behaviors and patient outcomes. In examining nonverbal behaviors, because of a paucity of clinical outcome studies, outcomes were expanded to include associations with patient characteristics or subjective ratings of the interaction by observers. RESULTS: We found 14 studies of verbal communication and 8 studies of nonverbal communication that met inclusion criteria. Verbal behaviors positively associated with health outcomes included empathy, reassurance and support, various patient-centered questioning techniques, encounter length, history taking, explanations, both dominant and passive physician styles, positive reinforcement, humor, psychosocial talk, time in health education and information sharing, friendliness, courtesy, orienting the patient during examination, and summarization and clarification. Nonverbal behaviors positively associated with outcomes included head nodding, forward lean, direct body orientation, uncrossed legs and arms, arm symmetry, and less mutual gaze. CONCLUSION: Existing research is limited because of lack of consensus of what to measure, conflicting findings, and relative lack of empirical studies (especially of nonverbal behavior). Nonetheless, medical educators should focus on teaching and reinforcing behaviors known to be facilitative, and to continue to understand further how physician behavior can enhance favorable patient outcomes, such as understanding and adherence to medical regimens and overall satisfaction.", "author" : [ { "dropping-particle" : "", "family" : "Beck", "given" : "Rainer S", "non-dropping-particle" : "", "parse-names" : false, "suffix" : "" }, { "dropping-particle" : "", "family" : "Daughtridge", "given" : "Rebecca", "non-dropping-particle" : "", "parse-names" : false, "suffix" : "" }, { "dropping-particle" : "", "family" : "Sloane", "given" : "Philip D", "non-dropping-particle" : "", "parse-names" : false, "suffix" : "" } ], "container-title" : "The Journal of the American Board of Family Practice / American Board of Family Practice", "id" : "ITEM-1", "issue" : "1", "issued" : { "date-parts" : [ [ "2000" ] ] }, "page" : "25-38", "title" : "Physician-patient communication in the primary care office: a systematic review.", "type" : "article-journal", "volume" : "15" }, "uris" : [ "http://www.mendeley.com/documents/?uuid=4f428e78-1aa3-4810-aad2-6aa695f77c16" ] }, { "id" : "ITEM-2", "itemData" : { "DOI" : "10.1016/S0738-3991(01)00136-7", "ISBN" : "0738-3991 (Print) 0738-3991 (Linking)", "ISSN" : "0738-3991 (Print) 0738-3991 (Linking)", "PMID" : "11602365", "abstract" : "This article examines uses and characteristics of the SEGUE Framework, a research-based checklist of medical communication tasks. A recent survey of US and Canadian medical schools indicates that the SEGUE Framework is the most widely used structure for communication skills teaching and assessment in North America. Student and faculty response to the SEGUE Framework as a teaching tool has been positive. Data drawn from clinical skills assessments with standardized patients provide evidence of concurrent and construct validity. Analysis of visits between general internists and their patients reinforces validity of the SEGUE Framework in an actual practice setting. Interrater reliability is high when standardized patients are recording student performance immediately after a live encounter, and when coders are evaluating videotaped or audiotaped encounters; intrarater reliability is strong as well. The SEGUE Framework has a high degree of acceptability, can be used reliably, has evidence of validity, and is applicable to a variety of contexts. Studies of predictive validity are needed.", "author" : [ { "dropping-particle" : "", "family" : "Makoul", "given" : "G", "non-dropping-particle" : "", "parse-names" : false, "suffix" : "" } ], "container-title" : "Patient education and counseling", "id" : "ITEM-2", "issue" : "1", "issued" : { "date-parts" : [ [ "2001" ] ] }, "page" : "23-34", "title" : "The SEGUE Framework for teaching and assessing communication skills.", "type" : "article-journal", "volume" : "45" }, "uris" : [ "http://www.mendeley.com/documents/?uuid=910716af-5254-4057-bdec-635dc3a0b4f5" ] } ], "mendeley" : { "formattedCitation" : "(Beck et al., 2000; Makoul, 2001)", "manualFormatting" : "Beck et al., 2000; Makoul, 2001", "plainTextFormattedCitation" : "(Beck et al., 2000; Makoul, 2001)", "previouslyFormattedCitation" : "(Beck et al., 2000; Makoul, 2001)"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Beck et al., 2000; Makoul, 2001</w:t>
            </w:r>
            <w:r w:rsidRPr="00A70A90">
              <w:rPr>
                <w:rFonts w:ascii="Times New Roman" w:hAnsi="Times New Roman" w:cs="Times New Roman"/>
              </w:rPr>
              <w:fldChar w:fldCharType="end"/>
            </w:r>
          </w:p>
        </w:tc>
      </w:tr>
      <w:tr w:rsidR="003128BD" w:rsidRPr="004D340D" w14:paraId="579C560E" w14:textId="50D3083C" w:rsidTr="003128BD">
        <w:tc>
          <w:tcPr>
            <w:tcW w:w="1036" w:type="dxa"/>
          </w:tcPr>
          <w:p w14:paraId="403C7D39"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44</w:t>
            </w:r>
          </w:p>
        </w:tc>
        <w:tc>
          <w:tcPr>
            <w:tcW w:w="5433" w:type="dxa"/>
          </w:tcPr>
          <w:p w14:paraId="6B9CCB5F" w14:textId="77777777" w:rsidR="003128BD" w:rsidRPr="00A70A90" w:rsidRDefault="003128BD" w:rsidP="003128BD">
            <w:pPr>
              <w:spacing w:after="0" w:line="240" w:lineRule="auto"/>
              <w:rPr>
                <w:rFonts w:ascii="Times New Roman" w:hAnsi="Times New Roman" w:cs="Times New Roman"/>
                <w:i/>
              </w:rPr>
            </w:pPr>
            <w:r w:rsidRPr="00A70A90">
              <w:rPr>
                <w:rFonts w:ascii="Times New Roman" w:hAnsi="Times New Roman" w:cs="Times New Roman"/>
                <w:i/>
              </w:rPr>
              <w:t>Explaining the result of tests to the patient</w:t>
            </w:r>
          </w:p>
        </w:tc>
        <w:tc>
          <w:tcPr>
            <w:tcW w:w="1522" w:type="dxa"/>
          </w:tcPr>
          <w:p w14:paraId="7932E947" w14:textId="77777777" w:rsidR="003128BD" w:rsidRPr="00A70A90" w:rsidRDefault="003128BD" w:rsidP="003128BD">
            <w:pPr>
              <w:spacing w:after="0" w:line="240" w:lineRule="auto"/>
              <w:jc w:val="center"/>
              <w:rPr>
                <w:rFonts w:ascii="Times New Roman" w:hAnsi="Times New Roman" w:cs="Times New Roman"/>
              </w:rPr>
            </w:pPr>
          </w:p>
        </w:tc>
        <w:tc>
          <w:tcPr>
            <w:tcW w:w="2157" w:type="dxa"/>
          </w:tcPr>
          <w:p w14:paraId="312C4D0B"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0B946967"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4AEFB898" w14:textId="3806FE4A"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"DOI" : "10.1007/BF00846695", "ISBN" : "0160-7715 (Print)\\r0160-7715 (Linking)", "ISSN" : "0160-7715", "PMID" : "755868", "abstract" : "Patient satisfaction is a variable of increasing interest to researchers, clinicians, and medical educators. Of several studies reviewed, only a few have shown evidence of careful methodology. Most surveys have focused on general evaluations of doctors and/or health care services or of a particular facility. The present article reports the development of a scale to measure patient satisfaction with an encounter with a physician or other primary care provider. Methods of item generation and pretesting are detailed. The overall reliability of the scale (Cronbach's coefficient alpha) is 0.93. The distribution of satisfaction scores is broader than that reported for other scales and approaches the normal in shape. Clinical and research applications of the scale are suggested.", "author" : [ { "dropping-particle" : "", "family" : "Wolf", "given" : "Matthew H", "non-dropping-particle" : "", "parse-names" : false, "suffix" : "" }, { "dropping-particle" : "", "family" : "Putnam", "given" : "Samuel M", "non-dropping-particle" : "", "parse-names" : false, "suffix" : "" }, { "dropping-particle" : "", "family" : "James", "given" : "Sherman A", "non-dropping-particle" : "", "parse-names" : false, "suffix" : "" }, { "dropping-particle" : "", "family" : "Stiles", "given" : "William B", "non-dropping-particle" : "", "parse-names" : false, "suffix" : "" } ], "container-title" : "Journal of Behavioral Medicine", "id" : "ITEM-1", "issue" : "4", "issued" : { "date-parts" : [ [ "1978" ] ] }, "page" : "391-401", "title" : "The Medical Interview Satisfaction Scale: development of a scale to measure patient perceptions of physician behavior", "type" : "article-journal", "volume" : "1" }, "uris" : [ "http://www.mendeley.com/documents/?uuid=c97fc6f6-322d-44b9-9957-aa43f8a64bbd" ] }, { "id" : "ITEM-2", "itemData" : { "DOI" : "10.1016/S0738-3991(96)00962-7", "ISBN" : "0738-3991", "ISSN" : "07383991", "PMID" : "9128617", "abstract" : "The purpose of this preliminary study is to develop an operational definition of the closure phase of the medical visit. A listening group developed a definition of closure by consensus based on audiotaped data from 22 office visits to physicians. The group noted new problems in closure not previously raised. Closure was defined as the final phase of the medical visit in which the doctor and patient shift perspective to the future, finalize plans, and say goodbye. Two distinct organizational frameworks of closure are outlined. Thirty-six percent of closures were interrupted in some way. New problems occurred in 23% of visits, even those with open-ended beginnings and early physician requests for all patient concerns. Doctors' communication involved expression of emotion, patient education, clarification, summary, and parting comments. Patient communication included expression of emotion, information sharing, and parting comments. Doctors' communication skills for closure are proposed. Closure is a distinctive phase of the visit with an organizational framework and specific tasks. The frequency of new problems in closure suggests that physicians may have the potential to improve their effectiveness.", "author" : [ { "dropping-particle" : "", "family" : "White", "given" : "Jocelyn C", "non-dropping-particle" : "", "parse-names" : false, "suffix" : "" }, { "dropping-particle" : "", "family" : "Rosson", "given" : "Connie", "non-dropping-particle" : "", "parse-names" : false, "suffix" : "" }, { "dropping-particle" : "", "family" : "Christensen", "given" : "John", "non-dropping-particle" : "", "parse-names" : false, "suffix" : "" }, { "dropping-particle" : "", "family" : "Hart", "given" : "Rosemary", "non-dropping-particle" : "", "parse-names" : false, "suffix" : "" }, { "dropping-particle" : "", "family" : "Levinson", "given" : "Wendy", "non-dropping-particle" : "", "parse-names" : false, "suffix" : "" } ], "container-title" : "Patient Education and Counseling", "id" : "ITEM-2", "issue" : "2", "issued" : { "date-parts" : [ [ "1997" ] ] }, "page" : "155-165", "title" : "Wrapping things up: A qualitative analysis of the closing moments of the medical visit", "type" : "article-journal", "volume" : "30" }, "uris" : [ "http://www.mendeley.com/documents/?uuid=ccba0899-3ed5-435f-9843-41845c9b81d9" ] }, { "id" : "ITEM-3", "itemData" : { "ISSN" : "00034819", "PMID" : "6638726", "abstract" : "Physician behavior during inpatient rounds was observed and quantified for 394 interactions between patients with cancer and physicians. Most patients had solid tumors (90%) and a limited prognosis despite treatment (61%). The physicians spent 1.45 +/- 0.58 h on morning rounds seeing an average of 9.3 +/- 3.39 patients. For each patient an average of 3.61 +/- 2.83 min was spent in the room. The rest of the time was involved in reviewing the results of diagnostic tests, discussing treatment plans, and updating patient's charts. Time spent in the room was significantly related to the patient's sex and diagnosis. Physicians spent more time with patients having the poorest prognosis (p = 0.009). Specific behaviors were analyzed using a Physician Behavior Check List that allows accurate recording of behavior during a brief patients-physician encounter. Factor analysis of responses to the check list resulted in four factors that explained 58.7% of the variance. The physician behavior factor scores failed to correlate with factor scores from the responses of the same physicians to the Cancer Attitude Survey. In addition, the physicians were unable to accurately estimate the time they actually spent with patients or the frequency of specific behaviors that occurred during these interactions.", "author" : [ { "dropping-particle" : "", "family" : "Blanchard", "given" : "C. G.", "non-dropping-particle" : "", "parse-names" : false, "suffix" : "" }, { "dropping-particle" : "", "family" : "Ruckdeschel", "given" : "J. C.", "non-dropping-particle" : "", "parse-names" : false, "suffix" : "" }, { "dropping-particle" : "", "family" : "Blanchard", "given" : "E B", "non-dropping-particle" : "", "parse-names" : false, "suffix" : "" }, { "dropping-particle" : "", "family" : "Arena", "given" : "J. G.", "non-dropping-particle" : "", "parse-names" : false, "suffix" : "" }, { "dropping-particle" : "", "family" : "Saunders", "given" : "N. L.", "non-dropping-particle" : "", "parse-names" : false, "suffix" : "" }, { "dropping-particle" : "", "family" : "Malloy", "given" : "E. D.", "non-dropping-particle" : "", "parse-names" : false, "suffix" : "" } ], "container-title" : "Annals of Internal Medicine", "id" : "ITEM-3", "issue" : "5", "issued" : { "date-parts" : [ [ "1983" ] ] }, "page" : "694-699", "title" : "Interactions between oncologists and patients during rounds", "type" : "article-journal", "volume" : "99" }, "uris" : [ "http://www.mendeley.com/documents/?uuid=dddcb62e-f3da-4c1b-92b6-5b6e1fd4b417" ] } ], "mendeley" : { "formattedCitation" : "(Blanchard et al., 1983; J. C. White et al., 1997; Wolf et al., 1978)", "manualFormatting" : "Blanchard et al., 1983; White et al., 1997; Wolf et al., 1978", "plainTextFormattedCitation" : "(Blanchard et al., 1983; J. C. White et al., 1997; Wolf et al., 1978)", "previouslyFormattedCitation" : "(Blanchard et al., 1983; J. C. White et al., 1997; Wolf et al., 1978)"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Blanchard et al., 1983; White et al., 1997; Wolf et al., 1978</w:t>
            </w:r>
            <w:r w:rsidRPr="00A70A90">
              <w:rPr>
                <w:rFonts w:ascii="Times New Roman" w:hAnsi="Times New Roman" w:cs="Times New Roman"/>
              </w:rPr>
              <w:fldChar w:fldCharType="end"/>
            </w:r>
          </w:p>
        </w:tc>
      </w:tr>
      <w:tr w:rsidR="003128BD" w:rsidRPr="004D340D" w14:paraId="68CAFACD" w14:textId="69896E0B" w:rsidTr="003128BD">
        <w:tc>
          <w:tcPr>
            <w:tcW w:w="1036" w:type="dxa"/>
          </w:tcPr>
          <w:p w14:paraId="239E356C"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45</w:t>
            </w:r>
          </w:p>
        </w:tc>
        <w:tc>
          <w:tcPr>
            <w:tcW w:w="5433" w:type="dxa"/>
          </w:tcPr>
          <w:p w14:paraId="07743E04" w14:textId="77777777" w:rsidR="003128BD" w:rsidRPr="00A70A90" w:rsidRDefault="003128BD" w:rsidP="003128BD">
            <w:pPr>
              <w:spacing w:after="0" w:line="240" w:lineRule="auto"/>
              <w:rPr>
                <w:rFonts w:ascii="Times New Roman" w:hAnsi="Times New Roman" w:cs="Times New Roman"/>
              </w:rPr>
            </w:pPr>
            <w:r w:rsidRPr="00A70A90">
              <w:rPr>
                <w:rFonts w:ascii="Times New Roman" w:hAnsi="Times New Roman" w:cs="Times New Roman"/>
              </w:rPr>
              <w:t>Allowing patient to ask questions</w:t>
            </w:r>
          </w:p>
        </w:tc>
        <w:tc>
          <w:tcPr>
            <w:tcW w:w="1522" w:type="dxa"/>
          </w:tcPr>
          <w:p w14:paraId="117BC166" w14:textId="77777777" w:rsidR="003128BD" w:rsidRPr="00A70A90" w:rsidRDefault="003128BD" w:rsidP="003128BD">
            <w:pPr>
              <w:spacing w:after="0" w:line="240" w:lineRule="auto"/>
              <w:jc w:val="center"/>
              <w:rPr>
                <w:rFonts w:ascii="Times New Roman" w:hAnsi="Times New Roman" w:cs="Times New Roman"/>
              </w:rPr>
            </w:pPr>
          </w:p>
        </w:tc>
        <w:tc>
          <w:tcPr>
            <w:tcW w:w="2157" w:type="dxa"/>
          </w:tcPr>
          <w:p w14:paraId="53B72465"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33FC1554"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584F7921" w14:textId="2DA3B726"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"DOI" : "10.1093/intqhc/mzl049", "ISBN" : "1353-4505 (Print)\\n1353-4505 (Linking)", "ISSN" : "1353-4505", "PMID" : "17012306", "abstract" : "OBJECTIVE: . (i) To develop a reliable and valid scale to measure in-patient and outpatient perceptions of quality in India and (ii) to identify aspects of perceived quality which have large effects on patient satisfaction. DESIGN: Cross-sectional survey of health facilities and patients at clinics. SETTING: Primary health centers, community health centers, district hospitals, and female district hospitals in the state of Uttar Pradesh in north India. MAIN OUTCOME MEASURES: Internal consistency, validity, and factor structure of the scale are evaluated. The association between patient satisfaction and perceived quality dimensions is examined. RESULTS: A 16-item scale having good reliability and validity is developed. Five dimensions of perceived quality are identified-medicine availability, medical information, staff behavior, doctor behavior, and hospital infrastructure. Patient perceptions of quality at public health facilities are slightly better than neutral. Multivariate regression analysis results indicate that for outpatients, doctor behavior has the largest effect on general patient satisfaction followed by medicine availability, hospital infrastructure, staff behavior, and medical information. For in-patients, staff behavior has the largest effect followed by doctor behavior, medicine availability, medical information, and hospital infrastructure. CONCLUSIONS: The scale developed can be used to measure perceived quality at a range of facility types for outpatients and in-patients. Perceived quality at public facilities is only marginally favorable, leaving much scope for improvement. Better staff and physician interpersonal skills, facility infrastructure, and availability of drugs have the largest effect in improving patient satisfaction at public health facilities.", "author" : [ { "dropping-particle" : "", "family" : "Rao", "given" : "Krishna Dipankar", "non-dropping-particle" : "", "parse-names" : false, "suffix" : "" }, { "dropping-particle" : "", "family" : "Peters", "given" : "David H.", "non-dropping-particle" : "", "parse-names" : false, "suffix" : "" }, { "dropping-particle" : "", "family" : "Bandeen-Roche", "given" : "Karen", "non-dropping-particle" : "", "parse-names" : false, "suffix" : "" } ], "container-title" : "International journal for quality in health care : journal of the International Society for Quality in Health Care / ISQua", "id" : "ITEM-1", "issue" : "6", "issued" : { "date-parts" : [ [ "2006", "12", "1" ] ] }, "page" : "414-421", "title" : "Towards patient-centered health services in India--a scale to measure patient perceptions of quality.", "type" : "article-journal", "volume" : "18" }, "uris" : [ "http://www.mendeley.com/documents/?uuid=e5b99dc0-7d6a-4ac0-b98e-3e7c2639020d" ] }, { "id" : "ITEM-2", "itemData" : { "ISBN" : "0893-8652", "ISSN" : "0893-8652", "PMID" : "11841136", "abstract" : "BACKGROUND: The physician-patient interview is the key component of all health care, particularly of primary medical care. This review sought to evaluate existing primary-care-based research studies to determine which verbal and nonverbal behaviors on the part of the physician during the medical encounter have been linked in empirical studies with favorable patient outcomes. METHODS: We reviewed the literature from 1975 to 2000 for studies of office interactions between primary care physicians and patients that evaluated these interactions empirically using neutral observers who coded observed encounters, videotapes, or audiotapes. Each study was reviewed for the quality of the methods and to find statistically significant relations between specific physician behaviors and patient outcomes. In examining nonverbal behaviors, because of a paucity of clinical outcome studies, outcomes were expanded to include associations with patient characteristics or subjective ratings of the interaction by observers. RESULTS: We found 14 studies of verbal communication and 8 studies of nonverbal communication that met inclusion criteria. Verbal behaviors positively associated with health outcomes included empathy, reassurance and support, various patient-centered questioning techniques, encounter length, history taking, explanations, both dominant and passive physician styles, positive reinforcement, humor, psychosocial talk, time in health education and information sharing, friendliness, courtesy, orienting the patient during examination, and summarization and clarification. Nonverbal behaviors positively associated with outcomes included head nodding, forward lean, direct body orientation, uncrossed legs and arms, arm symmetry, and less mutual gaze. CONCLUSION: Existing research is limited because of lack of consensus of what to measure, conflicting findings, and relative lack of empirical studies (especially of nonverbal behavior). Nonetheless, medical educators should focus on teaching and reinforcing behaviors known to be facilitative, and to continue to understand further how physician behavior can enhance favorable patient outcomes, such as understanding and adherence to medical regimens and overall satisfaction.", "author" : [ { "dropping-particle" : "", "family" : "Beck", "given" : "Rainer S", "non-dropping-particle" : "", "parse-names" : false, "suffix" : "" }, { "dropping-particle" : "", "family" : "Daughtridge", "given" : "Rebecca", "non-dropping-particle" : "", "parse-names" : false, "suffix" : "" }, { "dropping-particle" : "", "family" : "Sloane", "given" : "Philip D", "non-dropping-particle" : "", "parse-names" : false, "suffix" : "" } ], "container-title" : "The Journal of the American Board of Family Practice / American Board of Family Practice", "id" : "ITEM-2", "issue" : "1", "issued" : { "date-parts" : [ [ "2000" ] ] }, "page" : "25-38", "title" : "Physician-patient communication in the primary care office: a systematic review.", "type" : "article-journal", "volume" : "15" }, "uris" : [ "http://www.mendeley.com/documents/?uuid=4f428e78-1aa3-4810-aad2-6aa695f77c16" ] }, { "id" : "ITEM-3", "itemData" : { "author" : [ { "dropping-particle" : "", "family" : "Silva", "given" : "Amala", "non-dropping-particle" : "De", "parse-names" : false, "suffix" : "" } ], "id" : "ITEM-3", "issue" : "32", "issued" : { "date-parts" : [ [ "1999" ] ] }, "note" : "This is the first paper on the responsivness", "publisher-place" : "Geneva", "title" : "A framework for measuring responsiveness", "type" : "report" }, "uris" : [ "http://www.mendeley.com/documents/?uuid=a2f1d58e-57c1-4363-9a2a-cb122ccac4c0" ] }, { "id" : "ITEM-4", "itemData" : { "author" : [ { "dropping-particle" : "", "family" : "Letkovicova", "given" : "Hana", "non-dropping-particle" : "", "parse-names" : false, "suffix" : "" }, { "dropping-particle" : "", "family" : "Prasad", "given" : "Amit", "non-dropping-particle" : "", "parse-names" : false, "suffix" : "" }, { "dropping-particle" : "La", "family" : "Valle\u0301e", "given" : "Rene\u0301", "non-dropping-particle" : "", "parse-names" : false, "suffix" : "" }, { "dropping-particle" : "", "family" : "Valentine", "given" : "Nicole", "non-dropping-particle" : "", "parse-names" : false, "suffix" : "" }, { "dropping-particle" : "", "family" : "Adhikari", "given" : "Pramod", "non-dropping-particle" : "", "parse-names" : false, "suffix" : "" }, { "dropping-particle" : "van der", "family" : "Heide", "given" : "George W", "non-dropping-particle" : "", "parse-names" : false, "suffix" : "" } ], "id" : "ITEM-4", "issued" : { "date-parts" : [ [ "2005" ] ] }, "publisher-place" : "Geneva", "title" : "The health systems responsiveness analytical guidelines for surveys in the multi-country survey study", "type" : "report" }, "uris" : [ "http://www.mendeley.com/documents/?uuid=4096a533-98a2-45ce-835e-57ed22b354ac" ] } ], "mendeley" : { "formattedCitation" : "(Beck et al., 2000; De Silva, 1999; Letkovicova et al., 2005; Rao et al., 2006)", "manualFormatting" : "Beck et al., 2000; DeSilva, 1999; Letkovicova et al., 2005; Rao et al., 2006", "plainTextFormattedCitation" : "(Beck et al., 2000; De Silva, 1999; Letkovicova et al., 2005; Rao et al., 2006)", "previouslyFormattedCitation" : "(Beck et al., 2000; DeSilva, 1999; Letkovicova et al., 2005; Rao et al., 2006)"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 xml:space="preserve">Beck et al., 2000; DeSilva, 1999; Letkovicova et al., </w:t>
            </w:r>
            <w:r w:rsidRPr="00A70A90">
              <w:rPr>
                <w:rFonts w:ascii="Times New Roman" w:hAnsi="Times New Roman" w:cs="Times New Roman"/>
                <w:noProof/>
              </w:rPr>
              <w:lastRenderedPageBreak/>
              <w:t>2005; Rao et al., 2006</w:t>
            </w:r>
            <w:r w:rsidRPr="00A70A90">
              <w:rPr>
                <w:rFonts w:ascii="Times New Roman" w:hAnsi="Times New Roman" w:cs="Times New Roman"/>
              </w:rPr>
              <w:fldChar w:fldCharType="end"/>
            </w:r>
          </w:p>
        </w:tc>
      </w:tr>
      <w:tr w:rsidR="003128BD" w:rsidRPr="004D340D" w14:paraId="36A2BBB7" w14:textId="7BE6DEB8" w:rsidTr="003128BD">
        <w:tc>
          <w:tcPr>
            <w:tcW w:w="1036" w:type="dxa"/>
          </w:tcPr>
          <w:p w14:paraId="4E0468A8"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lastRenderedPageBreak/>
              <w:t>46</w:t>
            </w:r>
          </w:p>
        </w:tc>
        <w:tc>
          <w:tcPr>
            <w:tcW w:w="5433" w:type="dxa"/>
          </w:tcPr>
          <w:p w14:paraId="1A2FDB3C" w14:textId="77777777" w:rsidR="003128BD" w:rsidRPr="00A70A90" w:rsidRDefault="003128BD" w:rsidP="003128BD">
            <w:pPr>
              <w:spacing w:after="0" w:line="240" w:lineRule="auto"/>
              <w:rPr>
                <w:rFonts w:ascii="Times New Roman" w:hAnsi="Times New Roman" w:cs="Times New Roman"/>
                <w:i/>
              </w:rPr>
            </w:pPr>
            <w:r w:rsidRPr="00A70A90">
              <w:rPr>
                <w:rFonts w:ascii="Times New Roman" w:hAnsi="Times New Roman" w:cs="Times New Roman"/>
                <w:i/>
              </w:rPr>
              <w:t xml:space="preserve">Answering patient's questions by doctor </w:t>
            </w:r>
            <w:r>
              <w:rPr>
                <w:rFonts w:ascii="Times New Roman" w:hAnsi="Times New Roman" w:cs="Times New Roman"/>
                <w:i/>
              </w:rPr>
              <w:t>her/</w:t>
            </w:r>
            <w:r w:rsidRPr="00A70A90">
              <w:rPr>
                <w:rFonts w:ascii="Times New Roman" w:hAnsi="Times New Roman" w:cs="Times New Roman"/>
                <w:i/>
              </w:rPr>
              <w:t>himself</w:t>
            </w:r>
          </w:p>
        </w:tc>
        <w:tc>
          <w:tcPr>
            <w:tcW w:w="1522" w:type="dxa"/>
          </w:tcPr>
          <w:p w14:paraId="38FA5D58" w14:textId="77777777" w:rsidR="003128BD" w:rsidRPr="00A70A90" w:rsidRDefault="003128BD" w:rsidP="003128BD">
            <w:pPr>
              <w:spacing w:after="0" w:line="240" w:lineRule="auto"/>
              <w:jc w:val="center"/>
              <w:rPr>
                <w:rFonts w:ascii="Times New Roman" w:hAnsi="Times New Roman" w:cs="Times New Roman"/>
              </w:rPr>
            </w:pPr>
          </w:p>
        </w:tc>
        <w:tc>
          <w:tcPr>
            <w:tcW w:w="2157" w:type="dxa"/>
          </w:tcPr>
          <w:p w14:paraId="77DBDCEC"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48B72F69" w14:textId="77777777" w:rsidR="003128BD" w:rsidRPr="00A70A90" w:rsidRDefault="003128BD" w:rsidP="003128BD">
            <w:pPr>
              <w:spacing w:after="0" w:line="240" w:lineRule="auto"/>
              <w:jc w:val="center"/>
              <w:rPr>
                <w:rFonts w:ascii="Times New Roman" w:hAnsi="Times New Roman" w:cs="Times New Roman"/>
              </w:rPr>
            </w:pPr>
          </w:p>
        </w:tc>
        <w:tc>
          <w:tcPr>
            <w:tcW w:w="1907" w:type="dxa"/>
          </w:tcPr>
          <w:p w14:paraId="62FB4316" w14:textId="77777777" w:rsidR="003128BD" w:rsidRPr="00A70A90" w:rsidRDefault="003128BD" w:rsidP="003128BD">
            <w:pPr>
              <w:spacing w:after="0" w:line="240" w:lineRule="auto"/>
              <w:jc w:val="center"/>
              <w:rPr>
                <w:rFonts w:ascii="Times New Roman" w:hAnsi="Times New Roman" w:cs="Times New Roman"/>
              </w:rPr>
            </w:pPr>
          </w:p>
        </w:tc>
      </w:tr>
      <w:tr w:rsidR="003128BD" w:rsidRPr="004D340D" w14:paraId="7BA467C3" w14:textId="5C4981C6" w:rsidTr="003128BD">
        <w:tc>
          <w:tcPr>
            <w:tcW w:w="1036" w:type="dxa"/>
          </w:tcPr>
          <w:p w14:paraId="1C083CE4"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47</w:t>
            </w:r>
          </w:p>
        </w:tc>
        <w:tc>
          <w:tcPr>
            <w:tcW w:w="5433" w:type="dxa"/>
          </w:tcPr>
          <w:p w14:paraId="0314AF67" w14:textId="77777777" w:rsidR="003128BD" w:rsidRPr="00A70A90" w:rsidRDefault="003128BD" w:rsidP="003128BD">
            <w:pPr>
              <w:spacing w:after="0" w:line="240" w:lineRule="auto"/>
              <w:rPr>
                <w:rFonts w:ascii="Times New Roman" w:hAnsi="Times New Roman" w:cs="Times New Roman"/>
                <w:i/>
              </w:rPr>
            </w:pPr>
            <w:r w:rsidRPr="00A70A90">
              <w:rPr>
                <w:rFonts w:ascii="Times New Roman" w:hAnsi="Times New Roman" w:cs="Times New Roman"/>
                <w:i/>
              </w:rPr>
              <w:t>Keeping patience in patient's irrelevant questions</w:t>
            </w:r>
          </w:p>
        </w:tc>
        <w:tc>
          <w:tcPr>
            <w:tcW w:w="1522" w:type="dxa"/>
          </w:tcPr>
          <w:p w14:paraId="4B99BB37" w14:textId="77777777" w:rsidR="003128BD" w:rsidRPr="00A70A90" w:rsidRDefault="003128BD" w:rsidP="003128BD">
            <w:pPr>
              <w:spacing w:after="0" w:line="240" w:lineRule="auto"/>
              <w:jc w:val="center"/>
              <w:rPr>
                <w:rFonts w:ascii="Times New Roman" w:hAnsi="Times New Roman" w:cs="Times New Roman"/>
              </w:rPr>
            </w:pPr>
          </w:p>
        </w:tc>
        <w:tc>
          <w:tcPr>
            <w:tcW w:w="2157" w:type="dxa"/>
          </w:tcPr>
          <w:p w14:paraId="63AFFAAE"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7130E3E9" w14:textId="77777777" w:rsidR="003128BD" w:rsidRPr="00A70A90" w:rsidRDefault="003128BD" w:rsidP="003128BD">
            <w:pPr>
              <w:spacing w:after="0" w:line="240" w:lineRule="auto"/>
              <w:jc w:val="center"/>
              <w:rPr>
                <w:rFonts w:ascii="Times New Roman" w:hAnsi="Times New Roman" w:cs="Times New Roman"/>
              </w:rPr>
            </w:pPr>
          </w:p>
        </w:tc>
        <w:tc>
          <w:tcPr>
            <w:tcW w:w="1907" w:type="dxa"/>
          </w:tcPr>
          <w:p w14:paraId="0B048085" w14:textId="77777777" w:rsidR="003128BD" w:rsidRPr="00A70A90" w:rsidRDefault="003128BD" w:rsidP="003128BD">
            <w:pPr>
              <w:spacing w:after="0" w:line="240" w:lineRule="auto"/>
              <w:jc w:val="center"/>
              <w:rPr>
                <w:rFonts w:ascii="Times New Roman" w:hAnsi="Times New Roman" w:cs="Times New Roman"/>
              </w:rPr>
            </w:pPr>
          </w:p>
        </w:tc>
      </w:tr>
      <w:tr w:rsidR="003128BD" w:rsidRPr="004D340D" w14:paraId="263EE007" w14:textId="46C31DE5" w:rsidTr="003128BD">
        <w:tc>
          <w:tcPr>
            <w:tcW w:w="1036" w:type="dxa"/>
          </w:tcPr>
          <w:p w14:paraId="6D2DA96F"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48</w:t>
            </w:r>
          </w:p>
        </w:tc>
        <w:tc>
          <w:tcPr>
            <w:tcW w:w="5433" w:type="dxa"/>
          </w:tcPr>
          <w:p w14:paraId="0BCA026F"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Encouraging patient to ask questions</w:t>
            </w:r>
          </w:p>
        </w:tc>
        <w:tc>
          <w:tcPr>
            <w:tcW w:w="1522" w:type="dxa"/>
          </w:tcPr>
          <w:p w14:paraId="5FCC2095"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12</w:t>
            </w:r>
          </w:p>
        </w:tc>
        <w:tc>
          <w:tcPr>
            <w:tcW w:w="2157" w:type="dxa"/>
          </w:tcPr>
          <w:p w14:paraId="350AE02D"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7D46F556"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465EC125" w14:textId="44CEE363"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"DOI" : "10.1186/1471-2296-7-72", "ISBN" : "1471-2296 (Electronic)\\r1471-2296 (Linking)", "ISSN" : "1471-2296", "PMID" : "17156424", "abstract" : "BACKGROUND: A good patient-physician interaction is particularly important in chronic diseases like diabetes. There are so far no published data regarding the interaction between the primary health-care providers and patients with type 2 diabetes in Oman, where diabetes is a major and growing health problem. This study aimed at exploring how health-care providers interact with patients with type 2 diabetes at primary health-care level in Muscat, Oman, focusing on the consultation environment, and some aspects of care and information. METHODS: Direct observations of 90 consultations between 23 doctors and 13 diabetes nurses concerned with diabetes management during their consultations with type 2 diabetes patients in six primary health-care centres in the Muscat region, using checklists developed from the National Diabetes Guidelines. Consultations were assessed as optimal if more than 75% of observed aspects were fulfilled and sub-optimal if less than 50% were fulfilled. RESULTS: Overall 52% of the doctors' consultations were not optimal. Some important aspects for a positive consultation environment were fulfilled in only about half of the doctors' consultations: ensuring privacy of consultation (49%), eye contact (49%), good attention (52%), encouraging asking questions (47%), and emphasizing on the patients' understanding of the provided information (52%). The doctors inquired about adverse effects of anti-diabetes drugs in less than 10% of consultations. The quality of the nurses' consultations was sub-optimal in about 75% of 85 consultations regarding aspects of consultation environment, care and information. CONCLUSION: The performance of the primary health-care doctors and diabetes nurses needs to be improved. The role of the diabetes nurses and the teamwork should be enhanced. We suggest a multidisciplinary team approach, training and education to the providers to upgrade their skills regarding communication and care. Barriers to compliance with the guidelines need to be further explored. Improving the work situation mainly for the diabetes nurses and further improvement in the organizational efficiency of diabetes services such as lowering the number of patients in diabetes clinic, are suggested.", "author" : [ { "dropping-particle" : "", "family" : "Abdulhadi", "given" : "Nadia", "non-dropping-particle" : "", "parse-names" : false, "suffix" : "" }, { "dropping-particle" : "", "family" : "Al-Shafaee", "given" : "Mohammed Ali", "non-dropping-particle" : "", "parse-names" : false, "suffix" : "" }, { "dropping-particle" : "", "family" : "Ostenson", "given" : "Claes-G\u00f6ran", "non-dropping-particle" : "", "parse-names" : false, "suffix" : "" }, { "dropping-particle" : "", "family" : "Vernby", "given" : "Asa", "non-dropping-particle" : "", "parse-names" : false, "suffix" : "" }, { "dropping-particle" : "", "family" : "Wahlstr\u00f6m", "given" : "Rolf", "non-dropping-particle" : "", "parse-names" : false, "suffix" : "" } ], "container-title" : "BMC family practice", "id" : "ITEM-1", "issued" : { "date-parts" : [ [ "2006" ] ] }, "page" : "72", "title" : "Quality of interaction between primary health-care providers and patients with type 2 diabetes in Muscat, Oman: an observational study.", "type" : "article-journal", "volume" : "7" }, "uris" : [ "http://www.mendeley.com/documents/?uuid=dafc7419-ac9f-4d97-9f44-e78781973afe" ] }, { "id" : "ITEM-2", "itemData" : { "ISBN" : "0893-8652", "ISSN" : "0893-8652", "PMID" : "11841136", "abstract" : "BACKGROUND: The physician-patient interview is the key component of all health care, particularly of primary medical care. This review sought to evaluate existing primary-care-based research studies to determine which verbal and nonverbal behaviors on the part of the physician during the medical encounter have been linked in empirical studies with favorable patient outcomes. METHODS: We reviewed the literature from 1975 to 2000 for studies of office interactions between primary care physicians and patients that evaluated these interactions empirically using neutral observers who coded observed encounters, videotapes, or audiotapes. Each study was reviewed for the quality of the methods and to find statistically significant relations between specific physician behaviors and patient outcomes. In examining nonverbal behaviors, because of a paucity of clinical outcome studies, outcomes were expanded to include associations with patient characteristics or subjective ratings of the interaction by observers. RESULTS: We found 14 studies of verbal communication and 8 studies of nonverbal communication that met inclusion criteria. Verbal behaviors positively associated with health outcomes included empathy, reassurance and support, various patient-centered questioning techniques, encounter length, history taking, explanations, both dominant and passive physician styles, positive reinforcement, humor, psychosocial talk, time in health education and information sharing, friendliness, courtesy, orienting the patient during examination, and summarization and clarification. Nonverbal behaviors positively associated with outcomes included head nodding, forward lean, direct body orientation, uncrossed legs and arms, arm symmetry, and less mutual gaze. CONCLUSION: Existing research is limited because of lack of consensus of what to measure, conflicting findings, and relative lack of empirical studies (especially of nonverbal behavior). Nonetheless, medical educators should focus on teaching and reinforcing behaviors known to be facilitative, and to continue to understand further how physician behavior can enhance favorable patient outcomes, such as understanding and adherence to medical regimens and overall satisfaction.", "author" : [ { "dropping-particle" : "", "family" : "Beck", "given" : "Rainer S", "non-dropping-particle" : "", "parse-names" : false, "suffix" : "" }, { "dropping-particle" : "", "family" : "Daughtridge", "given" : "Rebecca", "non-dropping-particle" : "", "parse-names" : false, "suffix" : "" }, { "dropping-particle" : "", "family" : "Sloane", "given" : "Philip D", "non-dropping-particle" : "", "parse-names" : false, "suffix" : "" } ], "container-title" : "The Journal of the American Board of Family Practice / American Board of Family Practice", "id" : "ITEM-2", "issue" : "1", "issued" : { "date-parts" : [ [ "2000" ] ] }, "page" : "25-38", "title" : "Physician-patient communication in the primary care office: a systematic review.", "type" : "article-journal", "volume" : "15" }, "uris" : [ "http://www.mendeley.com/documents/?uuid=4f428e78-1aa3-4810-aad2-6aa695f77c16" ] } ], "mendeley" : { "formattedCitation" : "(Abdulhadi et al., 2006; Beck et al., 2000)", "manualFormatting" : "Abdulhadi et al., 2006; Beck et al., 2000", "plainTextFormattedCitation" : "(Abdulhadi et al., 2006; Beck et al., 2000)", "previouslyFormattedCitation" : "(Abdulhadi et al., 2006; Beck et al., 2000)"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Abdulhadi et al., 2006; Beck et al., 2000</w:t>
            </w:r>
            <w:r w:rsidRPr="00A70A90">
              <w:rPr>
                <w:rFonts w:ascii="Times New Roman" w:hAnsi="Times New Roman" w:cs="Times New Roman"/>
              </w:rPr>
              <w:fldChar w:fldCharType="end"/>
            </w:r>
          </w:p>
        </w:tc>
      </w:tr>
      <w:tr w:rsidR="003128BD" w:rsidRPr="004D340D" w14:paraId="2B05AE44" w14:textId="3C2471F2" w:rsidTr="003128BD">
        <w:tc>
          <w:tcPr>
            <w:tcW w:w="1036" w:type="dxa"/>
          </w:tcPr>
          <w:p w14:paraId="552522B7"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49</w:t>
            </w:r>
          </w:p>
        </w:tc>
        <w:tc>
          <w:tcPr>
            <w:tcW w:w="5433" w:type="dxa"/>
          </w:tcPr>
          <w:p w14:paraId="0CB1ACD6"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Listening attentively to patient's questions</w:t>
            </w:r>
          </w:p>
        </w:tc>
        <w:tc>
          <w:tcPr>
            <w:tcW w:w="1522" w:type="dxa"/>
          </w:tcPr>
          <w:p w14:paraId="174045DE"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13</w:t>
            </w:r>
          </w:p>
        </w:tc>
        <w:tc>
          <w:tcPr>
            <w:tcW w:w="2157" w:type="dxa"/>
          </w:tcPr>
          <w:p w14:paraId="17C50B00"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7D43BF0F"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5D343205" w14:textId="5DC312E0"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"ISBN" : "0893-8652", "ISSN" : "0893-8652", "PMID" : "11841136", "abstract" : "BACKGROUND: The physician-patient interview is the key component of all health care, particularly of primary medical care. This review sought to evaluate existing primary-care-based research studies to determine which verbal and nonverbal behaviors on the part of the physician during the medical encounter have been linked in empirical studies with favorable patient outcomes. METHODS: We reviewed the literature from 1975 to 2000 for studies of office interactions between primary care physicians and patients that evaluated these interactions empirically using neutral observers who coded observed encounters, videotapes, or audiotapes. Each study was reviewed for the quality of the methods and to find statistically significant relations between specific physician behaviors and patient outcomes. In examining nonverbal behaviors, because of a paucity of clinical outcome studies, outcomes were expanded to include associations with patient characteristics or subjective ratings of the interaction by observers. RESULTS: We found 14 studies of verbal communication and 8 studies of nonverbal communication that met inclusion criteria. Verbal behaviors positively associated with health outcomes included empathy, reassurance and support, various patient-centered questioning techniques, encounter length, history taking, explanations, both dominant and passive physician styles, positive reinforcement, humor, psychosocial talk, time in health education and information sharing, friendliness, courtesy, orienting the patient during examination, and summarization and clarification. Nonverbal behaviors positively associated with outcomes included head nodding, forward lean, direct body orientation, uncrossed legs and arms, arm symmetry, and less mutual gaze. CONCLUSION: Existing research is limited because of lack of consensus of what to measure, conflicting findings, and relative lack of empirical studies (especially of nonverbal behavior). Nonetheless, medical educators should focus on teaching and reinforcing behaviors known to be facilitative, and to continue to understand further how physician behavior can enhance favorable patient outcomes, such as understanding and adherence to medical regimens and overall satisfaction.", "author" : [ { "dropping-particle" : "", "family" : "Beck", "given" : "Rainer S", "non-dropping-particle" : "", "parse-names" : false, "suffix" : "" }, { "dropping-particle" : "", "family" : "Daughtridge", "given" : "Rebecca", "non-dropping-particle" : "", "parse-names" : false, "suffix" : "" }, { "dropping-particle" : "", "family" : "Sloane", "given" : "Philip D", "non-dropping-particle" : "", "parse-names" : false, "suffix" : "" } ], "container-title" : "The Journal of the American Board of Family Practice / American Board of Family Practice", "id" : "ITEM-1", "issue" : "1", "issued" : { "date-parts" : [ [ "2000" ] ] }, "page" : "25-38", "title" : "Physician-patient communication in the primary care office: a systematic review.", "type" : "article-journal", "volume" : "15" }, "uris" : [ "http://www.mendeley.com/documents/?uuid=4f428e78-1aa3-4810-aad2-6aa695f77c16" ] } ], "mendeley" : { "formattedCitation" : "(Beck et al., 2000)", "manualFormatting" : "Beck et al., 2000", "plainTextFormattedCitation" : "(Beck et al., 2000)", "previouslyFormattedCitation" : "(Beck et al., 2000)"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Beck et al., 2000</w:t>
            </w:r>
            <w:r w:rsidRPr="00A70A90">
              <w:rPr>
                <w:rFonts w:ascii="Times New Roman" w:hAnsi="Times New Roman" w:cs="Times New Roman"/>
              </w:rPr>
              <w:fldChar w:fldCharType="end"/>
            </w:r>
          </w:p>
        </w:tc>
      </w:tr>
      <w:tr w:rsidR="003128BD" w:rsidRPr="004D340D" w14:paraId="1EA7784F" w14:textId="366FD33E" w:rsidTr="003128BD">
        <w:tc>
          <w:tcPr>
            <w:tcW w:w="1036" w:type="dxa"/>
          </w:tcPr>
          <w:p w14:paraId="13FB3E72"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50</w:t>
            </w:r>
          </w:p>
        </w:tc>
        <w:tc>
          <w:tcPr>
            <w:tcW w:w="5433" w:type="dxa"/>
          </w:tcPr>
          <w:p w14:paraId="289769CA"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Not using jargon</w:t>
            </w:r>
          </w:p>
        </w:tc>
        <w:tc>
          <w:tcPr>
            <w:tcW w:w="1522" w:type="dxa"/>
          </w:tcPr>
          <w:p w14:paraId="53C24412"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29</w:t>
            </w:r>
          </w:p>
        </w:tc>
        <w:tc>
          <w:tcPr>
            <w:tcW w:w="2157" w:type="dxa"/>
          </w:tcPr>
          <w:p w14:paraId="5EBA50A3"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2CB45ED9"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7B07BACD" w14:textId="0E09D82B"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lang w:eastAsia="zh-CN"/>
              </w:rPr>
              <w:fldChar w:fldCharType="begin" w:fldLock="1"/>
            </w:r>
            <w:r w:rsidR="002B2DFD">
              <w:rPr>
                <w:rFonts w:ascii="Times New Roman" w:hAnsi="Times New Roman" w:cs="Times New Roman"/>
                <w:lang w:eastAsia="zh-CN"/>
              </w:rPr>
              <w:instrText>ADDIN CSL_CITATION { "citationItems" : [ { "id" : "ITEM-1", "itemData" : { "ISSN" : "0277-9536", "PMID" : "10390039", "abstract" : "Efforts to obtain useful information on patient satisfaction in Indonesia have been frustrated by a tendency of respondents to withhold critical comment. A survey of 75 patients in eleven health centers on three islands attempted to obtain credible information on satisfaction by asking for information on events, not opinions, and on the relative importance of the factors surveyed. Unlike previous research where 95% of respondents typically answered they were 'fully satisfied', 28% of the respondents replied that their consultation had not been conducted in private (ranked first in importance among the nonmedical factors), 65% said the facility could be cleaner (ranked second in importance) and 19-48% reported not receiving various kinds of information (ranked third). Lending credence to these results, the respondents were able to support their positive answers with corroborative information in a high percentage of instances. The ranking of relative importance of satisfaction factors was unexpected. At the bottom of the list were continuity of provider, waiting time, availability of amenities, cost and social interaction with the provider. Despite the diversity among cultures that is characteristic of Indonesia, there was a high degree of similarity in the importance rankings among respondents on the three islands which were chosen to represent cultural divisions in the nation. The only notable differences in the rankings of relative importance appeared to be a function of the purpose of the visit to the facility.", "author" : [ { "dropping-particle" : "", "family" : "Bernhart", "given" : "M H", "non-dropping-particle" : "", "parse-names" : false, "suffix" : "" }, { "dropping-particle" : "", "family" : "Wiadnyana", "given" : "I G", "non-dropping-particle" : "", "parse-names" : false, "suffix" : "" }, { "dropping-particle" : "", "family" : "Wihardjo", "given" : "H", "non-dropping-particle" : "", "parse-names" : false, "suffix" : "" }, { "dropping-particle" : "", "family" : "Pohan", "given" : "I", "non-dropping-particle" : "", "parse-names" : false, "suffix" : "" } ], "container-title" : "Social science &amp; medicine (1982)", "id" : "ITEM-1", "issue" : "8", "issued" : { "date-parts" : [ [ "1999", "4" ] ] }, "page" : "989-96", "title" : "Patient satisfaction in developing countries.", "type" : "article-journal", "volume" : "48" }, "uris" : [ "http://www.mendeley.com/documents/?uuid=0ccb9f43-b1e6-4eff-bf7d-903a5e363444" ] }, { "id" : "ITEM-2", "itemData" : { "DOI" : "10.1111/j.1525-1497.2004.30266.x", "ISSN" : "0884-8734", "author" : [ { "dropping-particle" : "", "family" : "Fernandez", "given" : "Alicia", "non-dropping-particle" : "", "parse-names" : false, "suffix" : "" }, { "dropping-particle" : "", "family" : "Schillinger", "given" : "Dean", "non-dropping-particle" : "", "parse-names" : false, "suffix" : "" }, { "dropping-particle" : "", "family" : "Grumbach", "given" : "Kevin", "non-dropping-particle" : "", "parse-names" : false, "suffix" : "" }, { "dropping-particle" : "", "family" : "Rosenthal", "given" : "Anne", "non-dropping-particle" : "", "parse-names" : false, "suffix" : "" }, { "dropping-particle" : "", "family" : "Stewart", "given" : "Anita L.", "non-dropping-particle" : "", "parse-names" : false, "suffix" : "" }, { "dropping-particle" : "", "family" : "Wang", "given" : "Frances", "non-dropping-particle" : "", "parse-names" : false, "suffix" : "" }, { "dropping-particle" : "", "family" : "P\u00e9rez-Stable", "given" : "Eliseo J.", "non-dropping-particle" : "", "parse-names" : false, "suffix" : "" } ], "container-title" : "Journal of General Internal Medicine", "id" : "ITEM-2", "issue" : "2", "issued" : { "date-parts" : [ [ "2004", "2" ] ] }, "page" : "167-174", "title" : "Physician language ability and cultural competence", "type" : "article-journal", "volume" : "19" }, "uris" : [ "http://www.mendeley.com/documents/?uuid=9b2b7a06-bbfa-4992-82b8-115b952e683f" ] }, { "id" : "ITEM-3", "itemData" : { "DOI" : "10.1007/BF00846695", "ISBN" : "0160-7715 (Print)\\r0160-7715 (Linking)", "ISSN" : "0160-7715", "PMID" : "755868", "abstract" : "Patient satisfaction is a variable of increasing interest to researchers, clinicians, and medical educators. Of several studies reviewed, only a few have shown evidence of careful methodology. Most surveys have focused on general evaluations of doctors and/or health care services or of a particular facility. The present article reports the development of a scale to measure patient satisfaction with an encounter with a physician or other primary care provider. Methods of item generation and pretesting are detailed. The overall reliability of the scale (Cronbach's coefficient alpha) is 0.93. The distribution of satisfaction scores is broader than that reported for other scales and approaches the normal in shape. Clinical and research applications of the scale are suggested.", "author" : [ { "dropping-particle" : "", "family" : "Wolf", "given" : "Matthew H", "non-dropping-particle" : "", "parse-names" : false, "suffix" : "" }, { "dropping-particle" : "", "family" : "Putnam", "given" : "Samuel M", "non-dropping-particle" : "", "parse-names" : false, "suffix" : "" }, { "dropping-particle" : "", "family" : "James", "given" : "Sherman A", "non-dropping-particle" : "", "parse-names" : false, "suffix" : "" }, { "dropping-particle" : "", "family" : "Stiles", "given" : "William B", "non-dropping-particle" : "", "parse-names" : false, "suffix" : "" } ], "container-title" : "Journal of Behavioral Medicine", "id" : "ITEM-3", "issue" : "4", "issued" : { "date-parts" : [ [ "1978" ] ] }, "page" : "391-401", "title" : "The Medical Interview Satisfaction Scale: development of a scale to measure patient perceptions of physician behavior", "type" : "article-journal", "volume" : "1" }, "uris" : [ "http://www.mendeley.com/documents/?uuid=c97fc6f6-322d-44b9-9957-aa43f8a64bbd" ] }, { "id" : "ITEM-4", "itemData" : { "ISBN" : "0893-8652", "ISSN" : "0893-8652", "PMID" : "11841136", "abstract" : "BACKGROUND: The physician-patient interview is the key component of all health care, particularly of primary medical care. This review sought to evaluate existing primary-care-based research studies to determine which verbal and nonverbal behaviors on the part of the physician during the medical encounter have been linked in empirical studies with favorable patient outcomes. METHODS: We reviewed the literature from 1975 to 2000 for studies of office interactions between primary care physicians and patients that evaluated these interactions empirically using neutral observers who coded observed encounters, videotapes, or audiotapes. Each study was reviewed for the quality of the methods and to find statistically significant relations between specific physician behaviors and patient outcomes. In examining nonverbal behaviors, because of a paucity of clinical outcome studies, outcomes were expanded to include associations with patient characteristics or subjective ratings of the interaction by observers. RESULTS: We found 14 studies of verbal communication and 8 studies of nonverbal communication that met inclusion criteria. Verbal behaviors positively associated with health outcomes included empathy, reassurance and support, various patient-centered questioning techniques, encounter length, history taking, explanations, both dominant and passive physician styles, positive reinforcement, humor, psychosocial talk, time in health education and information sharing, friendliness, courtesy, orienting the patient during examination, and summarization and clarification. Nonverbal behaviors positively associated with outcomes included head nodding, forward lean, direct body orientation, uncrossed legs and arms, arm symmetry, and less mutual gaze. CONCLUSION: Existing research is limited because of lack of consensus of what to measure, conflicting findings, and relative lack of empirical studies (especially of nonverbal behavior). Nonetheless, medical educators should focus on teaching and reinforcing behaviors known to be facilitative, and to continue to understand further how physician behavior can enhance favorable patient outcomes, such as understanding and adherence to medical regimens and overall satisfaction.", "author" : [ { "dropping-particle" : "", "family" : "Beck", "given" : "Rainer S", "non-dropping-particle" : "", "parse-names" : false, "suffix" : "" }, { "dropping-particle" : "", "family" : "Daughtridge", "given" : "Rebecca", "non-dropping-particle" : "", "parse-names" : false, "suffix" : "" }, { "dropping-particle" : "", "family" : "Sloane", "given" : "Philip D", "non-dropping-particle" : "", "parse-names" : false, "suffix" : "" } ], "container-title" : "The Journal of the American Board of Family Practice / American Board of Family Practice", "id" : "ITEM-4", "issue" : "1", "issued" : { "date-parts" : [ [ "2000" ] ] }, "page" : "25-38", "title" : "Physician-patient communication in the primary care office: a systematic review.", "type" : "article-journal", "volume" : "15" }, "uris" : [ "http://www.mendeley.com/documents/?uuid=4f428e78-1aa3-4810-aad2-6aa695f77c16" ] }, { "id" : "ITEM-5", "itemData" : { "DOI" : "10.1016/S0738-3991(01)00136-7", "ISBN" : "0738-3991 (Print) 0738-3991 (Linking)", "ISSN" : "0738-3991 (Print) 0738-3991 (Linking)", "PMID" : "11602365", "abstract" : "This article examines uses and characteristics of the SEGUE Framework, a research-based checklist of medical communication tasks. A recent survey of US and Canadian medical schools indicates that the SEGUE Framework is the most widely used structure for communication skills teaching and assessment in North America. Student and faculty response to the SEGUE Framework as a teaching tool has been positive. Data drawn from clinical skills assessments with standardized patients provide evidence of concurrent and construct validity. Analysis of visits between general internists and their patients reinforces validity of the SEGUE Framework in an actual practice setting. Interrater reliability is high when standardized patients are recording student performance immediately after a live encounter, and when coders are evaluating videotaped or audiotaped encounters; intrarater reliability is strong as well. The SEGUE Framework has a high degree of acceptability, can be used reliably, has evidence of validity, and is applicable to a variety of contexts. Studies of predictive validity are needed.", "author" : [ { "dropping-particle" : "", "family" : "Makoul", "given" : "G", "non-dropping-particle" : "", "parse-names" : false, "suffix" : "" } ], "container-title" : "Patient education and counseling", "id" : "ITEM-5", "issue" : "1", "issued" : { "date-parts" : [ [ "2001" ] ] }, "page" : "23-34", "title" : "The SEGUE Framework for teaching and assessing communication skills.", "type" : "article-journal", "volume" : "45" }, "uris" : [ "http://www.mendeley.com/documents/?uuid=910716af-5254-4057-bdec-635dc3a0b4f5" ] }, { "id" : "ITEM-6", "itemData" : { "DOI" : "10.1016/j.pec.2007.06.011", "ISBN" : "0738-3991", "ISSN" : "07383991", "PMID" : "17689042", "abstract" : "Objective: Active listening is a prerequisite for a successful healthcare encounter, bearing potential therapeutic value especially in clinical situations that require no specific medical intervention. Although generally acknowledged as such, active listening has not been studied in depth. This paper describes the development of the Active Listening Observation Scale (ALOS-global), an observation instrument measuring active listening and its validation in a sample of general practice consultations for minor ailments. Methods: Five hundred and twenty-four videotaped general practice consultations involving minor ailments were observed with the ALOS-global. Hypotheses were tested to determine validity, incorporating patients' perception of GPs' affective performance, GPs' verbal attention, patients' self-reported anxiety level and gender differences. Results: The final 7-item ALOS-global had acceptable inter- and intra-observer agreement. Factor analysis revealed one homogeneous dimension. The scalescore was positively related to verbal attention measured by RIAS, to patients' perception of GPs' performance and to their pre-visit anxiety level. Female GPs received higher active listening scores. Conclusion: The results of this study are promising concerning the psychometric properties of the ALOS-global. More research is needed to confirm these preliminary findings. Practice implications: After establishing how active listening differentiates between health professionals, the ALOS-global may become a valuable tool in feedback and training aimed at increasing listening skills. \u00a9 2007 Elsevier Ireland Ltd. All rights reserved.", "author" : [ { "dropping-particle" : "", "family" : "Fassaert", "given" : "Thijs", "non-dropping-particle" : "", "parse-names" : false, "suffix" : "" }, { "dropping-particle" : "", "family" : "Dulmen", "given" : "Sandra", "non-dropping-particle" : "van", "parse-names" : false, "suffix" : "" }, { "dropping-particle" : "", "family" : "Schellevis", "given" : "Fran\u00e7ois", "non-dropping-particle" : "", "parse-names" : false, "suffix" : "" }, { "dropping-particle" : "", "family" : "Bensing", "given" : "Jozien", "non-dropping-particle" : "", "parse-names" : false, "suffix" : "" } ], "container-title" : "Patient Education and Counseling", "id" : "ITEM-6", "issue" : "3", "issued" : { "date-parts" : [ [ "2007" ] ] }, "page" : "258-264", "title" : "Active listening in medical consultations: Development of the Active Listening Observation Scale (ALOS-global)", "type" : "article-journal", "volume" : "68" }, "uris" : [ "http://www.mendeley.com/documents/?uuid=61b75c76-3e9f-4047-8028-aabb238a33d8" ] } ], "mendeley" : { "formattedCitation" : "(Beck et al., 2000; Bernhart, Wiadnyana, Wihardjo, &amp; Pohan, 1999; Fassaert et al., 2007; Fernandez et al., 2004; Makoul, 2001; Wolf et al., 1978)", "manualFormatting" : "Beck et al., 2000; Bernhart et al., 1999; Fassaert et al., 2007; Fernandez et al., 2004; Makoul, 2001; Wolf et al., 1978", "plainTextFormattedCitation" : "(Beck et al., 2000; Bernhart, Wiadnyana, Wihardjo, &amp; Pohan, 1999; Fassaert et al., 2007; Fernandez et al., 2004; Makoul, 2001; Wolf et al., 1978)", "previouslyFormattedCitation" : "(Beck et al., 2000; Bernhart et al., 1999; Fassaert et al., 2007; Fernandez et al., 2004; Makoul, 2001; Wolf et al., 1978)" }, "properties" : { "noteIndex" : 0 }, "schema" : "https://github.com/citation-style-language/schema/raw/master/csl-citation.json" }</w:instrText>
            </w:r>
            <w:r w:rsidRPr="00A70A90">
              <w:rPr>
                <w:rFonts w:ascii="Times New Roman" w:hAnsi="Times New Roman" w:cs="Times New Roman"/>
                <w:lang w:eastAsia="zh-CN"/>
              </w:rPr>
              <w:fldChar w:fldCharType="separate"/>
            </w:r>
            <w:r w:rsidRPr="00A70A90">
              <w:rPr>
                <w:rFonts w:ascii="Times New Roman" w:hAnsi="Times New Roman" w:cs="Times New Roman"/>
                <w:noProof/>
                <w:lang w:eastAsia="zh-CN"/>
              </w:rPr>
              <w:t>Beck et al., 2000; Bernhart et al., 1999; Fassaert et al., 2007; Fernandez et al., 2004; Makoul, 2001; Wolf et al., 1978</w:t>
            </w:r>
            <w:r w:rsidRPr="00A70A90">
              <w:rPr>
                <w:rFonts w:ascii="Times New Roman" w:hAnsi="Times New Roman" w:cs="Times New Roman"/>
                <w:lang w:eastAsia="zh-CN"/>
              </w:rPr>
              <w:fldChar w:fldCharType="end"/>
            </w:r>
          </w:p>
        </w:tc>
      </w:tr>
      <w:tr w:rsidR="003128BD" w:rsidRPr="004D340D" w14:paraId="6EF6E38E" w14:textId="72963D09" w:rsidTr="003128BD">
        <w:tc>
          <w:tcPr>
            <w:tcW w:w="1036" w:type="dxa"/>
          </w:tcPr>
          <w:p w14:paraId="19BF417F"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51</w:t>
            </w:r>
          </w:p>
        </w:tc>
        <w:tc>
          <w:tcPr>
            <w:tcW w:w="5433" w:type="dxa"/>
          </w:tcPr>
          <w:p w14:paraId="594073F6" w14:textId="77777777" w:rsidR="003128BD" w:rsidRPr="00A70A90" w:rsidRDefault="003128BD" w:rsidP="003128BD">
            <w:pPr>
              <w:spacing w:after="0" w:line="240" w:lineRule="auto"/>
              <w:rPr>
                <w:rFonts w:ascii="Times New Roman" w:hAnsi="Times New Roman" w:cs="Times New Roman"/>
                <w:i/>
              </w:rPr>
            </w:pPr>
            <w:r w:rsidRPr="00A70A90">
              <w:rPr>
                <w:rFonts w:ascii="Times New Roman" w:hAnsi="Times New Roman" w:cs="Times New Roman"/>
                <w:i/>
              </w:rPr>
              <w:t>Communicating limitations to the patient at the outset</w:t>
            </w:r>
          </w:p>
        </w:tc>
        <w:tc>
          <w:tcPr>
            <w:tcW w:w="1522" w:type="dxa"/>
          </w:tcPr>
          <w:p w14:paraId="18AD8181" w14:textId="77777777" w:rsidR="003128BD" w:rsidRPr="00A70A90" w:rsidRDefault="003128BD" w:rsidP="003128BD">
            <w:pPr>
              <w:spacing w:after="0" w:line="240" w:lineRule="auto"/>
              <w:jc w:val="center"/>
              <w:rPr>
                <w:rFonts w:ascii="Times New Roman" w:hAnsi="Times New Roman" w:cs="Times New Roman"/>
              </w:rPr>
            </w:pPr>
          </w:p>
        </w:tc>
        <w:tc>
          <w:tcPr>
            <w:tcW w:w="2157" w:type="dxa"/>
          </w:tcPr>
          <w:p w14:paraId="534E033C"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72DEF8AC" w14:textId="77777777" w:rsidR="003128BD" w:rsidRPr="00A70A90" w:rsidRDefault="003128BD" w:rsidP="003128BD">
            <w:pPr>
              <w:spacing w:after="0" w:line="240" w:lineRule="auto"/>
              <w:jc w:val="center"/>
              <w:rPr>
                <w:rFonts w:ascii="Times New Roman" w:hAnsi="Times New Roman" w:cs="Times New Roman"/>
              </w:rPr>
            </w:pPr>
          </w:p>
        </w:tc>
        <w:tc>
          <w:tcPr>
            <w:tcW w:w="1907" w:type="dxa"/>
          </w:tcPr>
          <w:p w14:paraId="08B07823" w14:textId="77777777" w:rsidR="003128BD" w:rsidRPr="00A70A90" w:rsidRDefault="003128BD" w:rsidP="003128BD">
            <w:pPr>
              <w:spacing w:after="0" w:line="240" w:lineRule="auto"/>
              <w:jc w:val="center"/>
              <w:rPr>
                <w:rFonts w:ascii="Times New Roman" w:hAnsi="Times New Roman" w:cs="Times New Roman"/>
              </w:rPr>
            </w:pPr>
          </w:p>
        </w:tc>
      </w:tr>
      <w:tr w:rsidR="003128BD" w:rsidRPr="004D340D" w14:paraId="4F33744E" w14:textId="74FD7F8C" w:rsidTr="003128BD">
        <w:tc>
          <w:tcPr>
            <w:tcW w:w="1036" w:type="dxa"/>
          </w:tcPr>
          <w:p w14:paraId="1084AF35"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52</w:t>
            </w:r>
          </w:p>
        </w:tc>
        <w:tc>
          <w:tcPr>
            <w:tcW w:w="5433" w:type="dxa"/>
          </w:tcPr>
          <w:p w14:paraId="4D423807"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Closing salutation by doctor</w:t>
            </w:r>
          </w:p>
        </w:tc>
        <w:tc>
          <w:tcPr>
            <w:tcW w:w="1522" w:type="dxa"/>
          </w:tcPr>
          <w:p w14:paraId="006C5218"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14</w:t>
            </w:r>
          </w:p>
        </w:tc>
        <w:tc>
          <w:tcPr>
            <w:tcW w:w="2157" w:type="dxa"/>
          </w:tcPr>
          <w:p w14:paraId="56960542"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5454AB10"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3C131DD6" w14:textId="45B7EBA3"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"DOI" : "10.1186/1471-2296-7-72", "ISBN" : "1471-2296 (Electronic)\\r1471-2296 (Linking)", "ISSN" : "1471-2296", "PMID" : "17156424", "abstract" : "BACKGROUND: A good patient-physician interaction is particularly important in chronic diseases like diabetes. There are so far no published data regarding the interaction between the primary health-care providers and patients with type 2 diabetes in Oman, where diabetes is a major and growing health problem. This study aimed at exploring how health-care providers interact with patients with type 2 diabetes at primary health-care level in Muscat, Oman, focusing on the consultation environment, and some aspects of care and information. METHODS: Direct observations of 90 consultations between 23 doctors and 13 diabetes nurses concerned with diabetes management during their consultations with type 2 diabetes patients in six primary health-care centres in the Muscat region, using checklists developed from the National Diabetes Guidelines. Consultations were assessed as optimal if more than 75% of observed aspects were fulfilled and sub-optimal if less than 50% were fulfilled. RESULTS: Overall 52% of the doctors' consultations were not optimal. Some important aspects for a positive consultation environment were fulfilled in only about half of the doctors' consultations: ensuring privacy of consultation (49%), eye contact (49%), good attention (52%), encouraging asking questions (47%), and emphasizing on the patients' understanding of the provided information (52%). The doctors inquired about adverse effects of anti-diabetes drugs in less than 10% of consultations. The quality of the nurses' consultations was sub-optimal in about 75% of 85 consultations regarding aspects of consultation environment, care and information. CONCLUSION: The performance of the primary health-care doctors and diabetes nurses needs to be improved. The role of the diabetes nurses and the teamwork should be enhanced. We suggest a multidisciplinary team approach, training and education to the providers to upgrade their skills regarding communication and care. Barriers to compliance with the guidelines need to be further explored. Improving the work situation mainly for the diabetes nurses and further improvement in the organizational efficiency of diabetes services such as lowering the number of patients in diabetes clinic, are suggested.", "author" : [ { "dropping-particle" : "", "family" : "Abdulhadi", "given" : "Nadia", "non-dropping-particle" : "", "parse-names" : false, "suffix" : "" }, { "dropping-particle" : "", "family" : "Al-Shafaee", "given" : "Mohammed Ali", "non-dropping-particle" : "", "parse-names" : false, "suffix" : "" }, { "dropping-particle" : "", "family" : "Ostenson", "given" : "Claes-G\u00f6ran", "non-dropping-particle" : "", "parse-names" : false, "suffix" : "" }, { "dropping-particle" : "", "family" : "Vernby", "given" : "Asa", "non-dropping-particle" : "", "parse-names" : false, "suffix" : "" }, { "dropping-particle" : "", "family" : "Wahlstr\u00f6m", "given" : "Rolf", "non-dropping-particle" : "", "parse-names" : false, "suffix" : "" } ], "container-title" : "BMC family practice", "id" : "ITEM-1", "issued" : { "date-parts" : [ [ "2006" ] ] }, "page" : "72", "title" : "Quality of interaction between primary health-care providers and patients with type 2 diabetes in Muscat, Oman: an observational study.", "type" : "article-journal", "volume" : "7" }, "uris" : [ "http://www.mendeley.com/documents/?uuid=dafc7419-ac9f-4d97-9f44-e78781973afe" ] }, { "id" : "ITEM-2", "itemData" : { "DOI" : "10.1016/S0738-3991(96)00962-7", "ISBN" : "0738-3991", "ISSN" : "07383991", "PMID" : "9128617", "abstract" : "The purpose of this preliminary study is to develop an operational definition of the closure phase of the medical visit. A listening group developed a definition of closure by consensus based on audiotaped data from 22 office visits to physicians. The group noted new problems in closure not previously raised. Closure was defined as the final phase of the medical visit in which the doctor and patient shift perspective to the future, finalize plans, and say goodbye. Two distinct organizational frameworks of closure are outlined. Thirty-six percent of closures were interrupted in some way. New problems occurred in 23% of visits, even those with open-ended beginnings and early physician requests for all patient concerns. Doctors' communication involved expression of emotion, patient education, clarification, summary, and parting comments. Patient communication included expression of emotion, information sharing, and parting comments. Doctors' communication skills for closure are proposed. Closure is a distinctive phase of the visit with an organizational framework and specific tasks. The frequency of new problems in closure suggests that physicians may have the potential to improve their effectiveness.", "author" : [ { "dropping-particle" : "", "family" : "White", "given" : "Jocelyn C", "non-dropping-particle" : "", "parse-names" : false, "suffix" : "" }, { "dropping-particle" : "", "family" : "Rosson", "given" : "Connie", "non-dropping-particle" : "", "parse-names" : false, "suffix" : "" }, { "dropping-particle" : "", "family" : "Christensen", "given" : "John", "non-dropping-particle" : "", "parse-names" : false, "suffix" : "" }, { "dropping-particle" : "", "family" : "Hart", "given" : "Rosemary", "non-dropping-particle" : "", "parse-names" : false, "suffix" : "" }, { "dropping-particle" : "", "family" : "Levinson", "given" : "Wendy", "non-dropping-particle" : "", "parse-names" : false, "suffix" : "" } ], "container-title" : "Patient Education and Counseling", "id" : "ITEM-2", "issue" : "2", "issued" : { "date-parts" : [ [ "1997" ] ] }, "page" : "155-165", "title" : "Wrapping things up: A qualitative analysis of the closing moments of the medical visit", "type" : "article-journal", "volume" : "30" }, "uris" : [ "http://www.mendeley.com/documents/?uuid=ccba0899-3ed5-435f-9843-41845c9b81d9" ] }, { "id" : "ITEM-3", "itemData" : { "ISBN" : "0893-8652", "ISSN" : "0893-8652", "PMID" : "11841136", "abstract" : "BACKGROUND: The physician-patient interview is the key component of all health care, particularly of primary medical care. This review sought to evaluate existing primary-care-based research studies to determine which verbal and nonverbal behaviors on the part of the physician during the medical encounter have been linked in empirical studies with favorable patient outcomes. METHODS: We reviewed the literature from 1975 to 2000 for studies of office interactions between primary care physicians and patients that evaluated these interactions empirically using neutral observers who coded observed encounters, videotapes, or audiotapes. Each study was reviewed for the quality of the methods and to find statistically significant relations between specific physician behaviors and patient outcomes. In examining nonverbal behaviors, because of a paucity of clinical outcome studies, outcomes were expanded to include associations with patient characteristics or subjective ratings of the interaction by observers. RESULTS: We found 14 studies of verbal communication and 8 studies of nonverbal communication that met inclusion criteria. Verbal behaviors positively associated with health outcomes included empathy, reassurance and support, various patient-centered questioning techniques, encounter length, history taking, explanations, both dominant and passive physician styles, positive reinforcement, humor, psychosocial talk, time in health education and information sharing, friendliness, courtesy, orienting the patient during examination, and summarization and clarification. Nonverbal behaviors positively associated with outcomes included head nodding, forward lean, direct body orientation, uncrossed legs and arms, arm symmetry, and less mutual gaze. CONCLUSION: Existing research is limited because of lack of consensus of what to measure, conflicting findings, and relative lack of empirical studies (especially of nonverbal behavior). Nonetheless, medical educators should focus on teaching and reinforcing behaviors known to be facilitative, and to continue to understand further how physician behavior can enhance favorable patient outcomes, such as understanding and adherence to medical regimens and overall satisfaction.", "author" : [ { "dropping-particle" : "", "family" : "Beck", "given" : "Rainer S", "non-dropping-particle" : "", "parse-names" : false, "suffix" : "" }, { "dropping-particle" : "", "family" : "Daughtridge", "given" : "Rebecca", "non-dropping-particle" : "", "parse-names" : false, "suffix" : "" }, { "dropping-particle" : "", "family" : "Sloane", "given" : "Philip D", "non-dropping-particle" : "", "parse-names" : false, "suffix" : "" } ], "container-title" : "The Journal of the American Board of Family Practice / American Board of Family Practice", "id" : "ITEM-3", "issue" : "1", "issued" : { "date-parts" : [ [ "2000" ] ] }, "page" : "25-38", "title" : "Physician-patient communication in the primary care office: a systematic review.", "type" : "article-journal", "volume" : "15" }, "uris" : [ "http://www.mendeley.com/documents/?uuid=4f428e78-1aa3-4810-aad2-6aa695f77c16" ] }, { "id" : "ITEM-4", "itemData" : { "author" : [ { "dropping-particle" : "", "family" : "White", "given" : "D G", "non-dropping-particle" : "", "parse-names" : false, "suffix" : "" }, { "dropping-particle" : "", "family" : "Tiberius", "given" : "R", "non-dropping-particle" : "", "parse-names" : false, "suffix" : "" }, { "dropping-particle" : "", "family" : "Talbot", "given" : "Y", "non-dropping-particle" : "", "parse-names" : false, "suffix" : "" }, { "dropping-particle" : "", "family" : "Schiralli", "given" : "V", "non-dropping-particle" : "", "parse-names" : false, "suffix" : "" }, { "dropping-particle" : "", "family" : "Rickett", "given" : "M", "non-dropping-particle" : "", "parse-names" : false, "suffix" : "" } ], "container-title" : "Canadian Family Physician", "id" : "ITEM-4", "issued" : { "date-parts" : [ [ "1991" ] ] }, "page" : "64-70", "title" : "Improving Feedback for Medical Students in a Famnily Medicine Clerkship", "type" : "article-journal", "volume" : "37" }, "uris" : [ "http://www.mendeley.com/documents/?uuid=b5403e3f-50b7-4cb0-ab14-69cf5545cc85" ] } ], "mendeley" : { "formattedCitation" : "(Abdulhadi et al., 2006; Beck et al., 2000; D. G. White et al., 1991; J. C. White et al., 1997)", "manualFormatting" : "Abdulhadi et al., 2006; Beck et al., 2000; White et al., 1991; White et al., 1997", "plainTextFormattedCitation" : "(Abdulhadi et al., 2006; Beck et al., 2000; D. G. White et al., 1991; J. C. White et al., 1997)", "previouslyFormattedCitation" : "(Abdulhadi et al., 2006; Beck et al., 2000; D. G. White et al., 1991; J. C. White et al., 1997)"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Abdulhadi et al., 2006; Beck et al., 2000; White et al., 1991; White et al., 1997</w:t>
            </w:r>
            <w:r w:rsidRPr="00A70A90">
              <w:rPr>
                <w:rFonts w:ascii="Times New Roman" w:hAnsi="Times New Roman" w:cs="Times New Roman"/>
              </w:rPr>
              <w:fldChar w:fldCharType="end"/>
            </w:r>
          </w:p>
        </w:tc>
      </w:tr>
      <w:tr w:rsidR="003128BD" w:rsidRPr="004D340D" w14:paraId="57EEE331" w14:textId="446C7DDF" w:rsidTr="003128BD">
        <w:tc>
          <w:tcPr>
            <w:tcW w:w="1036" w:type="dxa"/>
          </w:tcPr>
          <w:p w14:paraId="0401B8F8"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53</w:t>
            </w:r>
          </w:p>
        </w:tc>
        <w:tc>
          <w:tcPr>
            <w:tcW w:w="5433" w:type="dxa"/>
          </w:tcPr>
          <w:p w14:paraId="5121B365" w14:textId="77777777" w:rsidR="003128BD" w:rsidRPr="00A70A90" w:rsidRDefault="003128BD" w:rsidP="003128BD">
            <w:pPr>
              <w:spacing w:after="0" w:line="240" w:lineRule="auto"/>
              <w:rPr>
                <w:rFonts w:ascii="Times New Roman" w:hAnsi="Times New Roman" w:cs="Times New Roman"/>
                <w:i/>
              </w:rPr>
            </w:pPr>
            <w:r w:rsidRPr="00A70A90">
              <w:rPr>
                <w:rFonts w:ascii="Times New Roman" w:hAnsi="Times New Roman" w:cs="Times New Roman"/>
                <w:i/>
              </w:rPr>
              <w:t>Responding to patient's closing salutation</w:t>
            </w:r>
          </w:p>
        </w:tc>
        <w:tc>
          <w:tcPr>
            <w:tcW w:w="1522" w:type="dxa"/>
          </w:tcPr>
          <w:p w14:paraId="14EC1777" w14:textId="77777777" w:rsidR="003128BD" w:rsidRPr="00A70A90" w:rsidRDefault="003128BD" w:rsidP="003128BD">
            <w:pPr>
              <w:spacing w:after="0" w:line="240" w:lineRule="auto"/>
              <w:jc w:val="center"/>
              <w:rPr>
                <w:rFonts w:ascii="Times New Roman" w:hAnsi="Times New Roman" w:cs="Times New Roman"/>
              </w:rPr>
            </w:pPr>
          </w:p>
        </w:tc>
        <w:tc>
          <w:tcPr>
            <w:tcW w:w="2157" w:type="dxa"/>
          </w:tcPr>
          <w:p w14:paraId="404CE7AD"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6160C192" w14:textId="77777777" w:rsidR="003128BD" w:rsidRPr="00A70A90" w:rsidRDefault="003128BD" w:rsidP="003128BD">
            <w:pPr>
              <w:spacing w:after="0" w:line="240" w:lineRule="auto"/>
              <w:jc w:val="center"/>
              <w:rPr>
                <w:rFonts w:ascii="Times New Roman" w:hAnsi="Times New Roman" w:cs="Times New Roman"/>
              </w:rPr>
            </w:pPr>
          </w:p>
        </w:tc>
        <w:tc>
          <w:tcPr>
            <w:tcW w:w="1907" w:type="dxa"/>
          </w:tcPr>
          <w:p w14:paraId="1125B9C4" w14:textId="77777777" w:rsidR="003128BD" w:rsidRPr="00A70A90" w:rsidRDefault="003128BD" w:rsidP="003128BD">
            <w:pPr>
              <w:spacing w:after="0" w:line="240" w:lineRule="auto"/>
              <w:jc w:val="center"/>
              <w:rPr>
                <w:rFonts w:ascii="Times New Roman" w:hAnsi="Times New Roman" w:cs="Times New Roman"/>
              </w:rPr>
            </w:pPr>
          </w:p>
        </w:tc>
      </w:tr>
      <w:tr w:rsidR="003128BD" w:rsidRPr="004D340D" w14:paraId="1D2040FA" w14:textId="6F54614D" w:rsidTr="003128BD">
        <w:tc>
          <w:tcPr>
            <w:tcW w:w="1036" w:type="dxa"/>
          </w:tcPr>
          <w:p w14:paraId="028EB0E3"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54</w:t>
            </w:r>
          </w:p>
        </w:tc>
        <w:tc>
          <w:tcPr>
            <w:tcW w:w="5433" w:type="dxa"/>
          </w:tcPr>
          <w:p w14:paraId="37249F06" w14:textId="77777777" w:rsidR="003128BD" w:rsidRPr="00A70A90" w:rsidRDefault="003128BD" w:rsidP="003128BD">
            <w:pPr>
              <w:spacing w:after="0" w:line="240" w:lineRule="auto"/>
              <w:rPr>
                <w:rFonts w:ascii="Times New Roman" w:hAnsi="Times New Roman" w:cs="Times New Roman"/>
              </w:rPr>
            </w:pPr>
            <w:r w:rsidRPr="00A70A90">
              <w:rPr>
                <w:rFonts w:ascii="Times New Roman" w:hAnsi="Times New Roman" w:cs="Times New Roman"/>
              </w:rPr>
              <w:t>Legibility of prescription</w:t>
            </w:r>
          </w:p>
        </w:tc>
        <w:tc>
          <w:tcPr>
            <w:tcW w:w="1522" w:type="dxa"/>
          </w:tcPr>
          <w:p w14:paraId="12F5899E" w14:textId="77777777" w:rsidR="003128BD" w:rsidRPr="00A70A90" w:rsidRDefault="003128BD" w:rsidP="003128BD">
            <w:pPr>
              <w:spacing w:after="0" w:line="240" w:lineRule="auto"/>
              <w:jc w:val="center"/>
              <w:rPr>
                <w:rFonts w:ascii="Times New Roman" w:hAnsi="Times New Roman" w:cs="Times New Roman"/>
              </w:rPr>
            </w:pPr>
          </w:p>
        </w:tc>
        <w:tc>
          <w:tcPr>
            <w:tcW w:w="2157" w:type="dxa"/>
          </w:tcPr>
          <w:p w14:paraId="70AD341C"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3FB4FB7A" w14:textId="77777777" w:rsidR="003128BD" w:rsidRPr="00A70A90" w:rsidRDefault="003128BD" w:rsidP="003128BD">
            <w:pPr>
              <w:spacing w:after="0" w:line="240" w:lineRule="auto"/>
              <w:jc w:val="center"/>
              <w:rPr>
                <w:rFonts w:ascii="Times New Roman" w:hAnsi="Times New Roman" w:cs="Times New Roman"/>
              </w:rPr>
            </w:pPr>
          </w:p>
        </w:tc>
        <w:tc>
          <w:tcPr>
            <w:tcW w:w="1907" w:type="dxa"/>
          </w:tcPr>
          <w:p w14:paraId="1325C3A8" w14:textId="77777777" w:rsidR="003128BD" w:rsidRPr="00A70A90" w:rsidRDefault="003128BD" w:rsidP="003128BD">
            <w:pPr>
              <w:spacing w:after="0" w:line="240" w:lineRule="auto"/>
              <w:jc w:val="center"/>
              <w:rPr>
                <w:rFonts w:ascii="Times New Roman" w:hAnsi="Times New Roman" w:cs="Times New Roman"/>
              </w:rPr>
            </w:pPr>
          </w:p>
        </w:tc>
      </w:tr>
      <w:tr w:rsidR="003128BD" w:rsidRPr="004D340D" w14:paraId="46037417" w14:textId="2ACFC119" w:rsidTr="003128BD">
        <w:tc>
          <w:tcPr>
            <w:tcW w:w="1036" w:type="dxa"/>
          </w:tcPr>
          <w:p w14:paraId="79697F7F"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55</w:t>
            </w:r>
          </w:p>
        </w:tc>
        <w:tc>
          <w:tcPr>
            <w:tcW w:w="5433" w:type="dxa"/>
          </w:tcPr>
          <w:p w14:paraId="5F4D32AE" w14:textId="77777777" w:rsidR="003128BD" w:rsidRPr="00A70A90" w:rsidRDefault="003128BD" w:rsidP="003128BD">
            <w:pPr>
              <w:spacing w:after="0" w:line="240" w:lineRule="auto"/>
              <w:rPr>
                <w:rFonts w:ascii="Times New Roman" w:hAnsi="Times New Roman" w:cs="Times New Roman"/>
              </w:rPr>
            </w:pPr>
            <w:r w:rsidRPr="00A70A90">
              <w:rPr>
                <w:rFonts w:ascii="Times New Roman" w:hAnsi="Times New Roman" w:cs="Times New Roman"/>
              </w:rPr>
              <w:t>Not showing hierarchical difference</w:t>
            </w:r>
          </w:p>
        </w:tc>
        <w:tc>
          <w:tcPr>
            <w:tcW w:w="1522" w:type="dxa"/>
          </w:tcPr>
          <w:p w14:paraId="2F9E2DAE" w14:textId="77777777" w:rsidR="003128BD" w:rsidRPr="00A70A90" w:rsidRDefault="003128BD" w:rsidP="003128BD">
            <w:pPr>
              <w:spacing w:after="0" w:line="240" w:lineRule="auto"/>
              <w:jc w:val="center"/>
              <w:rPr>
                <w:rFonts w:ascii="Times New Roman" w:hAnsi="Times New Roman" w:cs="Times New Roman"/>
              </w:rPr>
            </w:pPr>
          </w:p>
        </w:tc>
        <w:tc>
          <w:tcPr>
            <w:tcW w:w="2157" w:type="dxa"/>
          </w:tcPr>
          <w:p w14:paraId="624B3856"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7ABD2A0F"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7F2FB757" w14:textId="3945B673"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noProof/>
                <w:lang w:eastAsia="zh-CN"/>
              </w:rPr>
              <w:fldChar w:fldCharType="begin" w:fldLock="1"/>
            </w:r>
            <w:r w:rsidR="002B2DFD">
              <w:rPr>
                <w:rFonts w:ascii="Times New Roman" w:hAnsi="Times New Roman" w:cs="Times New Roman"/>
                <w:noProof/>
                <w:lang w:eastAsia="zh-CN"/>
              </w:rPr>
              <w:instrText>ADDIN CSL_CITATION { "citationItems" : [ { "id" : "ITEM-1", "itemData" : { "DOI" : "10.1186/1472-6963-11-325", "ISSN" : "1472-6963", "PMID" : "22115499", "abstract" : "BACKGROUND: Individuals' experience of interacting with the healthcare system has significant impact on their overall health and well-being. To relate patients' experiences to a common set of standards, the World Health Organization (WHO) developed the concept of health system responsiveness. This study aimed to assess if the WHO responsiveness concept reflected the non-medical expectations of mental healthcare users in Teheran.\n\nMETHODS: In this qualitative study, four mixed focus group discussions were formed, comprising 53 mental health service users in Tehran, Iran, in 2010. Content analysis was performed for data analysis. Responses were examined in relation to the eight domains of the WHO's responsiveness model.\n\nRESULTS: There were many commonalities between the findings of this study and the eight domains of the WHO responsiveness model, although some variations were found. Effective care was a new domain generated from our findings. In addition, the domain of prompt attention was included in two new labelled domains: attention and access to care. Participants could not differentiate autonomy from choice of healthcare provider, believing that free choice is part of autonomy. Therefore these domains were unified under the name of autonomy. The domains of quality of basic amenities, access to social support, dignity and confidentiality were considered to be important for the responsiveness concept. Some differences regarding how these domains should be defined were observed, however.\n\nCONCLUSIONS: The results showed that the concept of responsiveness developed by the WHO is applicable to mental health services in Iran. These findings might help policy-makers' better understanding of what is useful for the improvement of mental health services.", "author" : [ { "dropping-particle" : "", "family" : "Forouzan", "given" : "Ameneh Setareh", "non-dropping-particle" : "", "parse-names" : false, "suffix" : "" }, { "dropping-particle" : "", "family" : "Ghazinour", "given" : "Mehdi", "non-dropping-particle" : "", "parse-names" : false, "suffix" : "" }, { "dropping-particle" : "", "family" : "Dejman", "given" : "Masoumeh", "non-dropping-particle" : "", "parse-names" : false, "suffix" : "" }, { "dropping-particle" : "", "family" : "Rafeiey", "given" : "Hassan", "non-dropping-particle" : "", "parse-names" : false, "suffix" : "" }, { "dropping-particle" : "", "family" : "San Sebastian", "given" : "Miguel", "non-dropping-particle" : "", "parse-names" : false, "suffix" : "" } ], "container-title" : "BMC health services research", "id" : "ITEM-1", "issue" : "1", "issued" : { "date-parts" : [ [ "2011", "1" ] ] }, "page" : "325", "publisher" : "BioMed Central Ltd", "title" : "Testing the WHO responsiveness concept in the Iranian mental healthcare system: a qualitative study of service users.", "type" : "article-journal", "volume" : "11" }, "uris" : [ "http://www.mendeley.com/documents/?uuid=2baa8362-05a9-4f3d-9ac7-07d827a12d42" ] } ], "mendeley" : { "formattedCitation" : "(Forouzan et al., 2011)", "manualFormatting" : "Forouzan et al., 2011", "plainTextFormattedCitation" : "(Forouzan et al., 2011)", "previouslyFormattedCitation" : "(Forouzan et al., 2011)" }, "properties" : { "noteIndex" : 0 }, "schema" : "https://github.com/citation-style-language/schema/raw/master/csl-citation.json" }</w:instrText>
            </w:r>
            <w:r w:rsidRPr="00A70A90">
              <w:rPr>
                <w:rFonts w:ascii="Times New Roman" w:hAnsi="Times New Roman" w:cs="Times New Roman"/>
                <w:noProof/>
                <w:lang w:eastAsia="zh-CN"/>
              </w:rPr>
              <w:fldChar w:fldCharType="separate"/>
            </w:r>
            <w:r w:rsidRPr="00A70A90">
              <w:rPr>
                <w:rFonts w:ascii="Times New Roman" w:hAnsi="Times New Roman" w:cs="Times New Roman"/>
                <w:noProof/>
                <w:lang w:eastAsia="zh-CN"/>
              </w:rPr>
              <w:t>Forouzan et al., 2011</w:t>
            </w:r>
            <w:r w:rsidRPr="00A70A90">
              <w:rPr>
                <w:rFonts w:ascii="Times New Roman" w:hAnsi="Times New Roman" w:cs="Times New Roman"/>
                <w:noProof/>
                <w:lang w:eastAsia="zh-CN"/>
              </w:rPr>
              <w:fldChar w:fldCharType="end"/>
            </w:r>
          </w:p>
        </w:tc>
      </w:tr>
      <w:tr w:rsidR="003128BD" w:rsidRPr="004D340D" w14:paraId="44AC754D" w14:textId="64998DF2" w:rsidTr="003128BD">
        <w:tc>
          <w:tcPr>
            <w:tcW w:w="1036" w:type="dxa"/>
          </w:tcPr>
          <w:p w14:paraId="0D896CE7"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56</w:t>
            </w:r>
          </w:p>
        </w:tc>
        <w:tc>
          <w:tcPr>
            <w:tcW w:w="5433" w:type="dxa"/>
          </w:tcPr>
          <w:p w14:paraId="6C238586" w14:textId="77777777" w:rsidR="003128BD" w:rsidRPr="00A70A90" w:rsidRDefault="003128BD" w:rsidP="003128BD">
            <w:pPr>
              <w:spacing w:after="0" w:line="240" w:lineRule="auto"/>
              <w:rPr>
                <w:rFonts w:ascii="Times New Roman" w:hAnsi="Times New Roman" w:cs="Times New Roman"/>
              </w:rPr>
            </w:pPr>
            <w:r w:rsidRPr="00A70A90">
              <w:rPr>
                <w:rFonts w:ascii="Times New Roman" w:hAnsi="Times New Roman" w:cs="Times New Roman"/>
              </w:rPr>
              <w:t>Gender sensitivity</w:t>
            </w:r>
          </w:p>
        </w:tc>
        <w:tc>
          <w:tcPr>
            <w:tcW w:w="1522" w:type="dxa"/>
          </w:tcPr>
          <w:p w14:paraId="29C65AF2" w14:textId="77777777" w:rsidR="003128BD" w:rsidRPr="00A70A90" w:rsidRDefault="003128BD" w:rsidP="003128BD">
            <w:pPr>
              <w:spacing w:after="0" w:line="240" w:lineRule="auto"/>
              <w:jc w:val="center"/>
              <w:rPr>
                <w:rFonts w:ascii="Times New Roman" w:hAnsi="Times New Roman" w:cs="Times New Roman"/>
              </w:rPr>
            </w:pPr>
          </w:p>
        </w:tc>
        <w:tc>
          <w:tcPr>
            <w:tcW w:w="2157" w:type="dxa"/>
          </w:tcPr>
          <w:p w14:paraId="399BB3BB"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254AE128"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71E77B2A" w14:textId="25B19C72"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noProof/>
                <w:lang w:eastAsia="zh-CN"/>
              </w:rPr>
              <w:fldChar w:fldCharType="begin" w:fldLock="1"/>
            </w:r>
            <w:r w:rsidR="002B2DFD">
              <w:rPr>
                <w:rFonts w:ascii="Times New Roman" w:hAnsi="Times New Roman" w:cs="Times New Roman"/>
                <w:noProof/>
                <w:lang w:eastAsia="zh-CN"/>
              </w:rPr>
              <w:instrText>ADDIN CSL_CITATION { "citationItems" : [ { "id" : "ITEM-1", "itemData" : { "DOI" : "10.1093/heapol/czr036", "ISSN" : "1460-2237", "PMID" : "21551121", "abstract" : "Health care providers in low-income countries often treat consumers poorly. Many providers do not consider it their responsibility to listen carefully to consumer preferences, to facilitate access to care, to offer detailed information, or to treat patients with respect. A lack of provider accountability to health consumers may have adverse effects on the quality of health care they provide, and ultimately on health outcomes. This paper synthesizes relevant research on health provision in low-, middle- and high-income countries with the aim of identifying factors that shape health provider accountability to consumers, and discerning promising interventions to enhance responsiveness. Drawing on this scholarship, we develop a framework that classifies factors into two categories: those concerning the health system and those that pertain to social influences. Among the health systems factors that may shape provider accountability are oversight mechanisms, revenue sources, and the nature of competition in the health sector-all influences that may lead providers to be accountable to entities other than consumers, such as governments and donors. Among the social factors we explore are consumer power, especially information levels, and provider beliefs surrounding accountability. Evidence on factors and interventions shaping health provider accountability is thin. For this reason, it is not possible to draw firm conclusions on what works to enhance accountability. This being said, research does suggest four mechanisms that may improve provider responsiveness: 1. Creating official community participation mechanisms in the context of health service decentralization; 2. Enhancing the quality of health information that consumers receive; 3. Establishing community groups that empower consumers to take action; 4. Including non-governmental organizations in efforts to expand access to care. This synthesis reviews evidence on these and other interventions, and points to future research needs to build knowledge on how to enhance health provider accountability to consumers.", "author" : [ { "dropping-particle" : "", "family" : "Berlan", "given" : "David", "non-dropping-particle" : "", "parse-names" : false, "suffix" : "" }, { "dropping-particle" : "", "family" : "Shiffman", "given" : "Jeremy", "non-dropping-particle" : "", "parse-names" : false, "suffix" : "" } ], "container-title" : "Health policy and planning", "id" : "ITEM-1", "issue" : "4", "issued" : { "date-parts" : [ [ "2012", "7" ] ] }, "page" : "271-80", "title" : "Holding health providers in developing countries accountable to consumers: a synthesis of relevant scholarship.", "type" : "article-journal", "volume" : "27" }, "uris" : [ "http://www.mendeley.com/documents/?uuid=5bad1ce9-33f2-4317-afec-c6bb23107541" ] }, { "id" : "ITEM-2", "itemData" : { "author" : [ { "dropping-particle" : "", "family" : "Haaland", "given" : "Ane", "non-dropping-particle" : "", "parse-names" : false, "suffix" : "" }, { "dropping-particle" : "", "family" : "Vlassoff", "given" : "Carol", "non-dropping-particle" : "", "parse-names" : false, "suffix" : "" } ], "id" : "ITEM-2", "issued" : { "date-parts" : [ [ "2001" ] ] }, "page" : "1-6", "title" : "Introducing Health Workers for Change : from transformation threory to health systems in developing countries", "type" : "article-journal", "volume" : "16" }, "uris" : [ "http://www.mendeley.com/documents/?uuid=6da53ff9-faad-4165-96a6-c44c6718af7a" ] } ], "mendeley" : { "formattedCitation" : "(Berlan &amp; Shiffman, 2012; Haaland &amp; Vlassoff, 2001)", "manualFormatting" : "Berlan &amp; Shiffman, 2012; Haaland &amp; Vlassoff, 2001", "plainTextFormattedCitation" : "(Berlan &amp; Shiffman, 2012; Haaland &amp; Vlassoff, 2001)", "previouslyFormattedCitation" : "(Berlan &amp; Shiffman, 2012; Haaland &amp; Vlassoff, 2001)" }, "properties" : { "noteIndex" : 0 }, "schema" : "https://github.com/citation-style-language/schema/raw/master/csl-citation.json" }</w:instrText>
            </w:r>
            <w:r w:rsidRPr="00A70A90">
              <w:rPr>
                <w:rFonts w:ascii="Times New Roman" w:hAnsi="Times New Roman" w:cs="Times New Roman"/>
                <w:noProof/>
                <w:lang w:eastAsia="zh-CN"/>
              </w:rPr>
              <w:fldChar w:fldCharType="separate"/>
            </w:r>
            <w:r w:rsidRPr="00A70A90">
              <w:rPr>
                <w:rFonts w:ascii="Times New Roman" w:hAnsi="Times New Roman" w:cs="Times New Roman"/>
                <w:noProof/>
                <w:lang w:eastAsia="zh-CN"/>
              </w:rPr>
              <w:t>Berlan &amp; Shiffman, 2012; Haaland &amp; Vlassoff, 2001</w:t>
            </w:r>
            <w:r w:rsidRPr="00A70A90">
              <w:rPr>
                <w:rFonts w:ascii="Times New Roman" w:hAnsi="Times New Roman" w:cs="Times New Roman"/>
                <w:noProof/>
                <w:lang w:eastAsia="zh-CN"/>
              </w:rPr>
              <w:fldChar w:fldCharType="end"/>
            </w:r>
          </w:p>
        </w:tc>
      </w:tr>
      <w:tr w:rsidR="003128BD" w:rsidRPr="004D340D" w14:paraId="21B48C6B" w14:textId="586CFCEE" w:rsidTr="003128BD">
        <w:tc>
          <w:tcPr>
            <w:tcW w:w="1036" w:type="dxa"/>
          </w:tcPr>
          <w:p w14:paraId="271CE689"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57</w:t>
            </w:r>
          </w:p>
        </w:tc>
        <w:tc>
          <w:tcPr>
            <w:tcW w:w="5433" w:type="dxa"/>
          </w:tcPr>
          <w:p w14:paraId="1AC4EE43" w14:textId="77777777" w:rsidR="003128BD" w:rsidRPr="00A70A90" w:rsidRDefault="003128BD" w:rsidP="003128BD">
            <w:pPr>
              <w:spacing w:after="0" w:line="240" w:lineRule="auto"/>
              <w:rPr>
                <w:rFonts w:ascii="Times New Roman" w:hAnsi="Times New Roman" w:cs="Times New Roman"/>
              </w:rPr>
            </w:pPr>
            <w:r w:rsidRPr="00A70A90">
              <w:rPr>
                <w:rFonts w:ascii="Times New Roman" w:hAnsi="Times New Roman" w:cs="Times New Roman"/>
              </w:rPr>
              <w:t>Interruption during consultation</w:t>
            </w:r>
          </w:p>
        </w:tc>
        <w:tc>
          <w:tcPr>
            <w:tcW w:w="1522" w:type="dxa"/>
          </w:tcPr>
          <w:p w14:paraId="0FF547AD" w14:textId="77777777" w:rsidR="003128BD" w:rsidRPr="00A70A90" w:rsidRDefault="003128BD" w:rsidP="003128BD">
            <w:pPr>
              <w:spacing w:after="0" w:line="240" w:lineRule="auto"/>
              <w:jc w:val="center"/>
              <w:rPr>
                <w:rFonts w:ascii="Times New Roman" w:hAnsi="Times New Roman" w:cs="Times New Roman"/>
              </w:rPr>
            </w:pPr>
          </w:p>
        </w:tc>
        <w:tc>
          <w:tcPr>
            <w:tcW w:w="2157" w:type="dxa"/>
          </w:tcPr>
          <w:p w14:paraId="4FCB6853"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496E25FF"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68302E45" w14:textId="77FEC986"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"ISSN" : "0742-3225", "PMID" : "11456245", "author" : [ { "dropping-particle" : "", "family" : "Rhoades", "given" : "Donna R", "non-dropping-particle" : "", "parse-names" : false, "suffix" : "" }, { "dropping-particle" : "", "family" : "McFarland", "given" : "Kay F", "non-dropping-particle" : "", "parse-names" : false, "suffix" : "" }, { "dropping-particle" : "", "family" : "Finch", "given" : "W Holmes", "non-dropping-particle" : "", "parse-names" : false, "suffix" : "" }, { "dropping-particle" : "", "family" : "Johnson", "given" : "Andrew O", "non-dropping-particle" : "", "parse-names" : false, "suffix" : "" } ], "container-title" : "Family Medicine", "id" : "ITEM-1", "issue" : "7", "issued" : { "date-parts" : [ [ "2001" ] ] }, "page" : "528-532", "title" : "Speaking and intrruptions during primary care office visits.", "type" : "article-journal", "volume" : "33" }, "uris" : [ "http://www.mendeley.com/documents/?uuid=672360d5-29b2-46fc-82b5-e5e5740b2406" ] }, { "id" : "ITEM-2", "itemData" : { "ISBN" : "0893-8652", "ISSN" : "0893-8652", "PMID" : "11841136", "abstract" : "BACKGROUND: The physician-patient interview is the key component of all health care, particularly of primary medical care. This review sought to evaluate existing primary-care-based research studies to determine which verbal and nonverbal behaviors on the part of the physician during the medical encounter have been linked in empirical studies with favorable patient outcomes. METHODS: We reviewed the literature from 1975 to 2000 for studies of office interactions between primary care physicians and patients that evaluated these interactions empirically using neutral observers who coded observed encounters, videotapes, or audiotapes. Each study was reviewed for the quality of the methods and to find statistically significant relations between specific physician behaviors and patient outcomes. In examining nonverbal behaviors, because of a paucity of clinical outcome studies, outcomes were expanded to include associations with patient characteristics or subjective ratings of the interaction by observers. RESULTS: We found 14 studies of verbal communication and 8 studies of nonverbal communication that met inclusion criteria. Verbal behaviors positively associated with health outcomes included empathy, reassurance and support, various patient-centered questioning techniques, encounter length, history taking, explanations, both dominant and passive physician styles, positive reinforcement, humor, psychosocial talk, time in health education and information sharing, friendliness, courtesy, orienting the patient during examination, and summarization and clarification. Nonverbal behaviors positively associated with outcomes included head nodding, forward lean, direct body orientation, uncrossed legs and arms, arm symmetry, and less mutual gaze. CONCLUSION: Existing research is limited because of lack of consensus of what to measure, conflicting findings, and relative lack of empirical studies (especially of nonverbal behavior). Nonetheless, medical educators should focus on teaching and reinforcing behaviors known to be facilitative, and to continue to understand further how physician behavior can enhance favorable patient outcomes, such as understanding and adherence to medical regimens and overall satisfaction.", "author" : [ { "dropping-particle" : "", "family" : "Beck", "given" : "Rainer S", "non-dropping-particle" : "", "parse-names" : false, "suffix" : "" }, { "dropping-particle" : "", "family" : "Daughtridge", "given" : "Rebecca", "non-dropping-particle" : "", "parse-names" : false, "suffix" : "" }, { "dropping-particle" : "", "family" : "Sloane", "given" : "Philip D", "non-dropping-particle" : "", "parse-names" : false, "suffix" : "" } ], "container-title" : "The Journal of the American Board of Family Practice / American Board of Family Practice", "id" : "ITEM-2", "issue" : "1", "issued" : { "date-parts" : [ [ "2000" ] ] }, "page" : "25-38", "title" : "Physician-patient communication in the primary care office: a systematic review.", "type" : "article-journal", "volume" : "15" }, "uris" : [ "http://www.mendeley.com/documents/?uuid=4f428e78-1aa3-4810-aad2-6aa695f77c16" ] }, { "id" : "ITEM-3", "itemData" : { "DOI" : "10.1016/S0738-3991(01)00136-7", "ISBN" : "0738-3991 (Print) 0738-3991 (Linking)", "ISSN" : "0738-3991 (Print) 0738-3991 (Linking)", "PMID" : "11602365", "abstract" : "This article examines uses and characteristics of the SEGUE Framework, a research-based checklist of medical communication tasks. A recent survey of US and Canadian medical schools indicates that the SEGUE Framework is the most widely used structure for communication skills teaching and assessment in North America. Student and faculty response to the SEGUE Framework as a teaching tool has been positive. Data drawn from clinical skills assessments with standardized patients provide evidence of concurrent and construct validity. Analysis of visits between general internists and their patients reinforces validity of the SEGUE Framework in an actual practice setting. Interrater reliability is high when standardized patients are recording student performance immediately after a live encounter, and when coders are evaluating videotaped or audiotaped encounters; intrarater reliability is strong as well. The SEGUE Framework has a high degree of acceptability, can be used reliably, has evidence of validity, and is applicable to a variety of contexts. Studies of predictive validity are needed.", "author" : [ { "dropping-particle" : "", "family" : "Makoul", "given" : "G", "non-dropping-particle" : "", "parse-names" : false, "suffix" : "" } ], "container-title" : "Patient education and counseling", "id" : "ITEM-3", "issue" : "1", "issued" : { "date-parts" : [ [ "2001" ] ] }, "page" : "23-34", "title" : "The SEGUE Framework for teaching and assessing communication skills.", "type" : "article-journal", "volume" : "45" }, "uris" : [ "http://www.mendeley.com/documents/?uuid=910716af-5254-4057-bdec-635dc3a0b4f5" ] }, { "id" : "ITEM-4", "itemData" : { "DOI" : "10.1016/j.pec.2007.06.011", "ISBN" : "0738-3991", "ISSN" : "07383991", "PMID" : "17689042", "abstract" : "Objective: Active listening is a prerequisite for a successful healthcare encounter, bearing potential therapeutic value especially in clinical situations that require no specific medical intervention. Although generally acknowledged as such, active listening has not been studied in depth. This paper describes the development of the Active Listening Observation Scale (ALOS-global), an observation instrument measuring active listening and its validation in a sample of general practice consultations for minor ailments. Methods: Five hundred and twenty-four videotaped general practice consultations involving minor ailments were observed with the ALOS-global. Hypotheses were tested to determine validity, incorporating patients' perception of GPs' affective performance, GPs' verbal attention, patients' self-reported anxiety level and gender differences. Results: The final 7-item ALOS-global had acceptable inter- and intra-observer agreement. Factor analysis revealed one homogeneous dimension. The scalescore was positively related to verbal attention measured by RIAS, to patients' perception of GPs' performance and to their pre-visit anxiety level. Female GPs received higher active listening scores. Conclusion: The results of this study are promising concerning the psychometric properties of the ALOS-global. More research is needed to confirm these preliminary findings. Practice implications: After establishing how active listening differentiates between health professionals, the ALOS-global may become a valuable tool in feedback and training aimed at increasing listening skills. \u00a9 2007 Elsevier Ireland Ltd. All rights reserved.", "author" : [ { "dropping-particle" : "", "family" : "Fassaert", "given" : "Thijs", "non-dropping-particle" : "", "parse-names" : false, "suffix" : "" }, { "dropping-particle" : "", "family" : "Dulmen", "given" : "Sandra", "non-dropping-particle" : "van", "parse-names" : false, "suffix" : "" }, { "dropping-particle" : "", "family" : "Schellevis", "given" : "Fran\u00e7ois", "non-dropping-particle" : "", "parse-names" : false, "suffix" : "" }, { "dropping-particle" : "", "family" : "Bensing", "given" : "Jozien", "non-dropping-particle" : "", "parse-names" : false, "suffix" : "" } ], "container-title" : "Patient Education and Counseling", "id" : "ITEM-4", "issue" : "3", "issued" : { "date-parts" : [ [ "2007" ] ] }, "page" : "258-264", "title" : "Active listening in medical consultations: Development of the Active Listening Observation Scale (ALOS-global)", "type" : "article-journal", "volume" : "68" }, "uris" : [ "http://www.mendeley.com/documents/?uuid=61b75c76-3e9f-4047-8028-aabb238a33d8" ] } ], "mendeley" : { "formattedCitation" : "(Beck et al., 2000; Fassaert et al., 2007; Makoul, 2001; Rhoades, McFarland, Finch, &amp; Johnson, 2001)", "manualFormatting" : "Beck et al., 2000; Fassaert et al., 2007; Makoul, 2001; Rhoades, McFarland, Finch, &amp; Johnson, 2001", "plainTextFormattedCitation" : "(Beck et al., 2000; Fassaert et al., 2007; Makoul, 2001; Rhoades, McFarland, Finch, &amp; Johnson, 2001)", "previouslyFormattedCitation" : "(Beck et al., 2000; Fassaert et al., 2007; Makoul, 2001; Rhoades, McFarland, Finch, &amp; Johnson, 2001)"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 xml:space="preserve">Beck et al., 2000; Fassaert et al., </w:t>
            </w:r>
            <w:r w:rsidRPr="00A70A90">
              <w:rPr>
                <w:rFonts w:ascii="Times New Roman" w:hAnsi="Times New Roman" w:cs="Times New Roman"/>
                <w:noProof/>
              </w:rPr>
              <w:lastRenderedPageBreak/>
              <w:t>2007; Makoul, 2001; Rhoades, McFarland, Finch, &amp; Johnson, 2001</w:t>
            </w:r>
            <w:r w:rsidRPr="00A70A90">
              <w:rPr>
                <w:rFonts w:ascii="Times New Roman" w:hAnsi="Times New Roman" w:cs="Times New Roman"/>
              </w:rPr>
              <w:fldChar w:fldCharType="end"/>
            </w:r>
          </w:p>
        </w:tc>
      </w:tr>
      <w:tr w:rsidR="003128BD" w:rsidRPr="004D340D" w14:paraId="2A6B377E" w14:textId="1B6BF7EB" w:rsidTr="003128BD">
        <w:tc>
          <w:tcPr>
            <w:tcW w:w="1036" w:type="dxa"/>
          </w:tcPr>
          <w:p w14:paraId="267BA41D"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lastRenderedPageBreak/>
              <w:t>58</w:t>
            </w:r>
          </w:p>
        </w:tc>
        <w:tc>
          <w:tcPr>
            <w:tcW w:w="5433" w:type="dxa"/>
          </w:tcPr>
          <w:p w14:paraId="7053ABB2" w14:textId="77777777" w:rsidR="003128BD" w:rsidRPr="00A70A90" w:rsidRDefault="003128BD" w:rsidP="003128BD">
            <w:pPr>
              <w:spacing w:after="0" w:line="240" w:lineRule="auto"/>
              <w:rPr>
                <w:rFonts w:ascii="Times New Roman" w:hAnsi="Times New Roman" w:cs="Times New Roman"/>
              </w:rPr>
            </w:pPr>
            <w:r w:rsidRPr="00A70A90">
              <w:rPr>
                <w:rFonts w:ascii="Times New Roman" w:hAnsi="Times New Roman" w:cs="Times New Roman"/>
              </w:rPr>
              <w:t>Appearance of doctor</w:t>
            </w:r>
          </w:p>
        </w:tc>
        <w:tc>
          <w:tcPr>
            <w:tcW w:w="1522" w:type="dxa"/>
          </w:tcPr>
          <w:p w14:paraId="54EED096" w14:textId="77777777" w:rsidR="003128BD" w:rsidRPr="00A70A90" w:rsidRDefault="003128BD" w:rsidP="003128BD">
            <w:pPr>
              <w:spacing w:after="0" w:line="240" w:lineRule="auto"/>
              <w:jc w:val="center"/>
              <w:rPr>
                <w:rFonts w:ascii="Times New Roman" w:hAnsi="Times New Roman" w:cs="Times New Roman"/>
              </w:rPr>
            </w:pPr>
          </w:p>
        </w:tc>
        <w:tc>
          <w:tcPr>
            <w:tcW w:w="2157" w:type="dxa"/>
          </w:tcPr>
          <w:p w14:paraId="68C4ED52"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65D15308"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1812A699" w14:textId="7A533980"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lang w:eastAsia="zh-CN"/>
              </w:rPr>
              <w:fldChar w:fldCharType="begin" w:fldLock="1"/>
            </w:r>
            <w:r w:rsidR="002B2DFD">
              <w:rPr>
                <w:rFonts w:ascii="Times New Roman" w:hAnsi="Times New Roman" w:cs="Times New Roman"/>
                <w:lang w:eastAsia="zh-CN"/>
              </w:rPr>
              <w:instrText>ADDIN CSL_CITATION { "citationItems" : [ { "id" : "ITEM-1", "itemData" : { "DOI" : "10.1016/S0277-9536(00)00235-5", "ISBN" : "0277-9536 (Print)\\n0277-9536 (Linking)", "ISSN" : "02779536", "PMID" : "11286361", "abstract" : "Patients'perceptions about health services seem to have been largely ignored by health care providers in developing countries. That such perceptions, especially about service quality, might shape confidence and subsequent behaviors with regard to choice and usage of the available health care facilities is reflected in the fact that many patients avoid the system or avail it only as a measure of last resort. Those who can afford it seek help in other countries, while preventive care or early detection simply falls by the wayside. Patients'voice must begin to play a greater role in the design of health care service delivery processes in the developing countries. This study is, therefore, patient-centered and identifies the service quality factors that are important to patients; it also examines their links to patient satisfaction in the context of Bangladesh. A field survey was conducted. Evaluations were obtained from patients on several dimensions of perceived service quality including responsiveness, assurance, communication, discipline, and baksheesh. Using factor analysis and multiple regression, significant associations were found between the five dimensions and patient satisfaction. Implications and future research issues are discussed.", "author" : [ { "dropping-particle" : "", "family" : "Andaleeb", "given" : "Syed Saad", "non-dropping-particle" : "", "parse-names" : false, "suffix" : "" } ], "container-title" : "Social Science &amp; Medicine", "id" : "ITEM-1", "issue" : "9", "issued" : { "date-parts" : [ [ "2001", "5" ] ] }, "page" : "1359-1370", "title" : "Service quality perceptions and patient satisfaction: a study of hospitals in a developing country.", "type" : "article-journal", "volume" : "52" }, "uris" : [ "http://www.mendeley.com/documents/?uuid=f93d6350-41eb-47d0-afbe-edf07fa03fb6" ] }, { "id" : "ITEM-2", "itemData" : { "ISSN" : "0737-3252", "PMID" : "10126032", "abstract" : "The quality of physician services is not yet included in the current Medicare Resource-Based Relative Value Scale (RBRVS) formula. Future RBRVS reimbursement calculations may incorporate a quality index. The authors' research sought to explore the applicability of SERVQUAL determinants when measuring physician perceptions of service quality. Process quality determinants, such as \"Reliability,\" \"Assurance,\" and \"Empathy,\" were rated higher in relative importance by physicians than outcome quality determinants, such as \"Core Medical Services,\" and six of the seven service quality determinants were rated higher by older physicians. Further analyses indicated that physicians' perceptions of health care service quality varied because of factors such as number of years in practice and gender.", "author" : [ { "dropping-particle" : "", "family" : "Walbridge", "given" : "S W", "non-dropping-particle" : "", "parse-names" : false, "suffix" : "" }, { "dropping-particle" : "", "family" : "Delene", "given" : "L M", "non-dropping-particle" : "", "parse-names" : false, "suffix" : "" } ], "container-title" : "Journal of health care marketing", "id" : "ITEM-2", "issue" : "1", "issued" : { "date-parts" : [ [ "1993" ] ] }, "page" : "6-15", "title" : "Measuring physician attitudes of service quality", "type" : "article-journal", "volume" : "13" }, "uris" : [ "http://www.mendeley.com/documents/?uuid=23fd4144-4b9b-4cdc-a6e0-8a446c6ea702" ] } ], "mendeley" : { "formattedCitation" : "(Andaleeb, 2001; Walbridge &amp; Delene, 1993)", "manualFormatting" : "Andaleeb, 2001; Walbridge &amp; Delene, 1993", "plainTextFormattedCitation" : "(Andaleeb, 2001; Walbridge &amp; Delene, 1993)", "previouslyFormattedCitation" : "(Andaleeb, 2001; Walbridge &amp; Delene, 1993)" }, "properties" : { "noteIndex" : 0 }, "schema" : "https://github.com/citation-style-language/schema/raw/master/csl-citation.json" }</w:instrText>
            </w:r>
            <w:r w:rsidRPr="00A70A90">
              <w:rPr>
                <w:rFonts w:ascii="Times New Roman" w:hAnsi="Times New Roman" w:cs="Times New Roman"/>
                <w:lang w:eastAsia="zh-CN"/>
              </w:rPr>
              <w:fldChar w:fldCharType="separate"/>
            </w:r>
            <w:r w:rsidRPr="00A70A90">
              <w:rPr>
                <w:rFonts w:ascii="Times New Roman" w:hAnsi="Times New Roman" w:cs="Times New Roman"/>
                <w:noProof/>
                <w:lang w:eastAsia="zh-CN"/>
              </w:rPr>
              <w:t>Andaleeb, 2001; Walbridge &amp; Delene, 1993</w:t>
            </w:r>
            <w:r w:rsidRPr="00A70A90">
              <w:rPr>
                <w:rFonts w:ascii="Times New Roman" w:hAnsi="Times New Roman" w:cs="Times New Roman"/>
                <w:lang w:eastAsia="zh-CN"/>
              </w:rPr>
              <w:fldChar w:fldCharType="end"/>
            </w:r>
          </w:p>
        </w:tc>
      </w:tr>
      <w:tr w:rsidR="003128BD" w:rsidRPr="004D340D" w14:paraId="0DEB1DE7" w14:textId="1E8E0637" w:rsidTr="003128BD">
        <w:tc>
          <w:tcPr>
            <w:tcW w:w="1036" w:type="dxa"/>
          </w:tcPr>
          <w:p w14:paraId="6E3CB197"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59</w:t>
            </w:r>
          </w:p>
        </w:tc>
        <w:tc>
          <w:tcPr>
            <w:tcW w:w="5433" w:type="dxa"/>
          </w:tcPr>
          <w:p w14:paraId="2975DF60" w14:textId="77777777" w:rsidR="003128BD" w:rsidRPr="00A70A90" w:rsidRDefault="003128BD" w:rsidP="003128BD">
            <w:pPr>
              <w:spacing w:after="0" w:line="240" w:lineRule="auto"/>
              <w:rPr>
                <w:rFonts w:ascii="Times New Roman" w:hAnsi="Times New Roman" w:cs="Times New Roman"/>
                <w:i/>
              </w:rPr>
            </w:pPr>
            <w:r w:rsidRPr="00A70A90">
              <w:rPr>
                <w:rFonts w:ascii="Times New Roman" w:hAnsi="Times New Roman" w:cs="Times New Roman"/>
                <w:i/>
              </w:rPr>
              <w:t>Establishing discipline in consultation room</w:t>
            </w:r>
          </w:p>
        </w:tc>
        <w:tc>
          <w:tcPr>
            <w:tcW w:w="1522" w:type="dxa"/>
          </w:tcPr>
          <w:p w14:paraId="2A07208C" w14:textId="77777777" w:rsidR="003128BD" w:rsidRPr="00A70A90" w:rsidRDefault="003128BD" w:rsidP="003128BD">
            <w:pPr>
              <w:spacing w:after="0" w:line="240" w:lineRule="auto"/>
              <w:jc w:val="center"/>
              <w:rPr>
                <w:rFonts w:ascii="Times New Roman" w:hAnsi="Times New Roman" w:cs="Times New Roman"/>
              </w:rPr>
            </w:pPr>
          </w:p>
        </w:tc>
        <w:tc>
          <w:tcPr>
            <w:tcW w:w="2157" w:type="dxa"/>
          </w:tcPr>
          <w:p w14:paraId="6E7856F3"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19AC9C0B"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49911C29" w14:textId="5597DE14"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lang w:eastAsia="zh-CN"/>
              </w:rPr>
              <w:fldChar w:fldCharType="begin" w:fldLock="1"/>
            </w:r>
            <w:r w:rsidR="002B2DFD">
              <w:rPr>
                <w:rFonts w:ascii="Times New Roman" w:hAnsi="Times New Roman" w:cs="Times New Roman"/>
                <w:lang w:eastAsia="zh-CN"/>
              </w:rPr>
              <w:instrText>ADDIN CSL_CITATION { "citationItems" : [ { "id" : "ITEM-1", "itemData" : { "DOI" : "10.1016/S0277-9536(00)00235-5", "ISBN" : "0277-9536 (Print)\\n0277-9536 (Linking)", "ISSN" : "02779536", "PMID" : "11286361", "abstract" : "Patients'perceptions about health services seem to have been largely ignored by health care providers in developing countries. That such perceptions, especially about service quality, might shape confidence and subsequent behaviors with regard to choice and usage of the available health care facilities is reflected in the fact that many patients avoid the system or avail it only as a measure of last resort. Those who can afford it seek help in other countries, while preventive care or early detection simply falls by the wayside. Patients'voice must begin to play a greater role in the design of health care service delivery processes in the developing countries. This study is, therefore, patient-centered and identifies the service quality factors that are important to patients; it also examines their links to patient satisfaction in the context of Bangladesh. A field survey was conducted. Evaluations were obtained from patients on several dimensions of perceived service quality including responsiveness, assurance, communication, discipline, and baksheesh. Using factor analysis and multiple regression, significant associations were found between the five dimensions and patient satisfaction. Implications and future research issues are discussed.", "author" : [ { "dropping-particle" : "", "family" : "Andaleeb", "given" : "Syed Saad", "non-dropping-particle" : "", "parse-names" : false, "suffix" : "" } ], "container-title" : "Social Science &amp; Medicine", "id" : "ITEM-1", "issue" : "9", "issued" : { "date-parts" : [ [ "2001", "5" ] ] }, "page" : "1359-1370", "title" : "Service quality perceptions and patient satisfaction: a study of hospitals in a developing country.", "type" : "article-journal", "volume" : "52" }, "uris" : [ "http://www.mendeley.com/documents/?uuid=f93d6350-41eb-47d0-afbe-edf07fa03fb6" ] } ], "mendeley" : { "formattedCitation" : "(Andaleeb, 2001)", "manualFormatting" : "Andaleeb, 2001", "plainTextFormattedCitation" : "(Andaleeb, 2001)", "previouslyFormattedCitation" : "(Andaleeb, 2001)" }, "properties" : { "noteIndex" : 0 }, "schema" : "https://github.com/citation-style-language/schema/raw/master/csl-citation.json" }</w:instrText>
            </w:r>
            <w:r w:rsidRPr="00A70A90">
              <w:rPr>
                <w:rFonts w:ascii="Times New Roman" w:hAnsi="Times New Roman" w:cs="Times New Roman"/>
                <w:lang w:eastAsia="zh-CN"/>
              </w:rPr>
              <w:fldChar w:fldCharType="separate"/>
            </w:r>
            <w:r w:rsidRPr="00A70A90">
              <w:rPr>
                <w:rFonts w:ascii="Times New Roman" w:hAnsi="Times New Roman" w:cs="Times New Roman"/>
                <w:noProof/>
                <w:lang w:eastAsia="zh-CN"/>
              </w:rPr>
              <w:t>Andaleeb, 2001</w:t>
            </w:r>
            <w:r w:rsidRPr="00A70A90">
              <w:rPr>
                <w:rFonts w:ascii="Times New Roman" w:hAnsi="Times New Roman" w:cs="Times New Roman"/>
                <w:lang w:eastAsia="zh-CN"/>
              </w:rPr>
              <w:fldChar w:fldCharType="end"/>
            </w:r>
          </w:p>
        </w:tc>
      </w:tr>
      <w:tr w:rsidR="003128BD" w:rsidRPr="004D340D" w14:paraId="7C829369" w14:textId="5EF222DD" w:rsidTr="003128BD">
        <w:tc>
          <w:tcPr>
            <w:tcW w:w="1036" w:type="dxa"/>
          </w:tcPr>
          <w:p w14:paraId="0FE6DA79"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60</w:t>
            </w:r>
          </w:p>
        </w:tc>
        <w:tc>
          <w:tcPr>
            <w:tcW w:w="5433" w:type="dxa"/>
          </w:tcPr>
          <w:p w14:paraId="2658063C"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Non-verbal communication by doctor</w:t>
            </w:r>
          </w:p>
        </w:tc>
        <w:tc>
          <w:tcPr>
            <w:tcW w:w="1522" w:type="dxa"/>
          </w:tcPr>
          <w:p w14:paraId="19F40111"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15</w:t>
            </w:r>
          </w:p>
        </w:tc>
        <w:tc>
          <w:tcPr>
            <w:tcW w:w="2157" w:type="dxa"/>
          </w:tcPr>
          <w:p w14:paraId="40D9B7C7"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7B6C1585"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0A306D8D" w14:textId="13D30900"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"DOI" : "10.1186/1471-2296-7-72", "ISBN" : "1471-2296 (Electronic)\\r1471-2296 (Linking)", "ISSN" : "1471-2296", "PMID" : "17156424", "abstract" : "BACKGROUND: A good patient-physician interaction is particularly important in chronic diseases like diabetes. There are so far no published data regarding the interaction between the primary health-care providers and patients with type 2 diabetes in Oman, where diabetes is a major and growing health problem. This study aimed at exploring how health-care providers interact with patients with type 2 diabetes at primary health-care level in Muscat, Oman, focusing on the consultation environment, and some aspects of care and information. METHODS: Direct observations of 90 consultations between 23 doctors and 13 diabetes nurses concerned with diabetes management during their consultations with type 2 diabetes patients in six primary health-care centres in the Muscat region, using checklists developed from the National Diabetes Guidelines. Consultations were assessed as optimal if more than 75% of observed aspects were fulfilled and sub-optimal if less than 50% were fulfilled. RESULTS: Overall 52% of the doctors' consultations were not optimal. Some important aspects for a positive consultation environment were fulfilled in only about half of the doctors' consultations: ensuring privacy of consultation (49%), eye contact (49%), good attention (52%), encouraging asking questions (47%), and emphasizing on the patients' understanding of the provided information (52%). The doctors inquired about adverse effects of anti-diabetes drugs in less than 10% of consultations. The quality of the nurses' consultations was sub-optimal in about 75% of 85 consultations regarding aspects of consultation environment, care and information. CONCLUSION: The performance of the primary health-care doctors and diabetes nurses needs to be improved. The role of the diabetes nurses and the teamwork should be enhanced. We suggest a multidisciplinary team approach, training and education to the providers to upgrade their skills regarding communication and care. Barriers to compliance with the guidelines need to be further explored. Improving the work situation mainly for the diabetes nurses and further improvement in the organizational efficiency of diabetes services such as lowering the number of patients in diabetes clinic, are suggested.", "author" : [ { "dropping-particle" : "", "family" : "Abdulhadi", "given" : "Nadia", "non-dropping-particle" : "", "parse-names" : false, "suffix" : "" }, { "dropping-particle" : "", "family" : "Al-Shafaee", "given" : "Mohammed Ali", "non-dropping-particle" : "", "parse-names" : false, "suffix" : "" }, { "dropping-particle" : "", "family" : "Ostenson", "given" : "Claes-G\u00f6ran", "non-dropping-particle" : "", "parse-names" : false, "suffix" : "" }, { "dropping-particle" : "", "family" : "Vernby", "given" : "Asa", "non-dropping-particle" : "", "parse-names" : false, "suffix" : "" }, { "dropping-particle" : "", "family" : "Wahlstr\u00f6m", "given" : "Rolf", "non-dropping-particle" : "", "parse-names" : false, "suffix" : "" } ], "container-title" : "BMC family practice", "id" : "ITEM-1", "issued" : { "date-parts" : [ [ "2006" ] ] }, "page" : "72", "title" : "Quality of interaction between primary health-care providers and patients with type 2 diabetes in Muscat, Oman: an observational study.", "type" : "article-journal", "volume" : "7" }, "uris" : [ "http://www.mendeley.com/documents/?uuid=dafc7419-ac9f-4d97-9f44-e78781973afe" ] }, { "id" : "ITEM-2", "itemData" : { "DOI" : "10.1016/S0738-3991(98)00063-9", "ISBN" : "0738-3991 (Print)", "ISSN" : "07383991", "PMID" : "9887849", "abstract" : "This paper provides a comprehensive review and comparison of instruments used to assess patient-doctor interaction over the past decade. Instruments were identified from papers indexed by MEDLINE from 1986 to 1996 using the medical subject headings 'physician-patient relations', 'physician-patient communication', and 'education, medical', as well as requests for instruments currently in use by colleagues. Each instrument was reviewed under the following categories: name of the instrument; description; number of items; reliability; validity; current use and special notes. Overall, 44 instruments were obtained and reviewed. Of these, 21 were used in only one published study each in the last decade and 15 have never been validated. While most instruments have been shown to be reliable (usually inter-rater reliability), very few instruments have been directly compared with another instrument designed to assess patient-doctor interactions. We suggest that further validation of existing instruments and incorporation of assessment of non-verbal communication between the patient and the doctor are needed. Copyright (C) 1998 Elsevier Science Ireland Ltd.", "author" : [ { "dropping-particle" : "", "family" : "Boon", "given" : "Heather", "non-dropping-particle" : "", "parse-names" : false, "suffix" : "" }, { "dropping-particle" : "", "family" : "Stewart", "given" : "Moira", "non-dropping-particle" : "", "parse-names" : false, "suffix" : "" } ], "container-title" : "Patient Education and Counseling", "id" : "ITEM-2", "issue" : "3", "issued" : { "date-parts" : [ [ "1998" ] ] }, "page" : "161-176", "title" : "Patient-physician communication assessment instruments:1986 to 1996 in review", "type" : "article-journal", "volume" : "35" }, "uris" : [ "http://www.mendeley.com/documents/?uuid=4b055d29-7449-41c7-a865-8aae6e75dbe0" ] }, { "id" : "ITEM-3", "itemData" : { "ISBN" : "0893-8652", "ISSN" : "0893-8652", "PMID" : "11841136", "abstract" : "BACKGROUND: The physician-patient interview is the key component of all health care, particularly of primary medical care. This review sought to evaluate existing primary-care-based research studies to determine which verbal and nonverbal behaviors on the part of the physician during the medical encounter have been linked in empirical studies with favorable patient outcomes. METHODS: We reviewed the literature from 1975 to 2000 for studies of office interactions between primary care physicians and patients that evaluated these interactions empirically using neutral observers who coded observed encounters, videotapes, or audiotapes. Each study was reviewed for the quality of the methods and to find statistically significant relations between specific physician behaviors and patient outcomes. In examining nonverbal behaviors, because of a paucity of clinical outcome studies, outcomes were expanded to include associations with patient characteristics or subjective ratings of the interaction by observers. RESULTS: We found 14 studies of verbal communication and 8 studies of nonverbal communication that met inclusion criteria. Verbal behaviors positively associated with health outcomes included empathy, reassurance and support, various patient-centered questioning techniques, encounter length, history taking, explanations, both dominant and passive physician styles, positive reinforcement, humor, psychosocial talk, time in health education and information sharing, friendliness, courtesy, orienting the patient during examination, and summarization and clarification. Nonverbal behaviors positively associated with outcomes included head nodding, forward lean, direct body orientation, uncrossed legs and arms, arm symmetry, and less mutual gaze. CONCLUSION: Existing research is limited because of lack of consensus of what to measure, conflicting findings, and relative lack of empirical studies (especially of nonverbal behavior). Nonetheless, medical educators should focus on teaching and reinforcing behaviors known to be facilitative, and to continue to understand further how physician behavior can enhance favorable patient outcomes, such as understanding and adherence to medical regimens and overall satisfaction.", "author" : [ { "dropping-particle" : "", "family" : "Beck", "given" : "Rainer S", "non-dropping-particle" : "", "parse-names" : false, "suffix" : "" }, { "dropping-particle" : "", "family" : "Daughtridge", "given" : "Rebecca", "non-dropping-particle" : "", "parse-names" : false, "suffix" : "" }, { "dropping-particle" : "", "family" : "Sloane", "given" : "Philip D", "non-dropping-particle" : "", "parse-names" : false, "suffix" : "" } ], "container-title" : "The Journal of the American Board of Family Practice / American Board of Family Practice", "id" : "ITEM-3", "issue" : "1", "issued" : { "date-parts" : [ [ "2000" ] ] }, "page" : "25-38", "title" : "Physician-patient communication in the primary care office: a systematic review.", "type" : "article-journal", "volume" : "15" }, "uris" : [ "http://www.mendeley.com/documents/?uuid=4f428e78-1aa3-4810-aad2-6aa695f77c16" ] }, { "id" : "ITEM-4", "itemData" : { "DOI" : "10.1016/j.pec.2007.06.011", "ISBN" : "0738-3991", "ISSN" : "07383991", "PMID" : "17689042", "abstract" : "Objective: Active listening is a prerequisite for a successful healthcare encounter, bearing potential therapeutic value especially in clinical situations that require no specific medical intervention. Although generally acknowledged as such, active listening has not been studied in depth. This paper describes the development of the Active Listening Observation Scale (ALOS-global), an observation instrument measuring active listening and its validation in a sample of general practice consultations for minor ailments. Methods: Five hundred and twenty-four videotaped general practice consultations involving minor ailments were observed with the ALOS-global. Hypotheses were tested to determine validity, incorporating patients' perception of GPs' affective performance, GPs' verbal attention, patients' self-reported anxiety level and gender differences. Results: The final 7-item ALOS-global had acceptable inter- and intra-observer agreement. Factor analysis revealed one homogeneous dimension. The scalescore was positively related to verbal attention measured by RIAS, to patients' perception of GPs' performance and to their pre-visit anxiety level. Female GPs received higher active listening scores. Conclusion: The results of this study are promising concerning the psychometric properties of the ALOS-global. More research is needed to confirm these preliminary findings. Practice implications: After establishing how active listening differentiates between health professionals, the ALOS-global may become a valuable tool in feedback and training aimed at increasing listening skills. \u00a9 2007 Elsevier Ireland Ltd. All rights reserved.", "author" : [ { "dropping-particle" : "", "family" : "Fassaert", "given" : "Thijs", "non-dropping-particle" : "", "parse-names" : false, "suffix" : "" }, { "dropping-particle" : "", "family" : "Dulmen", "given" : "Sandra", "non-dropping-particle" : "van", "parse-names" : false, "suffix" : "" }, { "dropping-particle" : "", "family" : "Schellevis", "given" : "Fran\u00e7ois", "non-dropping-particle" : "", "parse-names" : false, "suffix" : "" }, { "dropping-particle" : "", "family" : "Bensing", "given" : "Jozien", "non-dropping-particle" : "", "parse-names" : false, "suffix" : "" } ], "container-title" : "Patient Education and Counseling", "id" : "ITEM-4", "issue" : "3", "issued" : { "date-parts" : [ [ "2007" ] ] }, "page" : "258-264", "title" : "Active listening in medical consultations: Development of the Active Listening Observation Scale (ALOS-global)", "type" : "article-journal", "volume" : "68" }, "uris" : [ "http://www.mendeley.com/documents/?uuid=61b75c76-3e9f-4047-8028-aabb238a33d8" ] } ], "mendeley" : { "formattedCitation" : "(Abdulhadi et al., 2006; Beck et al., 2000; Boon &amp; Stewart, 1998; Fassaert et al., 2007)", "manualFormatting" : "Abdulhadi et al., 2006; Beck et al., 2000; Boon &amp; Stewart, 1998; Fassaert et al., 2007", "plainTextFormattedCitation" : "(Abdulhadi et al., 2006; Beck et al., 2000; Boon &amp; Stewart, 1998; Fassaert et al., 2007)", "previouslyFormattedCitation" : "(Abdulhadi et al., 2006; Beck et al., 2000; Boon &amp; Stewart, 1998; Fassaert et al., 2007)"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Abdulhadi et al., 2006; Beck et al., 2000; Boon &amp; Stewart, 1998; Fassaert et al., 2007</w:t>
            </w:r>
            <w:r w:rsidRPr="00A70A90">
              <w:rPr>
                <w:rFonts w:ascii="Times New Roman" w:hAnsi="Times New Roman" w:cs="Times New Roman"/>
              </w:rPr>
              <w:fldChar w:fldCharType="end"/>
            </w:r>
          </w:p>
        </w:tc>
      </w:tr>
      <w:tr w:rsidR="003128BD" w:rsidRPr="004D340D" w14:paraId="44863E8B" w14:textId="7EE777F6" w:rsidTr="003128BD">
        <w:tc>
          <w:tcPr>
            <w:tcW w:w="1036" w:type="dxa"/>
          </w:tcPr>
          <w:p w14:paraId="385E2C57"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61</w:t>
            </w:r>
          </w:p>
        </w:tc>
        <w:tc>
          <w:tcPr>
            <w:tcW w:w="5433" w:type="dxa"/>
          </w:tcPr>
          <w:p w14:paraId="0FD7CF90"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Compassionately touching the patient by doctor</w:t>
            </w:r>
          </w:p>
        </w:tc>
        <w:tc>
          <w:tcPr>
            <w:tcW w:w="1522" w:type="dxa"/>
          </w:tcPr>
          <w:p w14:paraId="65428580"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16</w:t>
            </w:r>
          </w:p>
        </w:tc>
        <w:tc>
          <w:tcPr>
            <w:tcW w:w="2157" w:type="dxa"/>
          </w:tcPr>
          <w:p w14:paraId="44087690"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13B93DD8"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10F20BFC" w14:textId="12C639FA"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"ISBN" : "0893-8652", "ISSN" : "0893-8652", "PMID" : "11841136", "abstract" : "BACKGROUND: The physician-patient interview is the key component of all health care, particularly of primary medical care. This review sought to evaluate existing primary-care-based research studies to determine which verbal and nonverbal behaviors on the part of the physician during the medical encounter have been linked in empirical studies with favorable patient outcomes. METHODS: We reviewed the literature from 1975 to 2000 for studies of office interactions between primary care physicians and patients that evaluated these interactions empirically using neutral observers who coded observed encounters, videotapes, or audiotapes. Each study was reviewed for the quality of the methods and to find statistically significant relations between specific physician behaviors and patient outcomes. In examining nonverbal behaviors, because of a paucity of clinical outcome studies, outcomes were expanded to include associations with patient characteristics or subjective ratings of the interaction by observers. RESULTS: We found 14 studies of verbal communication and 8 studies of nonverbal communication that met inclusion criteria. Verbal behaviors positively associated with health outcomes included empathy, reassurance and support, various patient-centered questioning techniques, encounter length, history taking, explanations, both dominant and passive physician styles, positive reinforcement, humor, psychosocial talk, time in health education and information sharing, friendliness, courtesy, orienting the patient during examination, and summarization and clarification. Nonverbal behaviors positively associated with outcomes included head nodding, forward lean, direct body orientation, uncrossed legs and arms, arm symmetry, and less mutual gaze. CONCLUSION: Existing research is limited because of lack of consensus of what to measure, conflicting findings, and relative lack of empirical studies (especially of nonverbal behavior). Nonetheless, medical educators should focus on teaching and reinforcing behaviors known to be facilitative, and to continue to understand further how physician behavior can enhance favorable patient outcomes, such as understanding and adherence to medical regimens and overall satisfaction.", "author" : [ { "dropping-particle" : "", "family" : "Beck", "given" : "Rainer S", "non-dropping-particle" : "", "parse-names" : false, "suffix" : "" }, { "dropping-particle" : "", "family" : "Daughtridge", "given" : "Rebecca", "non-dropping-particle" : "", "parse-names" : false, "suffix" : "" }, { "dropping-particle" : "", "family" : "Sloane", "given" : "Philip D", "non-dropping-particle" : "", "parse-names" : false, "suffix" : "" } ], "container-title" : "The Journal of the American Board of Family Practice / American Board of Family Practice", "id" : "ITEM-1", "issue" : "1", "issued" : { "date-parts" : [ [ "2000" ] ] }, "page" : "25-38", "title" : "Physician-patient communication in the primary care office: a systematic review.", "type" : "article-journal", "volume" : "15" }, "uris" : [ "http://www.mendeley.com/documents/?uuid=4f428e78-1aa3-4810-aad2-6aa695f77c16" ] }, { "id" : "ITEM-2", "itemData" : { "ISSN" : "00034819", "PMID" : "6638726", "abstract" : "Physician behavior during inpatient rounds was observed and quantified for 394 interactions between patients with cancer and physicians. Most patients had solid tumors (90%) and a limited prognosis despite treatment (61%). The physicians spent 1.45 +/- 0.58 h on morning rounds seeing an average of 9.3 +/- 3.39 patients. For each patient an average of 3.61 +/- 2.83 min was spent in the room. The rest of the time was involved in reviewing the results of diagnostic tests, discussing treatment plans, and updating patient's charts. Time spent in the room was significantly related to the patient's sex and diagnosis. Physicians spent more time with patients having the poorest prognosis (p = 0.009). Specific behaviors were analyzed using a Physician Behavior Check List that allows accurate recording of behavior during a brief patients-physician encounter. Factor analysis of responses to the check list resulted in four factors that explained 58.7% of the variance. The physician behavior factor scores failed to correlate with factor scores from the responses of the same physicians to the Cancer Attitude Survey. In addition, the physicians were unable to accurately estimate the time they actually spent with patients or the frequency of specific behaviors that occurred during these interactions.", "author" : [ { "dropping-particle" : "", "family" : "Blanchard", "given" : "C. G.", "non-dropping-particle" : "", "parse-names" : false, "suffix" : "" }, { "dropping-particle" : "", "family" : "Ruckdeschel", "given" : "J. C.", "non-dropping-particle" : "", "parse-names" : false, "suffix" : "" }, { "dropping-particle" : "", "family" : "Blanchard", "given" : "E B", "non-dropping-particle" : "", "parse-names" : false, "suffix" : "" }, { "dropping-particle" : "", "family" : "Arena", "given" : "J. G.", "non-dropping-particle" : "", "parse-names" : false, "suffix" : "" }, { "dropping-particle" : "", "family" : "Saunders", "given" : "N. L.", "non-dropping-particle" : "", "parse-names" : false, "suffix" : "" }, { "dropping-particle" : "", "family" : "Malloy", "given" : "E. D.", "non-dropping-particle" : "", "parse-names" : false, "suffix" : "" } ], "container-title" : "Annals of Internal Medicine", "id" : "ITEM-2", "issue" : "5", "issued" : { "date-parts" : [ [ "1983" ] ] }, "page" : "694-699", "title" : "Interactions between oncologists and patients during rounds", "type" : "article-journal", "volume" : "99" }, "uris" : [ "http://www.mendeley.com/documents/?uuid=dddcb62e-f3da-4c1b-92b6-5b6e1fd4b417" ] } ], "mendeley" : { "formattedCitation" : "(Beck et al., 2000; Blanchard et al., 1983)", "manualFormatting" : "Beck et al., 2000; Blanchard et al., 1983", "plainTextFormattedCitation" : "(Beck et al., 2000; Blanchard et al., 1983)", "previouslyFormattedCitation" : "(Beck et al., 2000; Blanchard et al., 1983)"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Beck et al., 2000; Blanchard et al., 1983</w:t>
            </w:r>
            <w:r w:rsidRPr="00A70A90">
              <w:rPr>
                <w:rFonts w:ascii="Times New Roman" w:hAnsi="Times New Roman" w:cs="Times New Roman"/>
              </w:rPr>
              <w:fldChar w:fldCharType="end"/>
            </w:r>
          </w:p>
        </w:tc>
      </w:tr>
      <w:tr w:rsidR="003128BD" w:rsidRPr="004D340D" w14:paraId="7BBDC17E" w14:textId="30C28084" w:rsidTr="003128BD">
        <w:tc>
          <w:tcPr>
            <w:tcW w:w="1036" w:type="dxa"/>
          </w:tcPr>
          <w:p w14:paraId="6D1A2160"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62</w:t>
            </w:r>
          </w:p>
        </w:tc>
        <w:tc>
          <w:tcPr>
            <w:tcW w:w="5433" w:type="dxa"/>
          </w:tcPr>
          <w:p w14:paraId="1E7F59A3"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Not being involved in illegal activities</w:t>
            </w:r>
          </w:p>
        </w:tc>
        <w:tc>
          <w:tcPr>
            <w:tcW w:w="1522" w:type="dxa"/>
          </w:tcPr>
          <w:p w14:paraId="169E7C23"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30</w:t>
            </w:r>
          </w:p>
        </w:tc>
        <w:tc>
          <w:tcPr>
            <w:tcW w:w="2157" w:type="dxa"/>
          </w:tcPr>
          <w:p w14:paraId="590D0DD9"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64D93471"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30C903BF" w14:textId="189CBDCE"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lang w:eastAsia="zh-CN"/>
              </w:rPr>
              <w:fldChar w:fldCharType="begin" w:fldLock="1"/>
            </w:r>
            <w:r w:rsidR="002B2DFD">
              <w:rPr>
                <w:rFonts w:ascii="Times New Roman" w:hAnsi="Times New Roman" w:cs="Times New Roman"/>
                <w:lang w:eastAsia="zh-CN"/>
              </w:rPr>
              <w:instrText>ADDIN CSL_CITATION { "citationItems" : [ { "id" : "ITEM-1", "itemData" : { "DOI" : "10.1016/S0277-9536(00)00235-5", "ISBN" : "0277-9536 (Print)\\n0277-9536 (Linking)", "ISSN" : "02779536", "PMID" : "11286361", "abstract" : "Patients'perceptions about health services seem to have been largely ignored by health care providers in developing countries. That such perceptions, especially about service quality, might shape confidence and subsequent behaviors with regard to choice and usage of the available health care facilities is reflected in the fact that many patients avoid the system or avail it only as a measure of last resort. Those who can afford it seek help in other countries, while preventive care or early detection simply falls by the wayside. Patients'voice must begin to play a greater role in the design of health care service delivery processes in the developing countries. This study is, therefore, patient-centered and identifies the service quality factors that are important to patients; it also examines their links to patient satisfaction in the context of Bangladesh. A field survey was conducted. Evaluations were obtained from patients on several dimensions of perceived service quality including responsiveness, assurance, communication, discipline, and baksheesh. Using factor analysis and multiple regression, significant associations were found between the five dimensions and patient satisfaction. Implications and future research issues are discussed.", "author" : [ { "dropping-particle" : "", "family" : "Andaleeb", "given" : "Syed Saad", "non-dropping-particle" : "", "parse-names" : false, "suffix" : "" } ], "container-title" : "Social Science &amp; Medicine", "id" : "ITEM-1", "issue" : "9", "issued" : { "date-parts" : [ [ "2001", "5" ] ] }, "page" : "1359-1370", "title" : "Service quality perceptions and patient satisfaction: a study of hospitals in a developing country.", "type" : "article-journal", "volume" : "52" }, "uris" : [ "http://www.mendeley.com/documents/?uuid=f93d6350-41eb-47d0-afbe-edf07fa03fb6" ] } ], "mendeley" : { "formattedCitation" : "(Andaleeb, 2001)", "manualFormatting" : "Andaleeb, 2001", "plainTextFormattedCitation" : "(Andaleeb, 2001)", "previouslyFormattedCitation" : "(Andaleeb, 2001)" }, "properties" : { "noteIndex" : 0 }, "schema" : "https://github.com/citation-style-language/schema/raw/master/csl-citation.json" }</w:instrText>
            </w:r>
            <w:r w:rsidRPr="00A70A90">
              <w:rPr>
                <w:rFonts w:ascii="Times New Roman" w:hAnsi="Times New Roman" w:cs="Times New Roman"/>
                <w:lang w:eastAsia="zh-CN"/>
              </w:rPr>
              <w:fldChar w:fldCharType="separate"/>
            </w:r>
            <w:r w:rsidRPr="00A70A90">
              <w:rPr>
                <w:rFonts w:ascii="Times New Roman" w:hAnsi="Times New Roman" w:cs="Times New Roman"/>
                <w:noProof/>
                <w:lang w:eastAsia="zh-CN"/>
              </w:rPr>
              <w:t>Andaleeb, 2001</w:t>
            </w:r>
            <w:r w:rsidRPr="00A70A90">
              <w:rPr>
                <w:rFonts w:ascii="Times New Roman" w:hAnsi="Times New Roman" w:cs="Times New Roman"/>
                <w:lang w:eastAsia="zh-CN"/>
              </w:rPr>
              <w:fldChar w:fldCharType="end"/>
            </w:r>
          </w:p>
        </w:tc>
      </w:tr>
      <w:tr w:rsidR="003128BD" w:rsidRPr="004D340D" w14:paraId="1E316C82" w14:textId="2AA18E47" w:rsidTr="003128BD">
        <w:tc>
          <w:tcPr>
            <w:tcW w:w="1036" w:type="dxa"/>
          </w:tcPr>
          <w:p w14:paraId="39B4F4F0"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63</w:t>
            </w:r>
          </w:p>
        </w:tc>
        <w:tc>
          <w:tcPr>
            <w:tcW w:w="5433" w:type="dxa"/>
          </w:tcPr>
          <w:p w14:paraId="6E255FE5" w14:textId="77777777" w:rsidR="003128BD" w:rsidRPr="00A70A90" w:rsidRDefault="003128BD" w:rsidP="003128BD">
            <w:pPr>
              <w:spacing w:after="0" w:line="240" w:lineRule="auto"/>
              <w:rPr>
                <w:rFonts w:ascii="Times New Roman" w:hAnsi="Times New Roman" w:cs="Times New Roman"/>
                <w:b/>
              </w:rPr>
            </w:pPr>
            <w:r w:rsidRPr="00A70A90">
              <w:rPr>
                <w:rFonts w:ascii="Times New Roman" w:hAnsi="Times New Roman" w:cs="Times New Roman"/>
                <w:b/>
              </w:rPr>
              <w:t>Sense of humor</w:t>
            </w:r>
          </w:p>
        </w:tc>
        <w:tc>
          <w:tcPr>
            <w:tcW w:w="1522" w:type="dxa"/>
          </w:tcPr>
          <w:p w14:paraId="2ADCC3B0" w14:textId="77777777" w:rsidR="003128BD" w:rsidRPr="00A70A90" w:rsidRDefault="003128BD" w:rsidP="003128BD">
            <w:pPr>
              <w:spacing w:after="0" w:line="240" w:lineRule="auto"/>
              <w:jc w:val="center"/>
              <w:rPr>
                <w:rFonts w:ascii="Times New Roman" w:hAnsi="Times New Roman" w:cs="Times New Roman"/>
              </w:rPr>
            </w:pPr>
            <w:r>
              <w:rPr>
                <w:rFonts w:ascii="Times New Roman" w:hAnsi="Times New Roman" w:cs="Times New Roman"/>
              </w:rPr>
              <w:t>6</w:t>
            </w:r>
          </w:p>
        </w:tc>
        <w:tc>
          <w:tcPr>
            <w:tcW w:w="2157" w:type="dxa"/>
          </w:tcPr>
          <w:p w14:paraId="724BF533"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2121" w:type="dxa"/>
          </w:tcPr>
          <w:p w14:paraId="670AA38E"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12DC161C" w14:textId="12B0E48F"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"DOI" : "10.1176/appi.ajp.159.9.1563", "ISBN" : "0002-953X (Print)\\n0002-953X (Linking)", "ISSN" : "0002953X", "PMID" : "12202278", "abstract" : "OBJECTIVE: There is a dearth of empirical research on physician empathy despite its mediating role in patient-physician relationships and clinical outcomes. This study was designed to investigate the components of physician empathy, its measurement properties, and group differences in empathy scores. METHOD: A revised version of the Jefferson Scale of Physician Empathy (with 20 Likert-type items) was mailed to 1,007 physicians affiliated with the Jefferson Health System in the greater Philadelphia region; 704 (70%) responded. Construct validity, reliability of the empathy scale, and the differences on mean empathy scores by physicians' gender and specialty were examined. RESULTS: Three meaningful factors emerged (perspective taking, compassionate care, and standing in the patient's shoes) to provide support for the construct validity of the empathy scale that was also found to be internally consistent with relatively stable scores over time. Women scored higher than men to a degree that was nearly significant. With control for gender, psychiatrists scored a mean empathy rating that was significantly higher than that of physicians specializing in anesthesiology, orthopedic surgery, neurosurgery, radiology, cardiovascular surgery, obstetrics and gynecology, and general surgery. No significant difference was observed on empathy scores among physicians specializing in psychiatry, internal medicine, pediatrics, emergency medicine, and family medicine. CONCLUSIONS: Empathy is a multidimensional concept that varies among physicians and can be measured with a psychometrically sound tool. Implications for specialty selection and career counseling are discussed.", "author" : [ { "dropping-particle" : "", "family" : "Hojat", "given" : "Mohammadreza", "non-dropping-particle" : "", "parse-names" : false, "suffix" : "" }, { "dropping-particle" : "", "family" : "Gonnella", "given" : "Joseph S.", "non-dropping-particle" : "", "parse-names" : false, "suffix" : "" }, { "dropping-particle" : "", "family" : "Nasca", "given" : "Thomas J.", "non-dropping-particle" : "", "parse-names" : false, "suffix" : "" }, { "dropping-particle" : "", "family" : "Mangione", "given" : "Salvatore", "non-dropping-particle" : "", "parse-names" : false, "suffix" : "" }, { "dropping-particle" : "", "family" : "Vergare", "given" : "Michael", "non-dropping-particle" : "", "parse-names" : false, "suffix" : "" }, { "dropping-particle" : "", "family" : "Magee", "given" : "Michael", "non-dropping-particle" : "", "parse-names" : false, "suffix" : "" } ], "container-title" : "American Journal of Psychiatry", "id" : "ITEM-1", "issue" : "9", "issued" : { "date-parts" : [ [ "2002" ] ] }, "page" : "1563-1569", "title" : "Physician empathy: Definition, components, measurement, and relationship to gender and specialty", "type" : "article-journal", "volume" : "159" }, "uris" : [ "http://www.mendeley.com/documents/?uuid=ac4393eb-a1d7-4fd1-bf7b-6fbb764b30b9" ] }, { "id" : "ITEM-2", "itemData" : { "DOI" : "10.1016/S0738-3991(96)00962-7", "ISBN" : "0738-3991", "ISSN" : "07383991", "PMID" : "9128617", "abstract" : "The purpose of this preliminary study is to develop an operational definition of the closure phase of the medical visit. A listening group developed a definition of closure by consensus based on audiotaped data from 22 office visits to physicians. The group noted new problems in closure not previously raised. Closure was defined as the final phase of the medical visit in which the doctor and patient shift perspective to the future, finalize plans, and say goodbye. Two distinct organizational frameworks of closure are outlined. Thirty-six percent of closures were interrupted in some way. New problems occurred in 23% of visits, even those with open-ended beginnings and early physician requests for all patient concerns. Doctors' communication involved expression of emotion, patient education, clarification, summary, and parting comments. Patient communication included expression of emotion, information sharing, and parting comments. Doctors' communication skills for closure are proposed. Closure is a distinctive phase of the visit with an organizational framework and specific tasks. The frequency of new problems in closure suggests that physicians may have the potential to improve their effectiveness.", "author" : [ { "dropping-particle" : "", "family" : "White", "given" : "Jocelyn C", "non-dropping-particle" : "", "parse-names" : false, "suffix" : "" }, { "dropping-particle" : "", "family" : "Rosson", "given" : "Connie", "non-dropping-particle" : "", "parse-names" : false, "suffix" : "" }, { "dropping-particle" : "", "family" : "Christensen", "given" : "John", "non-dropping-particle" : "", "parse-names" : false, "suffix" : "" }, { "dropping-particle" : "", "family" : "Hart", "given" : "Rosemary", "non-dropping-particle" : "", "parse-names" : false, "suffix" : "" }, { "dropping-particle" : "", "family" : "Levinson", "given" : "Wendy", "non-dropping-particle" : "", "parse-names" : false, "suffix" : "" } ], "container-title" : "Patient Education and Counseling", "id" : "ITEM-2", "issue" : "2", "issued" : { "date-parts" : [ [ "1997" ] ] }, "page" : "155-165", "title" : "Wrapping things up: A qualitative analysis of the closing moments of the medical visit", "type" : "article-journal", "volume" : "30" }, "uris" : [ "http://www.mendeley.com/documents/?uuid=ccba0899-3ed5-435f-9843-41845c9b81d9" ] }, { "id" : "ITEM-3", "itemData" : { "ISBN" : "0893-8652", "ISSN" : "0893-8652", "PMID" : "11841136", "abstract" : "BACKGROUND: The physician-patient interview is the key component of all health care, particularly of primary medical care. This review sought to evaluate existing primary-care-based research studies to determine which verbal and nonverbal behaviors on the part of the physician during the medical encounter have been linked in empirical studies with favorable patient outcomes. METHODS: We reviewed the literature from 1975 to 2000 for studies of office interactions between primary care physicians and patients that evaluated these interactions empirically using neutral observers who coded observed encounters, videotapes, or audiotapes. Each study was reviewed for the quality of the methods and to find statistically significant relations between specific physician behaviors and patient outcomes. In examining nonverbal behaviors, because of a paucity of clinical outcome studies, outcomes were expanded to include associations with patient characteristics or subjective ratings of the interaction by observers. RESULTS: We found 14 studies of verbal communication and 8 studies of nonverbal communication that met inclusion criteria. Verbal behaviors positively associated with health outcomes included empathy, reassurance and support, various patient-centered questioning techniques, encounter length, history taking, explanations, both dominant and passive physician styles, positive reinforcement, humor, psychosocial talk, time in health education and information sharing, friendliness, courtesy, orienting the patient during examination, and summarization and clarification. Nonverbal behaviors positively associated with outcomes included head nodding, forward lean, direct body orientation, uncrossed legs and arms, arm symmetry, and less mutual gaze. CONCLUSION: Existing research is limited because of lack of consensus of what to measure, conflicting findings, and relative lack of empirical studies (especially of nonverbal behavior). Nonetheless, medical educators should focus on teaching and reinforcing behaviors known to be facilitative, and to continue to understand further how physician behavior can enhance favorable patient outcomes, such as understanding and adherence to medical regimens and overall satisfaction.", "author" : [ { "dropping-particle" : "", "family" : "Beck", "given" : "Rainer S", "non-dropping-particle" : "", "parse-names" : false, "suffix" : "" }, { "dropping-particle" : "", "family" : "Daughtridge", "given" : "Rebecca", "non-dropping-particle" : "", "parse-names" : false, "suffix" : "" }, { "dropping-particle" : "", "family" : "Sloane", "given" : "Philip D", "non-dropping-particle" : "", "parse-names" : false, "suffix" : "" } ], "container-title" : "The Journal of the American Board of Family Practice / American Board of Family Practice", "id" : "ITEM-3", "issue" : "1", "issued" : { "date-parts" : [ [ "2000" ] ] }, "page" : "25-38", "title" : "Physician-patient communication in the primary care office: a systematic review.", "type" : "article-journal", "volume" : "15" }, "uris" : [ "http://www.mendeley.com/documents/?uuid=4f428e78-1aa3-4810-aad2-6aa695f77c16" ] } ], "mendeley" : { "formattedCitation" : "(Beck et al., 2000; Hojat et al., 2002; J. C. White et al., 1997)", "manualFormatting" : "Beck et al., 2000; Hojat et al., 2002; White et al., 1997", "plainTextFormattedCitation" : "(Beck et al., 2000; Hojat et al., 2002; J. C. White et al., 1997)", "previouslyFormattedCitation" : "(Beck et al., 2000; Hojat et al., 2002; J. C. White et al., 1997)"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Beck et al., 2000; Hojat et al., 2002; White et al., 1997</w:t>
            </w:r>
            <w:r w:rsidRPr="00A70A90">
              <w:rPr>
                <w:rFonts w:ascii="Times New Roman" w:hAnsi="Times New Roman" w:cs="Times New Roman"/>
              </w:rPr>
              <w:fldChar w:fldCharType="end"/>
            </w:r>
          </w:p>
        </w:tc>
      </w:tr>
      <w:tr w:rsidR="003128BD" w:rsidRPr="004D340D" w14:paraId="5CDA4427" w14:textId="2048DB42" w:rsidTr="003128BD">
        <w:tc>
          <w:tcPr>
            <w:tcW w:w="1036" w:type="dxa"/>
          </w:tcPr>
          <w:p w14:paraId="691C7C9C"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64</w:t>
            </w:r>
          </w:p>
        </w:tc>
        <w:tc>
          <w:tcPr>
            <w:tcW w:w="5433" w:type="dxa"/>
          </w:tcPr>
          <w:p w14:paraId="04E54E28" w14:textId="77777777" w:rsidR="003128BD" w:rsidRPr="00A70A90" w:rsidRDefault="003128BD" w:rsidP="003128BD">
            <w:pPr>
              <w:spacing w:after="0" w:line="240" w:lineRule="auto"/>
              <w:rPr>
                <w:rFonts w:ascii="Times New Roman" w:hAnsi="Times New Roman" w:cs="Times New Roman"/>
              </w:rPr>
            </w:pPr>
            <w:r w:rsidRPr="00A70A90">
              <w:rPr>
                <w:rFonts w:ascii="Times New Roman" w:hAnsi="Times New Roman" w:cs="Times New Roman"/>
              </w:rPr>
              <w:t>Relaxedness and confidence</w:t>
            </w:r>
          </w:p>
        </w:tc>
        <w:tc>
          <w:tcPr>
            <w:tcW w:w="1522" w:type="dxa"/>
          </w:tcPr>
          <w:p w14:paraId="6BF41411" w14:textId="77777777" w:rsidR="003128BD" w:rsidRPr="00A70A90" w:rsidRDefault="003128BD" w:rsidP="003128BD">
            <w:pPr>
              <w:spacing w:after="0" w:line="240" w:lineRule="auto"/>
              <w:jc w:val="center"/>
              <w:rPr>
                <w:rFonts w:ascii="Times New Roman" w:hAnsi="Times New Roman" w:cs="Times New Roman"/>
              </w:rPr>
            </w:pPr>
          </w:p>
        </w:tc>
        <w:tc>
          <w:tcPr>
            <w:tcW w:w="2157" w:type="dxa"/>
          </w:tcPr>
          <w:p w14:paraId="0DB2D195" w14:textId="77777777" w:rsidR="003128BD" w:rsidRPr="00A70A90" w:rsidRDefault="003128BD" w:rsidP="003128BD">
            <w:pPr>
              <w:spacing w:after="0" w:line="240" w:lineRule="auto"/>
              <w:jc w:val="center"/>
              <w:rPr>
                <w:rFonts w:ascii="Times New Roman" w:hAnsi="Times New Roman" w:cs="Times New Roman"/>
              </w:rPr>
            </w:pPr>
          </w:p>
        </w:tc>
        <w:tc>
          <w:tcPr>
            <w:tcW w:w="2121" w:type="dxa"/>
          </w:tcPr>
          <w:p w14:paraId="201EE8EB" w14:textId="77777777"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t>√</w:t>
            </w:r>
          </w:p>
        </w:tc>
        <w:tc>
          <w:tcPr>
            <w:tcW w:w="1907" w:type="dxa"/>
          </w:tcPr>
          <w:p w14:paraId="26103777" w14:textId="1C4841F6" w:rsidR="003128BD" w:rsidRPr="00A70A90" w:rsidRDefault="003128BD" w:rsidP="003128BD">
            <w:pPr>
              <w:spacing w:after="0" w:line="240" w:lineRule="auto"/>
              <w:jc w:val="center"/>
              <w:rPr>
                <w:rFonts w:ascii="Times New Roman" w:hAnsi="Times New Roman" w:cs="Times New Roman"/>
              </w:rPr>
            </w:pPr>
            <w:r w:rsidRPr="00A70A90">
              <w:rPr>
                <w:rFonts w:ascii="Times New Roman" w:hAnsi="Times New Roman" w:cs="Times New Roman"/>
              </w:rPr>
              <w:fldChar w:fldCharType="begin" w:fldLock="1"/>
            </w:r>
            <w:r w:rsidR="002B2DFD">
              <w:rPr>
                <w:rFonts w:ascii="Times New Roman" w:hAnsi="Times New Roman" w:cs="Times New Roman"/>
              </w:rPr>
              <w:instrText>ADDIN CSL_CITATION { "citationItems" : [ { "id" : "ITEM-1", "itemData" : { "DOI" : "10.1016/j.pec.2007.06.011", "ISBN" : "0738-3991", "ISSN" : "07383991", "PMID" : "17689042", "abstract" : "Objective: Active listening is a prerequisite for a successful healthcare encounter, bearing potential therapeutic value especially in clinical situations that require no specific medical intervention. Although generally acknowledged as such, active listening has not been studied in depth. This paper describes the development of the Active Listening Observation Scale (ALOS-global), an observation instrument measuring active listening and its validation in a sample of general practice consultations for minor ailments. Methods: Five hundred and twenty-four videotaped general practice consultations involving minor ailments were observed with the ALOS-global. Hypotheses were tested to determine validity, incorporating patients' perception of GPs' affective performance, GPs' verbal attention, patients' self-reported anxiety level and gender differences. Results: The final 7-item ALOS-global had acceptable inter- and intra-observer agreement. Factor analysis revealed one homogeneous dimension. The scalescore was positively related to verbal attention measured by RIAS, to patients' perception of GPs' performance and to their pre-visit anxiety level. Female GPs received higher active listening scores. Conclusion: The results of this study are promising concerning the psychometric properties of the ALOS-global. More research is needed to confirm these preliminary findings. Practice implications: After establishing how active listening differentiates between health professionals, the ALOS-global may become a valuable tool in feedback and training aimed at increasing listening skills. \u00a9 2007 Elsevier Ireland Ltd. All rights reserved.", "author" : [ { "dropping-particle" : "", "family" : "Fassaert", "given" : "Thijs", "non-dropping-particle" : "", "parse-names" : false, "suffix" : "" }, { "dropping-particle" : "", "family" : "Dulmen", "given" : "Sandra", "non-dropping-particle" : "van", "parse-names" : false, "suffix" : "" }, { "dropping-particle" : "", "family" : "Schellevis", "given" : "Fran\u00e7ois", "non-dropping-particle" : "", "parse-names" : false, "suffix" : "" }, { "dropping-particle" : "", "family" : "Bensing", "given" : "Jozien", "non-dropping-particle" : "", "parse-names" : false, "suffix" : "" } ], "container-title" : "Patient Education and Counseling", "id" : "ITEM-1", "issue" : "3", "issued" : { "date-parts" : [ [ "2007" ] ] }, "page" : "258-264", "title" : "Active listening in medical consultations: Development of the Active Listening Observation Scale (ALOS-global)", "type" : "article-journal", "volume" : "68" }, "uris" : [ "http://www.mendeley.com/documents/?uuid=61b75c76-3e9f-4047-8028-aabb238a33d8" ] }, { "id" : "ITEM-2", "itemData" : { "author" : [ { "dropping-particle" : "", "family" : "Stewart", "given" : "Moira A", "non-dropping-particle" : "", "parse-names" : false, "suffix" : "" } ], "container-title" : "Social Science &amp; Medicine", "id" : "ITEM-2", "issue" : "2", "issued" : { "date-parts" : [ [ "1984" ] ] }, "page" : "167-175", "title" : "What is a successful doctor-patient interview ? A study of interactions and outcomes", "type" : "article-journal", "volume" : "19" }, "uris" : [ "http://www.mendeley.com/documents/?uuid=fd2fbdca-95fe-4ba8-80a2-a6fc1d0c3f9d" ] } ], "mendeley" : { "formattedCitation" : "(Fassaert et al., 2007; Stewart, 1984)", "manualFormatting" : "Fassaert et al., 2007; Stewart, 1984", "plainTextFormattedCitation" : "(Fassaert et al., 2007; Stewart, 1984)", "previouslyFormattedCitation" : "(Fassaert et al., 2007; Stewart, 1984)" }, "properties" : { "noteIndex" : 0 }, "schema" : "https://github.com/citation-style-language/schema/raw/master/csl-citation.json" }</w:instrText>
            </w:r>
            <w:r w:rsidRPr="00A70A90">
              <w:rPr>
                <w:rFonts w:ascii="Times New Roman" w:hAnsi="Times New Roman" w:cs="Times New Roman"/>
              </w:rPr>
              <w:fldChar w:fldCharType="separate"/>
            </w:r>
            <w:r w:rsidRPr="00A70A90">
              <w:rPr>
                <w:rFonts w:ascii="Times New Roman" w:hAnsi="Times New Roman" w:cs="Times New Roman"/>
                <w:noProof/>
              </w:rPr>
              <w:t>Fassaert et al., 2007; Stewart, 1984</w:t>
            </w:r>
            <w:r w:rsidRPr="00A70A90">
              <w:rPr>
                <w:rFonts w:ascii="Times New Roman" w:hAnsi="Times New Roman" w:cs="Times New Roman"/>
              </w:rPr>
              <w:fldChar w:fldCharType="end"/>
            </w:r>
          </w:p>
        </w:tc>
      </w:tr>
    </w:tbl>
    <w:p w14:paraId="3C7582A1" w14:textId="77777777" w:rsidR="00063BE1" w:rsidRDefault="00063BE1" w:rsidP="00063BE1">
      <w:pPr>
        <w:spacing w:before="240" w:after="0" w:line="480" w:lineRule="auto"/>
        <w:rPr>
          <w:rFonts w:ascii="Times New Roman" w:hAnsi="Times New Roman" w:cs="Times New Roman"/>
        </w:rPr>
      </w:pPr>
      <w:r>
        <w:rPr>
          <w:rFonts w:ascii="Times New Roman" w:hAnsi="Times New Roman" w:cs="Times New Roman"/>
        </w:rPr>
        <w:t xml:space="preserve">Italicized items (n = 19) were dropped </w:t>
      </w:r>
      <w:r w:rsidR="00CB527A">
        <w:rPr>
          <w:rFonts w:ascii="Times New Roman" w:hAnsi="Times New Roman" w:cs="Times New Roman"/>
        </w:rPr>
        <w:t>for having</w:t>
      </w:r>
      <w:r>
        <w:rPr>
          <w:rFonts w:ascii="Times New Roman" w:hAnsi="Times New Roman" w:cs="Times New Roman"/>
        </w:rPr>
        <w:t xml:space="preserve"> more than 50% non-response or</w:t>
      </w:r>
      <w:r w:rsidR="00CB527A">
        <w:rPr>
          <w:rFonts w:ascii="Times New Roman" w:hAnsi="Times New Roman" w:cs="Times New Roman"/>
        </w:rPr>
        <w:t xml:space="preserve"> missing values</w:t>
      </w:r>
    </w:p>
    <w:p w14:paraId="03213B00" w14:textId="77777777" w:rsidR="00063BE1" w:rsidRDefault="00063BE1" w:rsidP="00063BE1">
      <w:pPr>
        <w:spacing w:before="240" w:after="240" w:line="480" w:lineRule="auto"/>
        <w:rPr>
          <w:rFonts w:ascii="Times New Roman" w:hAnsi="Times New Roman" w:cs="Times New Roman"/>
        </w:rPr>
      </w:pPr>
      <w:r>
        <w:rPr>
          <w:rFonts w:ascii="Times New Roman" w:hAnsi="Times New Roman" w:cs="Times New Roman"/>
        </w:rPr>
        <w:t>Bold font items (n = 34) are included in the final version of the item</w:t>
      </w:r>
    </w:p>
    <w:p w14:paraId="2CE120AE" w14:textId="451CA3A6" w:rsidR="00F00447" w:rsidRDefault="002B2DFD">
      <w:pPr>
        <w:rPr>
          <w:b/>
          <w:bCs/>
        </w:rPr>
      </w:pPr>
      <w:r w:rsidRPr="002B2DFD">
        <w:rPr>
          <w:b/>
          <w:bCs/>
        </w:rPr>
        <w:t>Bibliography:</w:t>
      </w:r>
    </w:p>
    <w:p w14:paraId="498F1EAD" w14:textId="210F7919"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Pr>
          <w:b/>
          <w:bCs/>
        </w:rPr>
        <w:lastRenderedPageBreak/>
        <w:fldChar w:fldCharType="begin" w:fldLock="1"/>
      </w:r>
      <w:r>
        <w:rPr>
          <w:b/>
          <w:bCs/>
        </w:rPr>
        <w:instrText xml:space="preserve">ADDIN Mendeley Bibliography CSL_BIBLIOGRAPHY </w:instrText>
      </w:r>
      <w:r>
        <w:rPr>
          <w:b/>
          <w:bCs/>
        </w:rPr>
        <w:fldChar w:fldCharType="separate"/>
      </w:r>
      <w:r w:rsidRPr="002B2DFD">
        <w:rPr>
          <w:rFonts w:ascii="Cambria" w:hAnsi="Cambria" w:cs="Vrinda"/>
          <w:noProof/>
          <w:szCs w:val="24"/>
        </w:rPr>
        <w:t xml:space="preserve">Abdulhadi, N., Al-Shafaee, M. A., Ostenson, C.-G., Vernby, A., &amp; Wahlström, R. (2006). Quality of interaction between primary health-care providers and patients with type 2 diabetes in Muscat, Oman: an observational study. </w:t>
      </w:r>
      <w:r w:rsidRPr="002B2DFD">
        <w:rPr>
          <w:rFonts w:ascii="Cambria" w:hAnsi="Cambria" w:cs="Vrinda"/>
          <w:i/>
          <w:iCs/>
          <w:noProof/>
          <w:szCs w:val="24"/>
        </w:rPr>
        <w:t>BMC Family Practice</w:t>
      </w:r>
      <w:r w:rsidRPr="002B2DFD">
        <w:rPr>
          <w:rFonts w:ascii="Cambria" w:hAnsi="Cambria" w:cs="Vrinda"/>
          <w:noProof/>
          <w:szCs w:val="24"/>
        </w:rPr>
        <w:t xml:space="preserve">, </w:t>
      </w:r>
      <w:r w:rsidRPr="002B2DFD">
        <w:rPr>
          <w:rFonts w:ascii="Cambria" w:hAnsi="Cambria" w:cs="Vrinda"/>
          <w:i/>
          <w:iCs/>
          <w:noProof/>
          <w:szCs w:val="24"/>
        </w:rPr>
        <w:t>7</w:t>
      </w:r>
      <w:r w:rsidRPr="002B2DFD">
        <w:rPr>
          <w:rFonts w:ascii="Cambria" w:hAnsi="Cambria" w:cs="Vrinda"/>
          <w:noProof/>
          <w:szCs w:val="24"/>
        </w:rPr>
        <w:t>, 72. https://doi.org/10.1186/1471-2296-7-72</w:t>
      </w:r>
    </w:p>
    <w:p w14:paraId="1298A293"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Andaleeb, S. S. (2001). Service quality perceptions and patient satisfaction: a study of hospitals in a developing country. </w:t>
      </w:r>
      <w:r w:rsidRPr="002B2DFD">
        <w:rPr>
          <w:rFonts w:ascii="Cambria" w:hAnsi="Cambria" w:cs="Vrinda"/>
          <w:i/>
          <w:iCs/>
          <w:noProof/>
          <w:szCs w:val="24"/>
        </w:rPr>
        <w:t>Social Science &amp; Medicine</w:t>
      </w:r>
      <w:r w:rsidRPr="002B2DFD">
        <w:rPr>
          <w:rFonts w:ascii="Cambria" w:hAnsi="Cambria" w:cs="Vrinda"/>
          <w:noProof/>
          <w:szCs w:val="24"/>
        </w:rPr>
        <w:t xml:space="preserve">, </w:t>
      </w:r>
      <w:r w:rsidRPr="002B2DFD">
        <w:rPr>
          <w:rFonts w:ascii="Cambria" w:hAnsi="Cambria" w:cs="Vrinda"/>
          <w:i/>
          <w:iCs/>
          <w:noProof/>
          <w:szCs w:val="24"/>
        </w:rPr>
        <w:t>52</w:t>
      </w:r>
      <w:r w:rsidRPr="002B2DFD">
        <w:rPr>
          <w:rFonts w:ascii="Cambria" w:hAnsi="Cambria" w:cs="Vrinda"/>
          <w:noProof/>
          <w:szCs w:val="24"/>
        </w:rPr>
        <w:t>(9), 1359–1370. https://doi.org/10.1016/S0277-9536(00)00235-5</w:t>
      </w:r>
    </w:p>
    <w:p w14:paraId="04A19F13"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Beck, R. S., Daughtridge, R., &amp; Sloane, P. D. (2000). Physician-patient communication in the primary care office: a systematic review. </w:t>
      </w:r>
      <w:r w:rsidRPr="002B2DFD">
        <w:rPr>
          <w:rFonts w:ascii="Cambria" w:hAnsi="Cambria" w:cs="Vrinda"/>
          <w:i/>
          <w:iCs/>
          <w:noProof/>
          <w:szCs w:val="24"/>
        </w:rPr>
        <w:t>The Journal of the American Board of Family Practice / American Board of Family Practice</w:t>
      </w:r>
      <w:r w:rsidRPr="002B2DFD">
        <w:rPr>
          <w:rFonts w:ascii="Cambria" w:hAnsi="Cambria" w:cs="Vrinda"/>
          <w:noProof/>
          <w:szCs w:val="24"/>
        </w:rPr>
        <w:t xml:space="preserve">, </w:t>
      </w:r>
      <w:r w:rsidRPr="002B2DFD">
        <w:rPr>
          <w:rFonts w:ascii="Cambria" w:hAnsi="Cambria" w:cs="Vrinda"/>
          <w:i/>
          <w:iCs/>
          <w:noProof/>
          <w:szCs w:val="24"/>
        </w:rPr>
        <w:t>15</w:t>
      </w:r>
      <w:r w:rsidRPr="002B2DFD">
        <w:rPr>
          <w:rFonts w:ascii="Cambria" w:hAnsi="Cambria" w:cs="Vrinda"/>
          <w:noProof/>
          <w:szCs w:val="24"/>
        </w:rPr>
        <w:t>(1), 25–38.</w:t>
      </w:r>
    </w:p>
    <w:p w14:paraId="47603BD2"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Berlan, D., &amp; Shiffman, J. (2012). Holding health providers in developing countries accountable to consumers: a synthesis of relevant scholarship. </w:t>
      </w:r>
      <w:r w:rsidRPr="002B2DFD">
        <w:rPr>
          <w:rFonts w:ascii="Cambria" w:hAnsi="Cambria" w:cs="Vrinda"/>
          <w:i/>
          <w:iCs/>
          <w:noProof/>
          <w:szCs w:val="24"/>
        </w:rPr>
        <w:t>Health Policy and Planning</w:t>
      </w:r>
      <w:r w:rsidRPr="002B2DFD">
        <w:rPr>
          <w:rFonts w:ascii="Cambria" w:hAnsi="Cambria" w:cs="Vrinda"/>
          <w:noProof/>
          <w:szCs w:val="24"/>
        </w:rPr>
        <w:t xml:space="preserve">, </w:t>
      </w:r>
      <w:r w:rsidRPr="002B2DFD">
        <w:rPr>
          <w:rFonts w:ascii="Cambria" w:hAnsi="Cambria" w:cs="Vrinda"/>
          <w:i/>
          <w:iCs/>
          <w:noProof/>
          <w:szCs w:val="24"/>
        </w:rPr>
        <w:t>27</w:t>
      </w:r>
      <w:r w:rsidRPr="002B2DFD">
        <w:rPr>
          <w:rFonts w:ascii="Cambria" w:hAnsi="Cambria" w:cs="Vrinda"/>
          <w:noProof/>
          <w:szCs w:val="24"/>
        </w:rPr>
        <w:t>(4), 271–80. https://doi.org/10.1093/heapol/czr036</w:t>
      </w:r>
    </w:p>
    <w:p w14:paraId="51E3CFAA"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Bernhart, M. H., Wiadnyana, I. G., Wihardjo, H., &amp; Pohan, I. (1999). Patient satisfaction in developing countries. </w:t>
      </w:r>
      <w:r w:rsidRPr="002B2DFD">
        <w:rPr>
          <w:rFonts w:ascii="Cambria" w:hAnsi="Cambria" w:cs="Vrinda"/>
          <w:i/>
          <w:iCs/>
          <w:noProof/>
          <w:szCs w:val="24"/>
        </w:rPr>
        <w:t>Social Science &amp; Medicine (1982)</w:t>
      </w:r>
      <w:r w:rsidRPr="002B2DFD">
        <w:rPr>
          <w:rFonts w:ascii="Cambria" w:hAnsi="Cambria" w:cs="Vrinda"/>
          <w:noProof/>
          <w:szCs w:val="24"/>
        </w:rPr>
        <w:t xml:space="preserve">, </w:t>
      </w:r>
      <w:r w:rsidRPr="002B2DFD">
        <w:rPr>
          <w:rFonts w:ascii="Cambria" w:hAnsi="Cambria" w:cs="Vrinda"/>
          <w:i/>
          <w:iCs/>
          <w:noProof/>
          <w:szCs w:val="24"/>
        </w:rPr>
        <w:t>48</w:t>
      </w:r>
      <w:r w:rsidRPr="002B2DFD">
        <w:rPr>
          <w:rFonts w:ascii="Cambria" w:hAnsi="Cambria" w:cs="Vrinda"/>
          <w:noProof/>
          <w:szCs w:val="24"/>
        </w:rPr>
        <w:t>(8), 989–96. Retrieved from http://www.ncbi.nlm.nih.gov/pubmed/10390039</w:t>
      </w:r>
    </w:p>
    <w:p w14:paraId="2BA28793"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Blanchard, C. G., Ruckdeschel, J. C., Blanchard, E. B., Arena, J. G., Saunders, N. L., &amp; Malloy, E. D. (1983). Interactions between oncologists and patients during rounds. </w:t>
      </w:r>
      <w:r w:rsidRPr="002B2DFD">
        <w:rPr>
          <w:rFonts w:ascii="Cambria" w:hAnsi="Cambria" w:cs="Vrinda"/>
          <w:i/>
          <w:iCs/>
          <w:noProof/>
          <w:szCs w:val="24"/>
        </w:rPr>
        <w:t>Annals of Internal Medicine</w:t>
      </w:r>
      <w:r w:rsidRPr="002B2DFD">
        <w:rPr>
          <w:rFonts w:ascii="Cambria" w:hAnsi="Cambria" w:cs="Vrinda"/>
          <w:noProof/>
          <w:szCs w:val="24"/>
        </w:rPr>
        <w:t xml:space="preserve">, </w:t>
      </w:r>
      <w:r w:rsidRPr="002B2DFD">
        <w:rPr>
          <w:rFonts w:ascii="Cambria" w:hAnsi="Cambria" w:cs="Vrinda"/>
          <w:i/>
          <w:iCs/>
          <w:noProof/>
          <w:szCs w:val="24"/>
        </w:rPr>
        <w:t>99</w:t>
      </w:r>
      <w:r w:rsidRPr="002B2DFD">
        <w:rPr>
          <w:rFonts w:ascii="Cambria" w:hAnsi="Cambria" w:cs="Vrinda"/>
          <w:noProof/>
          <w:szCs w:val="24"/>
        </w:rPr>
        <w:t>(5), 694–699.</w:t>
      </w:r>
    </w:p>
    <w:p w14:paraId="1537CB93"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Boon, H., &amp; Stewart, M. (1998). Patient-physician communication assessment instruments:1986 to 1996 in review. </w:t>
      </w:r>
      <w:r w:rsidRPr="002B2DFD">
        <w:rPr>
          <w:rFonts w:ascii="Cambria" w:hAnsi="Cambria" w:cs="Vrinda"/>
          <w:i/>
          <w:iCs/>
          <w:noProof/>
          <w:szCs w:val="24"/>
        </w:rPr>
        <w:t>Patient Education and Counseling</w:t>
      </w:r>
      <w:r w:rsidRPr="002B2DFD">
        <w:rPr>
          <w:rFonts w:ascii="Cambria" w:hAnsi="Cambria" w:cs="Vrinda"/>
          <w:noProof/>
          <w:szCs w:val="24"/>
        </w:rPr>
        <w:t xml:space="preserve">, </w:t>
      </w:r>
      <w:r w:rsidRPr="002B2DFD">
        <w:rPr>
          <w:rFonts w:ascii="Cambria" w:hAnsi="Cambria" w:cs="Vrinda"/>
          <w:i/>
          <w:iCs/>
          <w:noProof/>
          <w:szCs w:val="24"/>
        </w:rPr>
        <w:t>35</w:t>
      </w:r>
      <w:r w:rsidRPr="002B2DFD">
        <w:rPr>
          <w:rFonts w:ascii="Cambria" w:hAnsi="Cambria" w:cs="Vrinda"/>
          <w:noProof/>
          <w:szCs w:val="24"/>
        </w:rPr>
        <w:t>(3), 161–176. https://doi.org/10.1016/S0738-3991(98)00063-9</w:t>
      </w:r>
    </w:p>
    <w:p w14:paraId="18899096"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Carey, R. G., &amp; Seibert, J. H. (1993). A patient survey system to measure quality improvement: questionnaire reliability and validity. </w:t>
      </w:r>
      <w:r w:rsidRPr="002B2DFD">
        <w:rPr>
          <w:rFonts w:ascii="Cambria" w:hAnsi="Cambria" w:cs="Vrinda"/>
          <w:i/>
          <w:iCs/>
          <w:noProof/>
          <w:szCs w:val="24"/>
        </w:rPr>
        <w:t>Medical Care</w:t>
      </w:r>
      <w:r w:rsidRPr="002B2DFD">
        <w:rPr>
          <w:rFonts w:ascii="Cambria" w:hAnsi="Cambria" w:cs="Vrinda"/>
          <w:noProof/>
          <w:szCs w:val="24"/>
        </w:rPr>
        <w:t xml:space="preserve">, </w:t>
      </w:r>
      <w:r w:rsidRPr="002B2DFD">
        <w:rPr>
          <w:rFonts w:ascii="Cambria" w:hAnsi="Cambria" w:cs="Vrinda"/>
          <w:i/>
          <w:iCs/>
          <w:noProof/>
          <w:szCs w:val="24"/>
        </w:rPr>
        <w:t>31</w:t>
      </w:r>
      <w:r w:rsidRPr="002B2DFD">
        <w:rPr>
          <w:rFonts w:ascii="Cambria" w:hAnsi="Cambria" w:cs="Vrinda"/>
          <w:noProof/>
          <w:szCs w:val="24"/>
        </w:rPr>
        <w:t>(9), 834–845.</w:t>
      </w:r>
    </w:p>
    <w:p w14:paraId="707C7739"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Coulter, A., &amp; Jenkinson, C. (2005). European patients’ views on the responsiveness of health systems and healthcare providers. </w:t>
      </w:r>
      <w:r w:rsidRPr="002B2DFD">
        <w:rPr>
          <w:rFonts w:ascii="Cambria" w:hAnsi="Cambria" w:cs="Vrinda"/>
          <w:i/>
          <w:iCs/>
          <w:noProof/>
          <w:szCs w:val="24"/>
        </w:rPr>
        <w:t>European Journal of Public Health</w:t>
      </w:r>
      <w:r w:rsidRPr="002B2DFD">
        <w:rPr>
          <w:rFonts w:ascii="Cambria" w:hAnsi="Cambria" w:cs="Vrinda"/>
          <w:noProof/>
          <w:szCs w:val="24"/>
        </w:rPr>
        <w:t xml:space="preserve">, </w:t>
      </w:r>
      <w:r w:rsidRPr="002B2DFD">
        <w:rPr>
          <w:rFonts w:ascii="Cambria" w:hAnsi="Cambria" w:cs="Vrinda"/>
          <w:i/>
          <w:iCs/>
          <w:noProof/>
          <w:szCs w:val="24"/>
        </w:rPr>
        <w:t>15</w:t>
      </w:r>
      <w:r w:rsidRPr="002B2DFD">
        <w:rPr>
          <w:rFonts w:ascii="Cambria" w:hAnsi="Cambria" w:cs="Vrinda"/>
          <w:noProof/>
          <w:szCs w:val="24"/>
        </w:rPr>
        <w:t>(4), 355–60. https://doi.org/10.1093/eurpub/cki004</w:t>
      </w:r>
    </w:p>
    <w:p w14:paraId="71F6B067"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Darby, C., Valentine, N., Murray, C. J. L., &amp; De Silva, A. (2000). </w:t>
      </w:r>
      <w:r w:rsidRPr="002B2DFD">
        <w:rPr>
          <w:rFonts w:ascii="Cambria" w:hAnsi="Cambria" w:cs="Vrinda"/>
          <w:i/>
          <w:iCs/>
          <w:noProof/>
          <w:szCs w:val="24"/>
        </w:rPr>
        <w:t>World Health Organization: Strategy on measuring responsiveness</w:t>
      </w:r>
      <w:r w:rsidRPr="002B2DFD">
        <w:rPr>
          <w:rFonts w:ascii="Cambria" w:hAnsi="Cambria" w:cs="Vrinda"/>
          <w:noProof/>
          <w:szCs w:val="24"/>
        </w:rPr>
        <w:t xml:space="preserve">. </w:t>
      </w:r>
      <w:r w:rsidRPr="002B2DFD">
        <w:rPr>
          <w:rFonts w:ascii="Cambria" w:hAnsi="Cambria" w:cs="Vrinda"/>
          <w:i/>
          <w:iCs/>
          <w:noProof/>
          <w:szCs w:val="24"/>
        </w:rPr>
        <w:t>The Journal of medicine and philosophy</w:t>
      </w:r>
      <w:r w:rsidRPr="002B2DFD">
        <w:rPr>
          <w:rFonts w:ascii="Cambria" w:hAnsi="Cambria" w:cs="Vrinda"/>
          <w:noProof/>
          <w:szCs w:val="24"/>
        </w:rPr>
        <w:t xml:space="preserve"> (Vol. 39). Geneva. Retrieved from http://www.who.int/healthinfo/paper23.pdf</w:t>
      </w:r>
    </w:p>
    <w:p w14:paraId="1FDA526F"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De Silva, A. (1999). </w:t>
      </w:r>
      <w:r w:rsidRPr="002B2DFD">
        <w:rPr>
          <w:rFonts w:ascii="Cambria" w:hAnsi="Cambria" w:cs="Vrinda"/>
          <w:i/>
          <w:iCs/>
          <w:noProof/>
          <w:szCs w:val="24"/>
        </w:rPr>
        <w:t>A framework for measuring responsiveness</w:t>
      </w:r>
      <w:r w:rsidRPr="002B2DFD">
        <w:rPr>
          <w:rFonts w:ascii="Cambria" w:hAnsi="Cambria" w:cs="Vrinda"/>
          <w:noProof/>
          <w:szCs w:val="24"/>
        </w:rPr>
        <w:t>. Geneva. Retrieved from http://www.who.int/healthinfo/paper32.pdf</w:t>
      </w:r>
    </w:p>
    <w:p w14:paraId="15993F46"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Elwyn, G., Hutchings, H., Edwards, A., Rapport, F., Wensing, M., Cheung, W. Y., &amp; Grol, R. (2005). The OPTION scale: Measuring the extent that </w:t>
      </w:r>
      <w:r w:rsidRPr="002B2DFD">
        <w:rPr>
          <w:rFonts w:ascii="Cambria" w:hAnsi="Cambria" w:cs="Vrinda"/>
          <w:noProof/>
          <w:szCs w:val="24"/>
        </w:rPr>
        <w:lastRenderedPageBreak/>
        <w:t xml:space="preserve">clinicians involve patients in decision-making tasks. </w:t>
      </w:r>
      <w:r w:rsidRPr="002B2DFD">
        <w:rPr>
          <w:rFonts w:ascii="Cambria" w:hAnsi="Cambria" w:cs="Vrinda"/>
          <w:i/>
          <w:iCs/>
          <w:noProof/>
          <w:szCs w:val="24"/>
        </w:rPr>
        <w:t>Health Expectations</w:t>
      </w:r>
      <w:r w:rsidRPr="002B2DFD">
        <w:rPr>
          <w:rFonts w:ascii="Cambria" w:hAnsi="Cambria" w:cs="Vrinda"/>
          <w:noProof/>
          <w:szCs w:val="24"/>
        </w:rPr>
        <w:t xml:space="preserve">, </w:t>
      </w:r>
      <w:r w:rsidRPr="002B2DFD">
        <w:rPr>
          <w:rFonts w:ascii="Cambria" w:hAnsi="Cambria" w:cs="Vrinda"/>
          <w:i/>
          <w:iCs/>
          <w:noProof/>
          <w:szCs w:val="24"/>
        </w:rPr>
        <w:t>8</w:t>
      </w:r>
      <w:r w:rsidRPr="002B2DFD">
        <w:rPr>
          <w:rFonts w:ascii="Cambria" w:hAnsi="Cambria" w:cs="Vrinda"/>
          <w:noProof/>
          <w:szCs w:val="24"/>
        </w:rPr>
        <w:t>(1), 34–42. https://doi.org/10.1111/j.1369-7625.2004.00311.x</w:t>
      </w:r>
    </w:p>
    <w:p w14:paraId="331D16D4"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Fassaert, T., van Dulmen, S., Schellevis, F., &amp; Bensing, J. (2007). Active listening in medical consultations: Development of the Active Listening Observation Scale (ALOS-global). </w:t>
      </w:r>
      <w:r w:rsidRPr="002B2DFD">
        <w:rPr>
          <w:rFonts w:ascii="Cambria" w:hAnsi="Cambria" w:cs="Vrinda"/>
          <w:i/>
          <w:iCs/>
          <w:noProof/>
          <w:szCs w:val="24"/>
        </w:rPr>
        <w:t>Patient Education and Counseling</w:t>
      </w:r>
      <w:r w:rsidRPr="002B2DFD">
        <w:rPr>
          <w:rFonts w:ascii="Cambria" w:hAnsi="Cambria" w:cs="Vrinda"/>
          <w:noProof/>
          <w:szCs w:val="24"/>
        </w:rPr>
        <w:t xml:space="preserve">, </w:t>
      </w:r>
      <w:r w:rsidRPr="002B2DFD">
        <w:rPr>
          <w:rFonts w:ascii="Cambria" w:hAnsi="Cambria" w:cs="Vrinda"/>
          <w:i/>
          <w:iCs/>
          <w:noProof/>
          <w:szCs w:val="24"/>
        </w:rPr>
        <w:t>68</w:t>
      </w:r>
      <w:r w:rsidRPr="002B2DFD">
        <w:rPr>
          <w:rFonts w:ascii="Cambria" w:hAnsi="Cambria" w:cs="Vrinda"/>
          <w:noProof/>
          <w:szCs w:val="24"/>
        </w:rPr>
        <w:t>(3), 258–264. https://doi.org/10.1016/j.pec.2007.06.011</w:t>
      </w:r>
    </w:p>
    <w:p w14:paraId="7E0197E8"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Fernandez, A., Schillinger, D., Grumbach, K., Rosenthal, A., Stewart, A. L., Wang, F., &amp; Pérez-Stable, E. J. (2004). Physician language ability and cultural competence. </w:t>
      </w:r>
      <w:r w:rsidRPr="002B2DFD">
        <w:rPr>
          <w:rFonts w:ascii="Cambria" w:hAnsi="Cambria" w:cs="Vrinda"/>
          <w:i/>
          <w:iCs/>
          <w:noProof/>
          <w:szCs w:val="24"/>
        </w:rPr>
        <w:t>Journal of General Internal Medicine</w:t>
      </w:r>
      <w:r w:rsidRPr="002B2DFD">
        <w:rPr>
          <w:rFonts w:ascii="Cambria" w:hAnsi="Cambria" w:cs="Vrinda"/>
          <w:noProof/>
          <w:szCs w:val="24"/>
        </w:rPr>
        <w:t xml:space="preserve">, </w:t>
      </w:r>
      <w:r w:rsidRPr="002B2DFD">
        <w:rPr>
          <w:rFonts w:ascii="Cambria" w:hAnsi="Cambria" w:cs="Vrinda"/>
          <w:i/>
          <w:iCs/>
          <w:noProof/>
          <w:szCs w:val="24"/>
        </w:rPr>
        <w:t>19</w:t>
      </w:r>
      <w:r w:rsidRPr="002B2DFD">
        <w:rPr>
          <w:rFonts w:ascii="Cambria" w:hAnsi="Cambria" w:cs="Vrinda"/>
          <w:noProof/>
          <w:szCs w:val="24"/>
        </w:rPr>
        <w:t>(2), 167–174. https://doi.org/10.1111/j.1525-1497.2004.30266.x</w:t>
      </w:r>
    </w:p>
    <w:p w14:paraId="1E2D97C5"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Forouzan, A. S., Ghazinour, M., Dejman, M., Rafeiey, H., &amp; San Sebastian, M. (2011). Testing the WHO responsiveness concept in the Iranian mental healthcare system: a qualitative study of service users. </w:t>
      </w:r>
      <w:r w:rsidRPr="002B2DFD">
        <w:rPr>
          <w:rFonts w:ascii="Cambria" w:hAnsi="Cambria" w:cs="Vrinda"/>
          <w:i/>
          <w:iCs/>
          <w:noProof/>
          <w:szCs w:val="24"/>
        </w:rPr>
        <w:t>BMC Health Services Research</w:t>
      </w:r>
      <w:r w:rsidRPr="002B2DFD">
        <w:rPr>
          <w:rFonts w:ascii="Cambria" w:hAnsi="Cambria" w:cs="Vrinda"/>
          <w:noProof/>
          <w:szCs w:val="24"/>
        </w:rPr>
        <w:t xml:space="preserve">, </w:t>
      </w:r>
      <w:r w:rsidRPr="002B2DFD">
        <w:rPr>
          <w:rFonts w:ascii="Cambria" w:hAnsi="Cambria" w:cs="Vrinda"/>
          <w:i/>
          <w:iCs/>
          <w:noProof/>
          <w:szCs w:val="24"/>
        </w:rPr>
        <w:t>11</w:t>
      </w:r>
      <w:r w:rsidRPr="002B2DFD">
        <w:rPr>
          <w:rFonts w:ascii="Cambria" w:hAnsi="Cambria" w:cs="Vrinda"/>
          <w:noProof/>
          <w:szCs w:val="24"/>
        </w:rPr>
        <w:t>(1), 325. https://doi.org/10.1186/1472-6963-11-325</w:t>
      </w:r>
    </w:p>
    <w:p w14:paraId="5624170A"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Haaland, A., &amp; Vlassoff, C. (2001). Introducing Health Workers for Change : from transformation threory to health systems in developing countries, </w:t>
      </w:r>
      <w:r w:rsidRPr="002B2DFD">
        <w:rPr>
          <w:rFonts w:ascii="Cambria" w:hAnsi="Cambria" w:cs="Vrinda"/>
          <w:i/>
          <w:iCs/>
          <w:noProof/>
          <w:szCs w:val="24"/>
        </w:rPr>
        <w:t>16</w:t>
      </w:r>
      <w:r w:rsidRPr="002B2DFD">
        <w:rPr>
          <w:rFonts w:ascii="Cambria" w:hAnsi="Cambria" w:cs="Vrinda"/>
          <w:noProof/>
          <w:szCs w:val="24"/>
        </w:rPr>
        <w:t>, 1–6.</w:t>
      </w:r>
    </w:p>
    <w:p w14:paraId="4194B67F"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Hojat, M., Gonnella, J. S., Nasca, T. J., Mangione, S., Vergare, M., &amp; Magee, M. (2002). Physician empathy: Definition, components, measurement, and relationship to gender and specialty. </w:t>
      </w:r>
      <w:r w:rsidRPr="002B2DFD">
        <w:rPr>
          <w:rFonts w:ascii="Cambria" w:hAnsi="Cambria" w:cs="Vrinda"/>
          <w:i/>
          <w:iCs/>
          <w:noProof/>
          <w:szCs w:val="24"/>
        </w:rPr>
        <w:t>American Journal of Psychiatry</w:t>
      </w:r>
      <w:r w:rsidRPr="002B2DFD">
        <w:rPr>
          <w:rFonts w:ascii="Cambria" w:hAnsi="Cambria" w:cs="Vrinda"/>
          <w:noProof/>
          <w:szCs w:val="24"/>
        </w:rPr>
        <w:t xml:space="preserve">, </w:t>
      </w:r>
      <w:r w:rsidRPr="002B2DFD">
        <w:rPr>
          <w:rFonts w:ascii="Cambria" w:hAnsi="Cambria" w:cs="Vrinda"/>
          <w:i/>
          <w:iCs/>
          <w:noProof/>
          <w:szCs w:val="24"/>
        </w:rPr>
        <w:t>159</w:t>
      </w:r>
      <w:r w:rsidRPr="002B2DFD">
        <w:rPr>
          <w:rFonts w:ascii="Cambria" w:hAnsi="Cambria" w:cs="Vrinda"/>
          <w:noProof/>
          <w:szCs w:val="24"/>
        </w:rPr>
        <w:t>(9), 1563–1569. https://doi.org/10.1176/appi.ajp.159.9.1563</w:t>
      </w:r>
    </w:p>
    <w:p w14:paraId="0129F424"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Hsu, C.-C., Chen, L., Hu, Y.-W., Yip, W., &amp; Shu, C.-C. (2006). The dimensions of responsiveness of a health system: a Taiwanese perspective. </w:t>
      </w:r>
      <w:r w:rsidRPr="002B2DFD">
        <w:rPr>
          <w:rFonts w:ascii="Cambria" w:hAnsi="Cambria" w:cs="Vrinda"/>
          <w:i/>
          <w:iCs/>
          <w:noProof/>
          <w:szCs w:val="24"/>
        </w:rPr>
        <w:t>BMC Public Health</w:t>
      </w:r>
      <w:r w:rsidRPr="002B2DFD">
        <w:rPr>
          <w:rFonts w:ascii="Cambria" w:hAnsi="Cambria" w:cs="Vrinda"/>
          <w:noProof/>
          <w:szCs w:val="24"/>
        </w:rPr>
        <w:t xml:space="preserve">, </w:t>
      </w:r>
      <w:r w:rsidRPr="002B2DFD">
        <w:rPr>
          <w:rFonts w:ascii="Cambria" w:hAnsi="Cambria" w:cs="Vrinda"/>
          <w:i/>
          <w:iCs/>
          <w:noProof/>
          <w:szCs w:val="24"/>
        </w:rPr>
        <w:t>6</w:t>
      </w:r>
      <w:r w:rsidRPr="002B2DFD">
        <w:rPr>
          <w:rFonts w:ascii="Cambria" w:hAnsi="Cambria" w:cs="Vrinda"/>
          <w:noProof/>
          <w:szCs w:val="24"/>
        </w:rPr>
        <w:t>, 72. https://doi.org/10.1186/1471-2458-6-72</w:t>
      </w:r>
    </w:p>
    <w:p w14:paraId="4187BFED"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Letkovicova, H., Prasad, A., Vallée, R. La, Valentine, N., Adhikari, P., &amp; Heide, G. W. van der. (2005). </w:t>
      </w:r>
      <w:r w:rsidRPr="002B2DFD">
        <w:rPr>
          <w:rFonts w:ascii="Cambria" w:hAnsi="Cambria" w:cs="Vrinda"/>
          <w:i/>
          <w:iCs/>
          <w:noProof/>
          <w:szCs w:val="24"/>
        </w:rPr>
        <w:t>The health systems responsiveness analytical guidelines for surveys in the multi-country survey study</w:t>
      </w:r>
      <w:r w:rsidRPr="002B2DFD">
        <w:rPr>
          <w:rFonts w:ascii="Cambria" w:hAnsi="Cambria" w:cs="Vrinda"/>
          <w:noProof/>
          <w:szCs w:val="24"/>
        </w:rPr>
        <w:t>. Geneva. Retrieved from http://www.who.int/responsiveness/papers/MCSS_Analytical_Guidelines.pdf</w:t>
      </w:r>
    </w:p>
    <w:p w14:paraId="0FDABF71"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Levinson, W., Hudak, P. L., Feldman, J. J., Frankel, R. M., Kuby, A., &amp; Bereknyei, S. (2008). “It’s Not What You Say . . .,” </w:t>
      </w:r>
      <w:r w:rsidRPr="002B2DFD">
        <w:rPr>
          <w:rFonts w:ascii="Cambria" w:hAnsi="Cambria" w:cs="Vrinda"/>
          <w:i/>
          <w:iCs/>
          <w:noProof/>
          <w:szCs w:val="24"/>
        </w:rPr>
        <w:t>46</w:t>
      </w:r>
      <w:r w:rsidRPr="002B2DFD">
        <w:rPr>
          <w:rFonts w:ascii="Cambria" w:hAnsi="Cambria" w:cs="Vrinda"/>
          <w:noProof/>
          <w:szCs w:val="24"/>
        </w:rPr>
        <w:t>(4), 10–16.</w:t>
      </w:r>
    </w:p>
    <w:p w14:paraId="55EF16E9"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Makoul, G. (2001). The SEGUE Framework for teaching and assessing communication skills. </w:t>
      </w:r>
      <w:r w:rsidRPr="002B2DFD">
        <w:rPr>
          <w:rFonts w:ascii="Cambria" w:hAnsi="Cambria" w:cs="Vrinda"/>
          <w:i/>
          <w:iCs/>
          <w:noProof/>
          <w:szCs w:val="24"/>
        </w:rPr>
        <w:t>Patient Education and Counseling</w:t>
      </w:r>
      <w:r w:rsidRPr="002B2DFD">
        <w:rPr>
          <w:rFonts w:ascii="Cambria" w:hAnsi="Cambria" w:cs="Vrinda"/>
          <w:noProof/>
          <w:szCs w:val="24"/>
        </w:rPr>
        <w:t xml:space="preserve">, </w:t>
      </w:r>
      <w:r w:rsidRPr="002B2DFD">
        <w:rPr>
          <w:rFonts w:ascii="Cambria" w:hAnsi="Cambria" w:cs="Vrinda"/>
          <w:i/>
          <w:iCs/>
          <w:noProof/>
          <w:szCs w:val="24"/>
        </w:rPr>
        <w:t>45</w:t>
      </w:r>
      <w:r w:rsidRPr="002B2DFD">
        <w:rPr>
          <w:rFonts w:ascii="Cambria" w:hAnsi="Cambria" w:cs="Vrinda"/>
          <w:noProof/>
          <w:szCs w:val="24"/>
        </w:rPr>
        <w:t>(1), 23–34. https://doi.org/10.1016/S0738-3991(01)00136-7</w:t>
      </w:r>
    </w:p>
    <w:p w14:paraId="504EBFB6"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Mashego, T.-A., &amp; Peltzer, K. (2005). Community perception of quality of (primary) health care services in a rural area of Limpopo Province, South Africa: a qualitative study. </w:t>
      </w:r>
      <w:r w:rsidRPr="002B2DFD">
        <w:rPr>
          <w:rFonts w:ascii="Cambria" w:hAnsi="Cambria" w:cs="Vrinda"/>
          <w:i/>
          <w:iCs/>
          <w:noProof/>
          <w:szCs w:val="24"/>
        </w:rPr>
        <w:t>Curationis</w:t>
      </w:r>
      <w:r w:rsidRPr="002B2DFD">
        <w:rPr>
          <w:rFonts w:ascii="Cambria" w:hAnsi="Cambria" w:cs="Vrinda"/>
          <w:noProof/>
          <w:szCs w:val="24"/>
        </w:rPr>
        <w:t xml:space="preserve">, </w:t>
      </w:r>
      <w:r w:rsidRPr="002B2DFD">
        <w:rPr>
          <w:rFonts w:ascii="Cambria" w:hAnsi="Cambria" w:cs="Vrinda"/>
          <w:i/>
          <w:iCs/>
          <w:noProof/>
          <w:szCs w:val="24"/>
        </w:rPr>
        <w:t>28</w:t>
      </w:r>
      <w:r w:rsidRPr="002B2DFD">
        <w:rPr>
          <w:rFonts w:ascii="Cambria" w:hAnsi="Cambria" w:cs="Vrinda"/>
          <w:noProof/>
          <w:szCs w:val="24"/>
        </w:rPr>
        <w:t>(2), 13–21. Retrieved from http://www.ncbi.nlm.nih.gov/pubmed/16045107</w:t>
      </w:r>
    </w:p>
    <w:p w14:paraId="781D8580"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Morphet, J., Innes, K., Munro, I., O’Brien, A., Gaskin, C. J., Reed, F., &amp; Kudinoff, T. (2012). Managing people with mental health presentations in emergency departments--a service exploration of the issues surrounding responsiveness from a mental health care consumer and carer </w:t>
      </w:r>
      <w:r w:rsidRPr="002B2DFD">
        <w:rPr>
          <w:rFonts w:ascii="Cambria" w:hAnsi="Cambria" w:cs="Vrinda"/>
          <w:noProof/>
          <w:szCs w:val="24"/>
        </w:rPr>
        <w:lastRenderedPageBreak/>
        <w:t xml:space="preserve">perspective. </w:t>
      </w:r>
      <w:r w:rsidRPr="002B2DFD">
        <w:rPr>
          <w:rFonts w:ascii="Cambria" w:hAnsi="Cambria" w:cs="Vrinda"/>
          <w:i/>
          <w:iCs/>
          <w:noProof/>
          <w:szCs w:val="24"/>
        </w:rPr>
        <w:t>Australasian Emergency Nursing Journal : AENJ</w:t>
      </w:r>
      <w:r w:rsidRPr="002B2DFD">
        <w:rPr>
          <w:rFonts w:ascii="Cambria" w:hAnsi="Cambria" w:cs="Vrinda"/>
          <w:noProof/>
          <w:szCs w:val="24"/>
        </w:rPr>
        <w:t xml:space="preserve">, </w:t>
      </w:r>
      <w:r w:rsidRPr="002B2DFD">
        <w:rPr>
          <w:rFonts w:ascii="Cambria" w:hAnsi="Cambria" w:cs="Vrinda"/>
          <w:i/>
          <w:iCs/>
          <w:noProof/>
          <w:szCs w:val="24"/>
        </w:rPr>
        <w:t>15</w:t>
      </w:r>
      <w:r w:rsidRPr="002B2DFD">
        <w:rPr>
          <w:rFonts w:ascii="Cambria" w:hAnsi="Cambria" w:cs="Vrinda"/>
          <w:noProof/>
          <w:szCs w:val="24"/>
        </w:rPr>
        <w:t>(3), 148–55. https://doi.org/10.1016/j.aenj.2012.05.003</w:t>
      </w:r>
    </w:p>
    <w:p w14:paraId="1F977E48"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Murray, C. J. L., Kawabata, K., &amp; Valentine, N. (2001). People’s Experience Versus People’s Expectations. </w:t>
      </w:r>
      <w:r w:rsidRPr="002B2DFD">
        <w:rPr>
          <w:rFonts w:ascii="Cambria" w:hAnsi="Cambria" w:cs="Vrinda"/>
          <w:i/>
          <w:iCs/>
          <w:noProof/>
          <w:szCs w:val="24"/>
        </w:rPr>
        <w:t>Health Affairs</w:t>
      </w:r>
      <w:r w:rsidRPr="002B2DFD">
        <w:rPr>
          <w:rFonts w:ascii="Cambria" w:hAnsi="Cambria" w:cs="Vrinda"/>
          <w:noProof/>
          <w:szCs w:val="24"/>
        </w:rPr>
        <w:t xml:space="preserve">, </w:t>
      </w:r>
      <w:r w:rsidRPr="002B2DFD">
        <w:rPr>
          <w:rFonts w:ascii="Cambria" w:hAnsi="Cambria" w:cs="Vrinda"/>
          <w:i/>
          <w:iCs/>
          <w:noProof/>
          <w:szCs w:val="24"/>
        </w:rPr>
        <w:t>20</w:t>
      </w:r>
      <w:r w:rsidRPr="002B2DFD">
        <w:rPr>
          <w:rFonts w:ascii="Cambria" w:hAnsi="Cambria" w:cs="Vrinda"/>
          <w:noProof/>
          <w:szCs w:val="24"/>
        </w:rPr>
        <w:t>(3), 21–24. https://doi.org/10.1377/hlthaff.20.3.21</w:t>
      </w:r>
    </w:p>
    <w:p w14:paraId="11D45086"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Rao, K. D., Peters, D. H., &amp; Bandeen-Roche, K. (2006). Towards patient-centered health services in India--a scale to measure patient perceptions of quality. </w:t>
      </w:r>
      <w:r w:rsidRPr="002B2DFD">
        <w:rPr>
          <w:rFonts w:ascii="Cambria" w:hAnsi="Cambria" w:cs="Vrinda"/>
          <w:i/>
          <w:iCs/>
          <w:noProof/>
          <w:szCs w:val="24"/>
        </w:rPr>
        <w:t>International Journal for Quality in Health Care : Journal of the International Society for Quality in Health Care / ISQua</w:t>
      </w:r>
      <w:r w:rsidRPr="002B2DFD">
        <w:rPr>
          <w:rFonts w:ascii="Cambria" w:hAnsi="Cambria" w:cs="Vrinda"/>
          <w:noProof/>
          <w:szCs w:val="24"/>
        </w:rPr>
        <w:t xml:space="preserve">, </w:t>
      </w:r>
      <w:r w:rsidRPr="002B2DFD">
        <w:rPr>
          <w:rFonts w:ascii="Cambria" w:hAnsi="Cambria" w:cs="Vrinda"/>
          <w:i/>
          <w:iCs/>
          <w:noProof/>
          <w:szCs w:val="24"/>
        </w:rPr>
        <w:t>18</w:t>
      </w:r>
      <w:r w:rsidRPr="002B2DFD">
        <w:rPr>
          <w:rFonts w:ascii="Cambria" w:hAnsi="Cambria" w:cs="Vrinda"/>
          <w:noProof/>
          <w:szCs w:val="24"/>
        </w:rPr>
        <w:t>(6), 414–421. https://doi.org/10.1093/intqhc/mzl049</w:t>
      </w:r>
    </w:p>
    <w:p w14:paraId="1921D948"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Rhoades, D. R., McFarland, K. F., Finch, W. H., &amp; Johnson, A. O. (2001). Speaking and intrruptions during primary care office visits. </w:t>
      </w:r>
      <w:r w:rsidRPr="002B2DFD">
        <w:rPr>
          <w:rFonts w:ascii="Cambria" w:hAnsi="Cambria" w:cs="Vrinda"/>
          <w:i/>
          <w:iCs/>
          <w:noProof/>
          <w:szCs w:val="24"/>
        </w:rPr>
        <w:t>Family Medicine</w:t>
      </w:r>
      <w:r w:rsidRPr="002B2DFD">
        <w:rPr>
          <w:rFonts w:ascii="Cambria" w:hAnsi="Cambria" w:cs="Vrinda"/>
          <w:noProof/>
          <w:szCs w:val="24"/>
        </w:rPr>
        <w:t xml:space="preserve">, </w:t>
      </w:r>
      <w:r w:rsidRPr="002B2DFD">
        <w:rPr>
          <w:rFonts w:ascii="Cambria" w:hAnsi="Cambria" w:cs="Vrinda"/>
          <w:i/>
          <w:iCs/>
          <w:noProof/>
          <w:szCs w:val="24"/>
        </w:rPr>
        <w:t>33</w:t>
      </w:r>
      <w:r w:rsidRPr="002B2DFD">
        <w:rPr>
          <w:rFonts w:ascii="Cambria" w:hAnsi="Cambria" w:cs="Vrinda"/>
          <w:noProof/>
          <w:szCs w:val="24"/>
        </w:rPr>
        <w:t>(7), 528–532.</w:t>
      </w:r>
    </w:p>
    <w:p w14:paraId="42996643"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Rice, N., Robone, S., &amp; Smith, P. C. (2008). </w:t>
      </w:r>
      <w:r w:rsidRPr="002B2DFD">
        <w:rPr>
          <w:rFonts w:ascii="Cambria" w:hAnsi="Cambria" w:cs="Vrinda"/>
          <w:i/>
          <w:iCs/>
          <w:noProof/>
          <w:szCs w:val="24"/>
        </w:rPr>
        <w:t>The measurement and comparison of health system responsiveness</w:t>
      </w:r>
      <w:r w:rsidRPr="002B2DFD">
        <w:rPr>
          <w:rFonts w:ascii="Cambria" w:hAnsi="Cambria" w:cs="Vrinda"/>
          <w:noProof/>
          <w:szCs w:val="24"/>
        </w:rPr>
        <w:t xml:space="preserve">. </w:t>
      </w:r>
      <w:r w:rsidRPr="002B2DFD">
        <w:rPr>
          <w:rFonts w:ascii="Cambria" w:hAnsi="Cambria" w:cs="Vrinda"/>
          <w:i/>
          <w:iCs/>
          <w:noProof/>
          <w:szCs w:val="24"/>
        </w:rPr>
        <w:t>Health, Econometrics and Data Group (HEDG) Working Papers</w:t>
      </w:r>
      <w:r w:rsidRPr="002B2DFD">
        <w:rPr>
          <w:rFonts w:ascii="Cambria" w:hAnsi="Cambria" w:cs="Vrinda"/>
          <w:noProof/>
          <w:szCs w:val="24"/>
        </w:rPr>
        <w:t>. HEDG, c/o Department of Economics, University of York. Retrieved from http://ideas.repec.org/p/yor/hectdg/08-05.html</w:t>
      </w:r>
    </w:p>
    <w:p w14:paraId="11F500A5"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Rodriguez, A. V. D., Vituri, D. W., Haddad, M. do C. L., Vannuchi, M. T. O., &amp; Oliveira, W. T. de. (2012). The development of an instrument to assess nursing care responsiveness at a university hospital. </w:t>
      </w:r>
      <w:r w:rsidRPr="002B2DFD">
        <w:rPr>
          <w:rFonts w:ascii="Cambria" w:hAnsi="Cambria" w:cs="Vrinda"/>
          <w:i/>
          <w:iCs/>
          <w:noProof/>
          <w:szCs w:val="24"/>
        </w:rPr>
        <w:t>Revista Da Escola de Enfermagem Da USP</w:t>
      </w:r>
      <w:r w:rsidRPr="002B2DFD">
        <w:rPr>
          <w:rFonts w:ascii="Cambria" w:hAnsi="Cambria" w:cs="Vrinda"/>
          <w:noProof/>
          <w:szCs w:val="24"/>
        </w:rPr>
        <w:t xml:space="preserve">, </w:t>
      </w:r>
      <w:r w:rsidRPr="002B2DFD">
        <w:rPr>
          <w:rFonts w:ascii="Cambria" w:hAnsi="Cambria" w:cs="Vrinda"/>
          <w:i/>
          <w:iCs/>
          <w:noProof/>
          <w:szCs w:val="24"/>
        </w:rPr>
        <w:t>46</w:t>
      </w:r>
      <w:r w:rsidRPr="002B2DFD">
        <w:rPr>
          <w:rFonts w:ascii="Cambria" w:hAnsi="Cambria" w:cs="Vrinda"/>
          <w:noProof/>
          <w:szCs w:val="24"/>
        </w:rPr>
        <w:t>(1), 167–74. Retrieved from http://www.ncbi.nlm.nih.gov/pubmed/22441281</w:t>
      </w:r>
    </w:p>
    <w:p w14:paraId="7F26676B"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Schirmer, J., Mauksch, L., Lang, F., Marvel, K., Zoopi, K., &amp; Epstein, R. (2005). Assesing Comunication Competence: A review of current tools. </w:t>
      </w:r>
      <w:r w:rsidRPr="002B2DFD">
        <w:rPr>
          <w:rFonts w:ascii="Cambria" w:hAnsi="Cambria" w:cs="Vrinda"/>
          <w:i/>
          <w:iCs/>
          <w:noProof/>
          <w:szCs w:val="24"/>
        </w:rPr>
        <w:t>Fam Med</w:t>
      </w:r>
      <w:r w:rsidRPr="002B2DFD">
        <w:rPr>
          <w:rFonts w:ascii="Cambria" w:hAnsi="Cambria" w:cs="Vrinda"/>
          <w:noProof/>
          <w:szCs w:val="24"/>
        </w:rPr>
        <w:t xml:space="preserve">, </w:t>
      </w:r>
      <w:r w:rsidRPr="002B2DFD">
        <w:rPr>
          <w:rFonts w:ascii="Cambria" w:hAnsi="Cambria" w:cs="Vrinda"/>
          <w:i/>
          <w:iCs/>
          <w:noProof/>
          <w:szCs w:val="24"/>
        </w:rPr>
        <w:t>37</w:t>
      </w:r>
      <w:r w:rsidRPr="002B2DFD">
        <w:rPr>
          <w:rFonts w:ascii="Cambria" w:hAnsi="Cambria" w:cs="Vrinda"/>
          <w:noProof/>
          <w:szCs w:val="24"/>
        </w:rPr>
        <w:t>(3), 184–192.</w:t>
      </w:r>
    </w:p>
    <w:p w14:paraId="7F5A7DE3"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Sirven, N., Santos-Eggimann, B., &amp; Spagnoli, J. (2008). </w:t>
      </w:r>
      <w:r w:rsidRPr="002B2DFD">
        <w:rPr>
          <w:rFonts w:ascii="Cambria" w:hAnsi="Cambria" w:cs="Vrinda"/>
          <w:i/>
          <w:iCs/>
          <w:noProof/>
          <w:szCs w:val="24"/>
        </w:rPr>
        <w:t>Comparability of Health Care Responsiveness in Europe Using Anchoring Vignettes from Survey of Health, Aging and Retirement in Europe</w:t>
      </w:r>
      <w:r w:rsidRPr="002B2DFD">
        <w:rPr>
          <w:rFonts w:ascii="Cambria" w:hAnsi="Cambria" w:cs="Vrinda"/>
          <w:noProof/>
          <w:szCs w:val="24"/>
        </w:rPr>
        <w:t>. Institut de recherche et documentation en économie de la santé. Retrieved from http://books.google.com/books?id=OOfePgAACAAJ&amp;pgis=1</w:t>
      </w:r>
    </w:p>
    <w:p w14:paraId="4D9C5DC8"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Stewart, M. A. (1984). What is a successful doctor-patient interview ? A study of interactions and outcomes. </w:t>
      </w:r>
      <w:r w:rsidRPr="002B2DFD">
        <w:rPr>
          <w:rFonts w:ascii="Cambria" w:hAnsi="Cambria" w:cs="Vrinda"/>
          <w:i/>
          <w:iCs/>
          <w:noProof/>
          <w:szCs w:val="24"/>
        </w:rPr>
        <w:t>Social Science &amp; Medicine</w:t>
      </w:r>
      <w:r w:rsidRPr="002B2DFD">
        <w:rPr>
          <w:rFonts w:ascii="Cambria" w:hAnsi="Cambria" w:cs="Vrinda"/>
          <w:noProof/>
          <w:szCs w:val="24"/>
        </w:rPr>
        <w:t xml:space="preserve">, </w:t>
      </w:r>
      <w:r w:rsidRPr="002B2DFD">
        <w:rPr>
          <w:rFonts w:ascii="Cambria" w:hAnsi="Cambria" w:cs="Vrinda"/>
          <w:i/>
          <w:iCs/>
          <w:noProof/>
          <w:szCs w:val="24"/>
        </w:rPr>
        <w:t>19</w:t>
      </w:r>
      <w:r w:rsidRPr="002B2DFD">
        <w:rPr>
          <w:rFonts w:ascii="Cambria" w:hAnsi="Cambria" w:cs="Vrinda"/>
          <w:noProof/>
          <w:szCs w:val="24"/>
        </w:rPr>
        <w:t>(2), 167–175.</w:t>
      </w:r>
    </w:p>
    <w:p w14:paraId="02C6A64A"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Thom, D. H., &amp; Tirado, M. D. (2006). Development and validation of a patient-reported measure of physician cultural competency. </w:t>
      </w:r>
      <w:r w:rsidRPr="002B2DFD">
        <w:rPr>
          <w:rFonts w:ascii="Cambria" w:hAnsi="Cambria" w:cs="Vrinda"/>
          <w:i/>
          <w:iCs/>
          <w:noProof/>
          <w:szCs w:val="24"/>
        </w:rPr>
        <w:t>Medical Care Research and Review : MCRR</w:t>
      </w:r>
      <w:r w:rsidRPr="002B2DFD">
        <w:rPr>
          <w:rFonts w:ascii="Cambria" w:hAnsi="Cambria" w:cs="Vrinda"/>
          <w:noProof/>
          <w:szCs w:val="24"/>
        </w:rPr>
        <w:t xml:space="preserve">, </w:t>
      </w:r>
      <w:r w:rsidRPr="002B2DFD">
        <w:rPr>
          <w:rFonts w:ascii="Cambria" w:hAnsi="Cambria" w:cs="Vrinda"/>
          <w:i/>
          <w:iCs/>
          <w:noProof/>
          <w:szCs w:val="24"/>
        </w:rPr>
        <w:t>63</w:t>
      </w:r>
      <w:r w:rsidRPr="002B2DFD">
        <w:rPr>
          <w:rFonts w:ascii="Cambria" w:hAnsi="Cambria" w:cs="Vrinda"/>
          <w:noProof/>
          <w:szCs w:val="24"/>
        </w:rPr>
        <w:t>(5), 636–655. https://doi.org/10.1177/1077558706290946</w:t>
      </w:r>
    </w:p>
    <w:p w14:paraId="19E61630"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Valentine, N. B., Bonsel, G. J., &amp; Murray, C. J. L. (2007). Measuring quality of health care from the user’s perspective in 41 countries: psychometric </w:t>
      </w:r>
      <w:r w:rsidRPr="002B2DFD">
        <w:rPr>
          <w:rFonts w:ascii="Cambria" w:hAnsi="Cambria" w:cs="Vrinda"/>
          <w:noProof/>
          <w:szCs w:val="24"/>
        </w:rPr>
        <w:lastRenderedPageBreak/>
        <w:t xml:space="preserve">properties of WHO’s questions on health systems responsiveness. </w:t>
      </w:r>
      <w:r w:rsidRPr="002B2DFD">
        <w:rPr>
          <w:rFonts w:ascii="Cambria" w:hAnsi="Cambria" w:cs="Vrinda"/>
          <w:i/>
          <w:iCs/>
          <w:noProof/>
          <w:szCs w:val="24"/>
        </w:rPr>
        <w:t>Quality of Life Research : An International Journal of Quality of Life Aspects of Treatment, Care and Rehabilitation</w:t>
      </w:r>
      <w:r w:rsidRPr="002B2DFD">
        <w:rPr>
          <w:rFonts w:ascii="Cambria" w:hAnsi="Cambria" w:cs="Vrinda"/>
          <w:noProof/>
          <w:szCs w:val="24"/>
        </w:rPr>
        <w:t xml:space="preserve">, </w:t>
      </w:r>
      <w:r w:rsidRPr="002B2DFD">
        <w:rPr>
          <w:rFonts w:ascii="Cambria" w:hAnsi="Cambria" w:cs="Vrinda"/>
          <w:i/>
          <w:iCs/>
          <w:noProof/>
          <w:szCs w:val="24"/>
        </w:rPr>
        <w:t>16</w:t>
      </w:r>
      <w:r w:rsidRPr="002B2DFD">
        <w:rPr>
          <w:rFonts w:ascii="Cambria" w:hAnsi="Cambria" w:cs="Vrinda"/>
          <w:noProof/>
          <w:szCs w:val="24"/>
        </w:rPr>
        <w:t>(7), 1107–25. https://doi.org/10.1007/s11136-007-9189-1</w:t>
      </w:r>
    </w:p>
    <w:p w14:paraId="2AEDF6D9"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Walbridge, S. W., &amp; Delene, L. M. (1993). Measuring physician attitudes of service quality. </w:t>
      </w:r>
      <w:r w:rsidRPr="002B2DFD">
        <w:rPr>
          <w:rFonts w:ascii="Cambria" w:hAnsi="Cambria" w:cs="Vrinda"/>
          <w:i/>
          <w:iCs/>
          <w:noProof/>
          <w:szCs w:val="24"/>
        </w:rPr>
        <w:t>Journal of Health Care Marketing</w:t>
      </w:r>
      <w:r w:rsidRPr="002B2DFD">
        <w:rPr>
          <w:rFonts w:ascii="Cambria" w:hAnsi="Cambria" w:cs="Vrinda"/>
          <w:noProof/>
          <w:szCs w:val="24"/>
        </w:rPr>
        <w:t xml:space="preserve">, </w:t>
      </w:r>
      <w:r w:rsidRPr="002B2DFD">
        <w:rPr>
          <w:rFonts w:ascii="Cambria" w:hAnsi="Cambria" w:cs="Vrinda"/>
          <w:i/>
          <w:iCs/>
          <w:noProof/>
          <w:szCs w:val="24"/>
        </w:rPr>
        <w:t>13</w:t>
      </w:r>
      <w:r w:rsidRPr="002B2DFD">
        <w:rPr>
          <w:rFonts w:ascii="Cambria" w:hAnsi="Cambria" w:cs="Vrinda"/>
          <w:noProof/>
          <w:szCs w:val="24"/>
        </w:rPr>
        <w:t>(1), 6–15.</w:t>
      </w:r>
    </w:p>
    <w:p w14:paraId="0623B149"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Werkmeister-Rozas, L., &amp; Klein, W. C. (2009). Cultural Responsiveness in Long-Term-Care Case Management: Moving Beyond Competence. </w:t>
      </w:r>
      <w:r w:rsidRPr="002B2DFD">
        <w:rPr>
          <w:rFonts w:ascii="Cambria" w:hAnsi="Cambria" w:cs="Vrinda"/>
          <w:i/>
          <w:iCs/>
          <w:noProof/>
          <w:szCs w:val="24"/>
        </w:rPr>
        <w:t>Care Management Journals</w:t>
      </w:r>
      <w:r w:rsidRPr="002B2DFD">
        <w:rPr>
          <w:rFonts w:ascii="Cambria" w:hAnsi="Cambria" w:cs="Vrinda"/>
          <w:noProof/>
          <w:szCs w:val="24"/>
        </w:rPr>
        <w:t xml:space="preserve">, </w:t>
      </w:r>
      <w:r w:rsidRPr="002B2DFD">
        <w:rPr>
          <w:rFonts w:ascii="Cambria" w:hAnsi="Cambria" w:cs="Vrinda"/>
          <w:i/>
          <w:iCs/>
          <w:noProof/>
          <w:szCs w:val="24"/>
        </w:rPr>
        <w:t>10</w:t>
      </w:r>
      <w:r w:rsidRPr="002B2DFD">
        <w:rPr>
          <w:rFonts w:ascii="Cambria" w:hAnsi="Cambria" w:cs="Vrinda"/>
          <w:noProof/>
          <w:szCs w:val="24"/>
        </w:rPr>
        <w:t>(1), 2–7. https://doi.org/10.1891/1521-0987.10.1.2</w:t>
      </w:r>
    </w:p>
    <w:p w14:paraId="2254F7D1"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White, D. G., Tiberius, R., Talbot, Y., Schiralli, V., &amp; Rickett, M. (1991). Improving Feedback for Medical Students in a Famnily Medicine Clerkship. </w:t>
      </w:r>
      <w:r w:rsidRPr="002B2DFD">
        <w:rPr>
          <w:rFonts w:ascii="Cambria" w:hAnsi="Cambria" w:cs="Vrinda"/>
          <w:i/>
          <w:iCs/>
          <w:noProof/>
          <w:szCs w:val="24"/>
        </w:rPr>
        <w:t>Canadian Family Physician</w:t>
      </w:r>
      <w:r w:rsidRPr="002B2DFD">
        <w:rPr>
          <w:rFonts w:ascii="Cambria" w:hAnsi="Cambria" w:cs="Vrinda"/>
          <w:noProof/>
          <w:szCs w:val="24"/>
        </w:rPr>
        <w:t xml:space="preserve">, </w:t>
      </w:r>
      <w:r w:rsidRPr="002B2DFD">
        <w:rPr>
          <w:rFonts w:ascii="Cambria" w:hAnsi="Cambria" w:cs="Vrinda"/>
          <w:i/>
          <w:iCs/>
          <w:noProof/>
          <w:szCs w:val="24"/>
        </w:rPr>
        <w:t>37</w:t>
      </w:r>
      <w:r w:rsidRPr="002B2DFD">
        <w:rPr>
          <w:rFonts w:ascii="Cambria" w:hAnsi="Cambria" w:cs="Vrinda"/>
          <w:noProof/>
          <w:szCs w:val="24"/>
        </w:rPr>
        <w:t>, 64–70.</w:t>
      </w:r>
    </w:p>
    <w:p w14:paraId="30B3CC8B"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White, J. C., Rosson, C., Christensen, J., Hart, R., &amp; Levinson, W. (1997). Wrapping things up: A qualitative analysis of the closing moments of the medical visit. </w:t>
      </w:r>
      <w:r w:rsidRPr="002B2DFD">
        <w:rPr>
          <w:rFonts w:ascii="Cambria" w:hAnsi="Cambria" w:cs="Vrinda"/>
          <w:i/>
          <w:iCs/>
          <w:noProof/>
          <w:szCs w:val="24"/>
        </w:rPr>
        <w:t>Patient Education and Counseling</w:t>
      </w:r>
      <w:r w:rsidRPr="002B2DFD">
        <w:rPr>
          <w:rFonts w:ascii="Cambria" w:hAnsi="Cambria" w:cs="Vrinda"/>
          <w:noProof/>
          <w:szCs w:val="24"/>
        </w:rPr>
        <w:t xml:space="preserve">, </w:t>
      </w:r>
      <w:r w:rsidRPr="002B2DFD">
        <w:rPr>
          <w:rFonts w:ascii="Cambria" w:hAnsi="Cambria" w:cs="Vrinda"/>
          <w:i/>
          <w:iCs/>
          <w:noProof/>
          <w:szCs w:val="24"/>
        </w:rPr>
        <w:t>30</w:t>
      </w:r>
      <w:r w:rsidRPr="002B2DFD">
        <w:rPr>
          <w:rFonts w:ascii="Cambria" w:hAnsi="Cambria" w:cs="Vrinda"/>
          <w:noProof/>
          <w:szCs w:val="24"/>
        </w:rPr>
        <w:t>(2), 155–165. https://doi.org/10.1016/S0738-3991(96)00962-7</w:t>
      </w:r>
    </w:p>
    <w:p w14:paraId="7CBAAC23" w14:textId="77777777" w:rsidR="002B2DFD" w:rsidRPr="002B2DFD" w:rsidRDefault="002B2DFD" w:rsidP="002B2DFD">
      <w:pPr>
        <w:widowControl w:val="0"/>
        <w:autoSpaceDE w:val="0"/>
        <w:autoSpaceDN w:val="0"/>
        <w:adjustRightInd w:val="0"/>
        <w:spacing w:line="240" w:lineRule="auto"/>
        <w:ind w:left="480" w:hanging="480"/>
        <w:rPr>
          <w:rFonts w:ascii="Cambria" w:hAnsi="Cambria" w:cs="Vrinda"/>
          <w:noProof/>
          <w:szCs w:val="24"/>
        </w:rPr>
      </w:pPr>
      <w:r w:rsidRPr="002B2DFD">
        <w:rPr>
          <w:rFonts w:ascii="Cambria" w:hAnsi="Cambria" w:cs="Vrinda"/>
          <w:noProof/>
          <w:szCs w:val="24"/>
        </w:rPr>
        <w:t xml:space="preserve">Wolf, M. H., Putnam, S. M., James, S. A., &amp; Stiles, W. B. (1978). The Medical Interview Satisfaction Scale: development of a scale to measure patient perceptions of physician behavior. </w:t>
      </w:r>
      <w:r w:rsidRPr="002B2DFD">
        <w:rPr>
          <w:rFonts w:ascii="Cambria" w:hAnsi="Cambria" w:cs="Vrinda"/>
          <w:i/>
          <w:iCs/>
          <w:noProof/>
          <w:szCs w:val="24"/>
        </w:rPr>
        <w:t>Journal of Behavioral Medicine</w:t>
      </w:r>
      <w:r w:rsidRPr="002B2DFD">
        <w:rPr>
          <w:rFonts w:ascii="Cambria" w:hAnsi="Cambria" w:cs="Vrinda"/>
          <w:noProof/>
          <w:szCs w:val="24"/>
        </w:rPr>
        <w:t xml:space="preserve">, </w:t>
      </w:r>
      <w:r w:rsidRPr="002B2DFD">
        <w:rPr>
          <w:rFonts w:ascii="Cambria" w:hAnsi="Cambria" w:cs="Vrinda"/>
          <w:i/>
          <w:iCs/>
          <w:noProof/>
          <w:szCs w:val="24"/>
        </w:rPr>
        <w:t>1</w:t>
      </w:r>
      <w:r w:rsidRPr="002B2DFD">
        <w:rPr>
          <w:rFonts w:ascii="Cambria" w:hAnsi="Cambria" w:cs="Vrinda"/>
          <w:noProof/>
          <w:szCs w:val="24"/>
        </w:rPr>
        <w:t>(4), 391–401. https://doi.org/10.1007/BF00846695</w:t>
      </w:r>
    </w:p>
    <w:p w14:paraId="206AAB09" w14:textId="77777777" w:rsidR="002B2DFD" w:rsidRPr="002B2DFD" w:rsidRDefault="002B2DFD" w:rsidP="002B2DFD">
      <w:pPr>
        <w:widowControl w:val="0"/>
        <w:autoSpaceDE w:val="0"/>
        <w:autoSpaceDN w:val="0"/>
        <w:adjustRightInd w:val="0"/>
        <w:spacing w:line="240" w:lineRule="auto"/>
        <w:ind w:left="480" w:hanging="480"/>
        <w:rPr>
          <w:rFonts w:ascii="Cambria" w:hAnsi="Cambria"/>
          <w:noProof/>
        </w:rPr>
      </w:pPr>
      <w:r w:rsidRPr="002B2DFD">
        <w:rPr>
          <w:rFonts w:ascii="Cambria" w:hAnsi="Cambria" w:cs="Vrinda"/>
          <w:noProof/>
          <w:szCs w:val="24"/>
        </w:rPr>
        <w:t xml:space="preserve">World Health Organization. (2000). </w:t>
      </w:r>
      <w:r w:rsidRPr="002B2DFD">
        <w:rPr>
          <w:rFonts w:ascii="Cambria" w:hAnsi="Cambria" w:cs="Vrinda"/>
          <w:i/>
          <w:iCs/>
          <w:noProof/>
          <w:szCs w:val="24"/>
        </w:rPr>
        <w:t>The World health report 2000 : health systems : improving performance.</w:t>
      </w:r>
      <w:r w:rsidRPr="002B2DFD">
        <w:rPr>
          <w:rFonts w:ascii="Cambria" w:hAnsi="Cambria" w:cs="Vrinda"/>
          <w:noProof/>
          <w:szCs w:val="24"/>
        </w:rPr>
        <w:t xml:space="preserve"> Geneva.</w:t>
      </w:r>
    </w:p>
    <w:p w14:paraId="76BEF70F" w14:textId="4FA8FD6F" w:rsidR="002B2DFD" w:rsidRPr="002B2DFD" w:rsidRDefault="002B2DFD">
      <w:pPr>
        <w:rPr>
          <w:b/>
          <w:bCs/>
        </w:rPr>
      </w:pPr>
      <w:r>
        <w:rPr>
          <w:b/>
          <w:bCs/>
        </w:rPr>
        <w:fldChar w:fldCharType="end"/>
      </w:r>
      <w:bookmarkStart w:id="1" w:name="_GoBack"/>
      <w:bookmarkEnd w:id="1"/>
    </w:p>
    <w:p w14:paraId="310FC59B" w14:textId="77777777" w:rsidR="002B2DFD" w:rsidRDefault="002B2DFD"/>
    <w:sectPr w:rsidR="002B2DFD" w:rsidSect="00063BE1">
      <w:pgSz w:w="16840" w:h="1190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3F5F8E"/>
    <w:multiLevelType w:val="multilevel"/>
    <w:tmpl w:val="04090025"/>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color w:val="auto"/>
      </w:rPr>
    </w:lvl>
    <w:lvl w:ilvl="3">
      <w:start w:val="1"/>
      <w:numFmt w:val="decimal"/>
      <w:pStyle w:val="Heading4"/>
      <w:lvlText w:val="%1.%2.%3.%4"/>
      <w:lvlJc w:val="left"/>
      <w:pPr>
        <w:ind w:left="864" w:hanging="864"/>
      </w:pPr>
      <w:rPr>
        <w:rFonts w:hint="default"/>
        <w:color w:val="auto"/>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BE1"/>
    <w:rsid w:val="00063BE1"/>
    <w:rsid w:val="002B2DFD"/>
    <w:rsid w:val="003128BD"/>
    <w:rsid w:val="003B752B"/>
    <w:rsid w:val="004C35FF"/>
    <w:rsid w:val="00582EE3"/>
    <w:rsid w:val="005D61EB"/>
    <w:rsid w:val="008C5DDB"/>
    <w:rsid w:val="00922135"/>
    <w:rsid w:val="009E2F8E"/>
    <w:rsid w:val="00CB527A"/>
    <w:rsid w:val="00F00447"/>
    <w:rsid w:val="00F471A8"/>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78DA4B"/>
  <w14:defaultImageDpi w14:val="300"/>
  <w15:docId w15:val="{4FD7B372-4017-4036-8B54-51A113A96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3BE1"/>
    <w:pPr>
      <w:spacing w:after="200" w:line="276" w:lineRule="auto"/>
    </w:pPr>
    <w:rPr>
      <w:sz w:val="22"/>
      <w:szCs w:val="22"/>
      <w:lang w:bidi="en-US"/>
    </w:rPr>
  </w:style>
  <w:style w:type="paragraph" w:styleId="Heading1">
    <w:name w:val="heading 1"/>
    <w:basedOn w:val="Normal"/>
    <w:next w:val="Normal"/>
    <w:link w:val="Heading1Char"/>
    <w:uiPriority w:val="9"/>
    <w:qFormat/>
    <w:rsid w:val="00063BE1"/>
    <w:pPr>
      <w:numPr>
        <w:numId w:val="1"/>
      </w:num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063BE1"/>
    <w:pPr>
      <w:numPr>
        <w:ilvl w:val="1"/>
        <w:numId w:val="1"/>
      </w:num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063BE1"/>
    <w:pPr>
      <w:numPr>
        <w:ilvl w:val="2"/>
        <w:numId w:val="1"/>
      </w:num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063BE1"/>
    <w:pPr>
      <w:numPr>
        <w:ilvl w:val="3"/>
        <w:numId w:val="1"/>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063BE1"/>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063BE1"/>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063BE1"/>
    <w:pPr>
      <w:numPr>
        <w:ilvl w:val="6"/>
        <w:numId w:val="1"/>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063BE1"/>
    <w:pPr>
      <w:numPr>
        <w:ilvl w:val="7"/>
        <w:numId w:val="1"/>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063BE1"/>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BE1"/>
    <w:rPr>
      <w:rFonts w:asciiTheme="majorHAnsi" w:eastAsiaTheme="majorEastAsia" w:hAnsiTheme="majorHAnsi" w:cstheme="majorBidi"/>
      <w:b/>
      <w:bCs/>
      <w:sz w:val="28"/>
      <w:szCs w:val="28"/>
      <w:lang w:bidi="en-US"/>
    </w:rPr>
  </w:style>
  <w:style w:type="character" w:customStyle="1" w:styleId="Heading2Char">
    <w:name w:val="Heading 2 Char"/>
    <w:basedOn w:val="DefaultParagraphFont"/>
    <w:link w:val="Heading2"/>
    <w:uiPriority w:val="9"/>
    <w:rsid w:val="00063BE1"/>
    <w:rPr>
      <w:rFonts w:asciiTheme="majorHAnsi" w:eastAsiaTheme="majorEastAsia" w:hAnsiTheme="majorHAnsi" w:cstheme="majorBidi"/>
      <w:b/>
      <w:bCs/>
      <w:sz w:val="26"/>
      <w:szCs w:val="26"/>
      <w:lang w:bidi="en-US"/>
    </w:rPr>
  </w:style>
  <w:style w:type="character" w:customStyle="1" w:styleId="Heading3Char">
    <w:name w:val="Heading 3 Char"/>
    <w:basedOn w:val="DefaultParagraphFont"/>
    <w:link w:val="Heading3"/>
    <w:uiPriority w:val="9"/>
    <w:rsid w:val="00063BE1"/>
    <w:rPr>
      <w:rFonts w:asciiTheme="majorHAnsi" w:eastAsiaTheme="majorEastAsia" w:hAnsiTheme="majorHAnsi" w:cstheme="majorBidi"/>
      <w:b/>
      <w:bCs/>
      <w:sz w:val="22"/>
      <w:szCs w:val="22"/>
      <w:lang w:bidi="en-US"/>
    </w:rPr>
  </w:style>
  <w:style w:type="character" w:customStyle="1" w:styleId="Heading4Char">
    <w:name w:val="Heading 4 Char"/>
    <w:basedOn w:val="DefaultParagraphFont"/>
    <w:link w:val="Heading4"/>
    <w:uiPriority w:val="9"/>
    <w:rsid w:val="00063BE1"/>
    <w:rPr>
      <w:rFonts w:asciiTheme="majorHAnsi" w:eastAsiaTheme="majorEastAsia" w:hAnsiTheme="majorHAnsi" w:cstheme="majorBidi"/>
      <w:b/>
      <w:bCs/>
      <w:i/>
      <w:iCs/>
      <w:sz w:val="22"/>
      <w:szCs w:val="22"/>
      <w:lang w:bidi="en-US"/>
    </w:rPr>
  </w:style>
  <w:style w:type="character" w:customStyle="1" w:styleId="Heading5Char">
    <w:name w:val="Heading 5 Char"/>
    <w:basedOn w:val="DefaultParagraphFont"/>
    <w:link w:val="Heading5"/>
    <w:uiPriority w:val="9"/>
    <w:rsid w:val="00063BE1"/>
    <w:rPr>
      <w:rFonts w:asciiTheme="majorHAnsi" w:eastAsiaTheme="majorEastAsia" w:hAnsiTheme="majorHAnsi" w:cstheme="majorBidi"/>
      <w:b/>
      <w:bCs/>
      <w:color w:val="7F7F7F" w:themeColor="text1" w:themeTint="80"/>
      <w:sz w:val="22"/>
      <w:szCs w:val="22"/>
      <w:lang w:bidi="en-US"/>
    </w:rPr>
  </w:style>
  <w:style w:type="character" w:customStyle="1" w:styleId="Heading6Char">
    <w:name w:val="Heading 6 Char"/>
    <w:basedOn w:val="DefaultParagraphFont"/>
    <w:link w:val="Heading6"/>
    <w:uiPriority w:val="9"/>
    <w:semiHidden/>
    <w:rsid w:val="00063BE1"/>
    <w:rPr>
      <w:rFonts w:asciiTheme="majorHAnsi" w:eastAsiaTheme="majorEastAsia" w:hAnsiTheme="majorHAnsi" w:cstheme="majorBidi"/>
      <w:b/>
      <w:bCs/>
      <w:i/>
      <w:iCs/>
      <w:color w:val="7F7F7F" w:themeColor="text1" w:themeTint="80"/>
      <w:sz w:val="22"/>
      <w:szCs w:val="22"/>
      <w:lang w:bidi="en-US"/>
    </w:rPr>
  </w:style>
  <w:style w:type="character" w:customStyle="1" w:styleId="Heading7Char">
    <w:name w:val="Heading 7 Char"/>
    <w:basedOn w:val="DefaultParagraphFont"/>
    <w:link w:val="Heading7"/>
    <w:uiPriority w:val="9"/>
    <w:semiHidden/>
    <w:rsid w:val="00063BE1"/>
    <w:rPr>
      <w:rFonts w:asciiTheme="majorHAnsi" w:eastAsiaTheme="majorEastAsia" w:hAnsiTheme="majorHAnsi" w:cstheme="majorBidi"/>
      <w:i/>
      <w:iCs/>
      <w:sz w:val="22"/>
      <w:szCs w:val="22"/>
      <w:lang w:bidi="en-US"/>
    </w:rPr>
  </w:style>
  <w:style w:type="character" w:customStyle="1" w:styleId="Heading8Char">
    <w:name w:val="Heading 8 Char"/>
    <w:basedOn w:val="DefaultParagraphFont"/>
    <w:link w:val="Heading8"/>
    <w:uiPriority w:val="9"/>
    <w:semiHidden/>
    <w:rsid w:val="00063BE1"/>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
    <w:semiHidden/>
    <w:rsid w:val="00063BE1"/>
    <w:rPr>
      <w:rFonts w:asciiTheme="majorHAnsi" w:eastAsiaTheme="majorEastAsia" w:hAnsiTheme="majorHAnsi" w:cstheme="majorBidi"/>
      <w:i/>
      <w:iCs/>
      <w:spacing w:val="5"/>
      <w:sz w:val="20"/>
      <w:szCs w:val="20"/>
      <w:lang w:bidi="en-US"/>
    </w:rPr>
  </w:style>
  <w:style w:type="table" w:styleId="TableGrid">
    <w:name w:val="Table Grid"/>
    <w:basedOn w:val="TableNormal"/>
    <w:uiPriority w:val="59"/>
    <w:rsid w:val="00063BE1"/>
    <w:pPr>
      <w:spacing w:after="200" w:line="276" w:lineRule="auto"/>
    </w:pPr>
    <w:rPr>
      <w:sz w:val="22"/>
      <w:szCs w:val="22"/>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E7FD9-9E2A-4ADE-B37B-DB6D5CDC2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63998</Words>
  <Characters>364795</Characters>
  <Application>Microsoft Office Word</Application>
  <DocSecurity>0</DocSecurity>
  <Lines>3039</Lines>
  <Paragraphs>855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Tawfique Joarder</dc:creator>
  <cp:keywords/>
  <dc:description/>
  <cp:lastModifiedBy>Taufique Joarder</cp:lastModifiedBy>
  <cp:revision>3</cp:revision>
  <dcterms:created xsi:type="dcterms:W3CDTF">2017-08-01T15:31:00Z</dcterms:created>
  <dcterms:modified xsi:type="dcterms:W3CDTF">2017-08-01T15:34:00Z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22990311-3c38-3ab3-b9f6-3b78b3b92672</vt:lpwstr>
  </property>
  <property fmtid="{D5CDD505-2E9C-101B-9397-08002B2CF9AE}" pid="24" name="Mendeley Citation Style_1">
    <vt:lpwstr>http://www.zotero.org/styles/apa</vt:lpwstr>
  </property>
</Properties>
</file>