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EE9" w:rsidRDefault="004A2EE9" w:rsidP="00634E77">
      <w:pPr>
        <w:spacing w:line="480" w:lineRule="auto"/>
        <w:jc w:val="center"/>
        <w:rPr>
          <w:rFonts w:cs="Times New Roman"/>
          <w:b/>
          <w:sz w:val="28"/>
          <w:szCs w:val="28"/>
        </w:rPr>
      </w:pPr>
      <w:bookmarkStart w:id="0" w:name="_GoBack"/>
      <w:bookmarkEnd w:id="0"/>
      <w:r>
        <w:rPr>
          <w:rFonts w:cs="Times New Roman"/>
          <w:b/>
          <w:sz w:val="28"/>
          <w:szCs w:val="28"/>
        </w:rPr>
        <w:t>Supplementary File</w:t>
      </w:r>
    </w:p>
    <w:p w:rsidR="00125F19" w:rsidRPr="001469DC" w:rsidRDefault="00A87E22" w:rsidP="00634E77">
      <w:pPr>
        <w:spacing w:line="480" w:lineRule="auto"/>
        <w:jc w:val="center"/>
        <w:rPr>
          <w:b/>
          <w:sz w:val="28"/>
        </w:rPr>
      </w:pPr>
      <w:r>
        <w:rPr>
          <w:rFonts w:cs="Times New Roman"/>
          <w:b/>
          <w:sz w:val="28"/>
          <w:szCs w:val="28"/>
        </w:rPr>
        <w:t>A</w:t>
      </w:r>
      <w:r w:rsidR="00A80CA1">
        <w:rPr>
          <w:rFonts w:cs="Times New Roman"/>
          <w:b/>
          <w:sz w:val="28"/>
          <w:szCs w:val="28"/>
        </w:rPr>
        <w:t>dditional file</w:t>
      </w:r>
      <w:r>
        <w:rPr>
          <w:rFonts w:cs="Times New Roman"/>
          <w:b/>
          <w:sz w:val="28"/>
          <w:szCs w:val="28"/>
        </w:rPr>
        <w:t xml:space="preserve"> 1</w:t>
      </w:r>
      <w:r w:rsidR="004A2EE9">
        <w:rPr>
          <w:rFonts w:cs="Times New Roman"/>
          <w:b/>
          <w:sz w:val="28"/>
          <w:szCs w:val="28"/>
        </w:rPr>
        <w:t xml:space="preserve">: </w:t>
      </w:r>
      <w:r w:rsidR="00136F89" w:rsidRPr="001469DC">
        <w:rPr>
          <w:b/>
          <w:sz w:val="28"/>
        </w:rPr>
        <w:t xml:space="preserve">Data input and resources used in the economic model </w:t>
      </w:r>
    </w:p>
    <w:p w:rsidR="00136F89" w:rsidRPr="00121945" w:rsidRDefault="00136F89" w:rsidP="001469DC">
      <w:pPr>
        <w:spacing w:line="480" w:lineRule="auto"/>
        <w:jc w:val="both"/>
        <w:rPr>
          <w:rFonts w:cs="Times New Roman"/>
          <w:sz w:val="22"/>
          <w:szCs w:val="24"/>
        </w:rPr>
      </w:pPr>
      <w:r w:rsidRPr="00121945">
        <w:rPr>
          <w:rFonts w:cs="Times New Roman"/>
          <w:sz w:val="22"/>
          <w:szCs w:val="24"/>
        </w:rPr>
        <w:t>We conducted a thorough search in the Medline database and grey literature for relevant data to populate the model. In all instances</w:t>
      </w:r>
      <w:r w:rsidR="00584C03" w:rsidRPr="00121945">
        <w:rPr>
          <w:rFonts w:cs="Times New Roman"/>
          <w:sz w:val="22"/>
          <w:szCs w:val="24"/>
        </w:rPr>
        <w:t>,</w:t>
      </w:r>
      <w:r w:rsidRPr="00121945">
        <w:rPr>
          <w:rFonts w:cs="Times New Roman"/>
          <w:sz w:val="22"/>
          <w:szCs w:val="24"/>
        </w:rPr>
        <w:t xml:space="preserve"> a basic search strategy was used with key words (and their combinations) such as advance care plan, advance directive, dementia, and Alzheimer’s disease. A manual search of the references of each identified article of interest was also completed for further information. Other sources of information included national epidemiological studies and costing reports. </w:t>
      </w:r>
      <w:r w:rsidR="002F4C79">
        <w:rPr>
          <w:rFonts w:cs="Times New Roman"/>
          <w:sz w:val="22"/>
          <w:szCs w:val="24"/>
        </w:rPr>
        <w:t xml:space="preserve">Summary of the </w:t>
      </w:r>
      <w:r w:rsidR="002F4C79" w:rsidRPr="002F4C79">
        <w:rPr>
          <w:rFonts w:cs="Times New Roman"/>
          <w:sz w:val="22"/>
          <w:szCs w:val="24"/>
        </w:rPr>
        <w:t xml:space="preserve">main data inputs are presented in Tables </w:t>
      </w:r>
      <w:r w:rsidR="00D436B3">
        <w:rPr>
          <w:rFonts w:cs="Times New Roman"/>
          <w:sz w:val="22"/>
          <w:szCs w:val="24"/>
        </w:rPr>
        <w:t>A</w:t>
      </w:r>
      <w:r w:rsidR="002F4C79" w:rsidRPr="002F4C79">
        <w:rPr>
          <w:rFonts w:cs="Times New Roman"/>
          <w:sz w:val="22"/>
          <w:szCs w:val="24"/>
        </w:rPr>
        <w:t xml:space="preserve">1 and </w:t>
      </w:r>
      <w:r w:rsidR="00D436B3">
        <w:rPr>
          <w:rFonts w:cs="Times New Roman"/>
          <w:sz w:val="22"/>
          <w:szCs w:val="24"/>
        </w:rPr>
        <w:t>A</w:t>
      </w:r>
      <w:r w:rsidR="002F4C79" w:rsidRPr="002F4C79">
        <w:rPr>
          <w:rFonts w:cs="Times New Roman"/>
          <w:sz w:val="22"/>
          <w:szCs w:val="24"/>
        </w:rPr>
        <w:t>2</w:t>
      </w:r>
      <w:r w:rsidR="002F4C79">
        <w:rPr>
          <w:rFonts w:cs="Times New Roman"/>
          <w:sz w:val="22"/>
          <w:szCs w:val="24"/>
        </w:rPr>
        <w:t xml:space="preserve">. </w:t>
      </w:r>
    </w:p>
    <w:p w:rsidR="005F5235" w:rsidRPr="00B7657E" w:rsidRDefault="005F5235" w:rsidP="001469DC">
      <w:pPr>
        <w:spacing w:line="480" w:lineRule="auto"/>
        <w:jc w:val="both"/>
        <w:rPr>
          <w:rFonts w:cs="Times New Roman"/>
          <w:b/>
          <w:szCs w:val="24"/>
        </w:rPr>
      </w:pPr>
      <w:r w:rsidRPr="00B7657E">
        <w:rPr>
          <w:rFonts w:cs="Times New Roman"/>
          <w:b/>
          <w:szCs w:val="24"/>
        </w:rPr>
        <w:t>Transition probabilities</w:t>
      </w:r>
    </w:p>
    <w:p w:rsidR="005F5235" w:rsidRPr="00121945" w:rsidRDefault="005F5235" w:rsidP="001469DC">
      <w:pPr>
        <w:spacing w:line="480" w:lineRule="auto"/>
        <w:jc w:val="both"/>
        <w:rPr>
          <w:rFonts w:cs="Times New Roman"/>
          <w:sz w:val="22"/>
          <w:szCs w:val="24"/>
        </w:rPr>
      </w:pPr>
      <w:r w:rsidRPr="00121945">
        <w:rPr>
          <w:rFonts w:cs="Times New Roman"/>
          <w:sz w:val="22"/>
          <w:szCs w:val="24"/>
        </w:rPr>
        <w:t xml:space="preserve">The probability of developing dementia was estimated from the prevalence and incidence rate of dementia reported in the literature. Several parametric models (quadratic, exponential and power) were examined and the best fit (power regression) was used as the base case. Other estimates </w:t>
      </w:r>
      <w:r w:rsidR="0083615C">
        <w:rPr>
          <w:rFonts w:cs="Times New Roman"/>
          <w:sz w:val="22"/>
          <w:szCs w:val="24"/>
        </w:rPr>
        <w:t xml:space="preserve">(quadratic and exponential) </w:t>
      </w:r>
      <w:r w:rsidRPr="00121945">
        <w:rPr>
          <w:rFonts w:cs="Times New Roman"/>
          <w:sz w:val="22"/>
          <w:szCs w:val="24"/>
        </w:rPr>
        <w:t>were used in the sensitivity analys</w:t>
      </w:r>
      <w:r w:rsidR="00584C03" w:rsidRPr="00121945">
        <w:rPr>
          <w:rFonts w:cs="Times New Roman"/>
          <w:sz w:val="22"/>
          <w:szCs w:val="24"/>
        </w:rPr>
        <w:t>es</w:t>
      </w:r>
      <w:r w:rsidRPr="00121945">
        <w:rPr>
          <w:rFonts w:cs="Times New Roman"/>
          <w:sz w:val="22"/>
          <w:szCs w:val="24"/>
        </w:rPr>
        <w:t xml:space="preserve">. </w:t>
      </w:r>
    </w:p>
    <w:p w:rsidR="00D451FA" w:rsidRPr="00B7657E" w:rsidRDefault="00D451FA" w:rsidP="001469DC">
      <w:pPr>
        <w:spacing w:line="480" w:lineRule="auto"/>
        <w:jc w:val="both"/>
        <w:rPr>
          <w:rFonts w:cs="Times New Roman"/>
          <w:b/>
          <w:i/>
          <w:sz w:val="22"/>
          <w:szCs w:val="24"/>
        </w:rPr>
      </w:pPr>
      <w:r w:rsidRPr="00B7657E">
        <w:rPr>
          <w:rFonts w:cs="Times New Roman"/>
          <w:b/>
          <w:i/>
          <w:sz w:val="22"/>
          <w:szCs w:val="24"/>
        </w:rPr>
        <w:t>Dementia progression</w:t>
      </w:r>
    </w:p>
    <w:p w:rsidR="005F5235" w:rsidRPr="00121945" w:rsidRDefault="005F5235" w:rsidP="001469DC">
      <w:pPr>
        <w:spacing w:line="480" w:lineRule="auto"/>
        <w:jc w:val="both"/>
        <w:rPr>
          <w:rFonts w:cs="Times New Roman"/>
          <w:sz w:val="22"/>
          <w:szCs w:val="24"/>
        </w:rPr>
      </w:pPr>
      <w:r w:rsidRPr="00121945">
        <w:rPr>
          <w:rFonts w:cs="Times New Roman"/>
          <w:sz w:val="22"/>
          <w:szCs w:val="24"/>
        </w:rPr>
        <w:t xml:space="preserve">There are numerous cost-effectiveness studies on treatments for dementia and Alzheimer’s disease </w:t>
      </w:r>
      <w:r w:rsidR="00FC1B7E" w:rsidRPr="00121945">
        <w:rPr>
          <w:rFonts w:cs="Times New Roman"/>
          <w:sz w:val="22"/>
          <w:szCs w:val="24"/>
        </w:rPr>
        <w:fldChar w:fldCharType="begin"/>
      </w:r>
      <w:r w:rsidR="004A2EE9">
        <w:rPr>
          <w:rFonts w:cs="Times New Roman"/>
          <w:sz w:val="22"/>
          <w:szCs w:val="24"/>
        </w:rPr>
        <w:instrText xml:space="preserve"> ADDIN ZOTERO_ITEM CSL_CITATION {"citationID":"t3IWBZVr","properties":{"formattedCitation":"{\\rtf [1]\\uc0\\u8211{}[3]}","plainCitation":"[1]–[3]"},"citationItems":[{"id":1253,"uris":["http://zotero.org/users/2597874/items/BW5FUHXU"],"uri":["http://zotero.org/users/2597874/items/BW5FUHXU"],"itemData":{"id":1253,"type":"article-journal","title":"Modelling the cost effectiveness of cholinesterase inhibitors in the management of mild to moderately severe Alzheimer’s disease","container-title":"Pharmacoeconomics","page":"1271–1282","volume":"23","issue":"12","source":"Google Scholar","author":[{"family":"Green","given":"Colin"},{"family":"Picot","given":"Joanna"},{"family":"Loveman","given":"Emma"},{"family":"Takeda","given":"Andrea"},{"family":"Kirby","given":"Jo"},{"family":"Clegg","given":"Andrew"}],"issued":{"date-parts":[["2005"]]}}},{"id":544,"uris":["http://zotero.org/users/2597874/items/AZ9TCHUG"],"uri":["http://zotero.org/users/2597874/items/AZ9TCHUG"],"itemData":{"id":544,"type":"article-journal","title":"Model-Based Economic Evaluation in Alzheimer's Disease: A Review of the Methods Available to Model Alzheimer's Disease Progression","container-title":"Value in Health","page":"621-630","volume":"14","issue":"5","source":"CrossRef","DOI":"10.1016/j.jval.2010.12.008","ISSN":"10983015","shortTitle":"Model-Based Economic Evaluation in Alzheimer's Disease","language":"en","author":[{"family":"Green","given":"Colin"},{"family":"Shearer","given":"James"},{"family":"Ritchie","given":"Craig W."},{"family":"Zajicek","given":"John P."}],"issued":{"date-parts":[["2011",7]]}}},{"id":1491,"uris":["http://zotero.org/users/2597874/items/NU2SH9EN"],"uri":["http://zotero.org/users/2597874/items/NU2SH9EN"],"itemData":{"id":1491,"type":"article-journal","title":"Health economic evaluation of treatments for Alzheimer′s disease: impact of new diagnostic criteria","container-title":"Journal of Internal Medicine","page":"304-316","volume":"275","issue":"3","source":"CrossRef","DOI":"10.1111/joim.12167","ISSN":"09546820","shortTitle":"Health economic evaluation of treatments for Alzheimer′s disease","language":"en","author":[{"family":"Wimo","given":"A."},{"family":"Ballard","given":"C."},{"family":"Brayne","given":"C."},{"family":"Gauthier","given":"S."},{"family":"Handels","given":"R."},{"family":"Jones","given":"R. W."},{"family":"Jonsson","given":"L."},{"family":"Khachaturian","given":"A. S."},{"family":"Kramberger","given":"M."}],"issued":{"date-parts":[["2014",3]]}}}],"schema":"https://github.com/citation-style-language/schema/raw/master/csl-citation.json"} </w:instrText>
      </w:r>
      <w:r w:rsidR="00FC1B7E" w:rsidRPr="00121945">
        <w:rPr>
          <w:rFonts w:cs="Times New Roman"/>
          <w:sz w:val="22"/>
          <w:szCs w:val="24"/>
        </w:rPr>
        <w:fldChar w:fldCharType="separate"/>
      </w:r>
      <w:r w:rsidR="004A2EE9" w:rsidRPr="004A2EE9">
        <w:rPr>
          <w:rFonts w:cs="Times New Roman"/>
          <w:sz w:val="22"/>
          <w:szCs w:val="24"/>
        </w:rPr>
        <w:t>[1]–[3]</w:t>
      </w:r>
      <w:r w:rsidR="00FC1B7E" w:rsidRPr="00121945">
        <w:rPr>
          <w:rFonts w:cs="Times New Roman"/>
          <w:sz w:val="22"/>
          <w:szCs w:val="24"/>
        </w:rPr>
        <w:fldChar w:fldCharType="end"/>
      </w:r>
      <w:r w:rsidRPr="00121945">
        <w:rPr>
          <w:rFonts w:cs="Times New Roman"/>
          <w:sz w:val="22"/>
          <w:szCs w:val="24"/>
        </w:rPr>
        <w:t xml:space="preserve">. The research on disease progression (from mild to moderate to severe) without </w:t>
      </w:r>
      <w:r w:rsidR="005E39F3">
        <w:rPr>
          <w:rFonts w:cs="Times New Roman"/>
          <w:sz w:val="22"/>
          <w:szCs w:val="24"/>
        </w:rPr>
        <w:t xml:space="preserve">a </w:t>
      </w:r>
      <w:r w:rsidRPr="00121945">
        <w:rPr>
          <w:rFonts w:cs="Times New Roman"/>
          <w:sz w:val="22"/>
          <w:szCs w:val="24"/>
        </w:rPr>
        <w:t xml:space="preserve">specific link to any treatment, on the other hand, is rare. The only relevant study identified was Neumann et al. </w:t>
      </w:r>
      <w:r w:rsidR="00230384" w:rsidRPr="00121945">
        <w:rPr>
          <w:rFonts w:cs="Times New Roman"/>
          <w:sz w:val="22"/>
          <w:szCs w:val="24"/>
        </w:rPr>
        <w:t>(</w:t>
      </w:r>
      <w:r w:rsidRPr="00121945">
        <w:rPr>
          <w:rFonts w:cs="Times New Roman"/>
          <w:sz w:val="22"/>
          <w:szCs w:val="24"/>
        </w:rPr>
        <w:t>2001</w:t>
      </w:r>
      <w:r w:rsidR="00230384" w:rsidRPr="00121945">
        <w:rPr>
          <w:rFonts w:cs="Times New Roman"/>
          <w:sz w:val="22"/>
          <w:szCs w:val="24"/>
        </w:rPr>
        <w:t>)</w:t>
      </w:r>
      <w:r w:rsidRPr="00121945">
        <w:rPr>
          <w:rFonts w:cs="Times New Roman"/>
          <w:sz w:val="22"/>
          <w:szCs w:val="24"/>
        </w:rPr>
        <w:t xml:space="preserve"> that estimated transition probabilities of Alzheimer’s disease progression using the data from the Consortium to Establish a Registry for Alzheimer’s Disease (CERAD) </w:t>
      </w:r>
      <w:r w:rsidR="00FC1B7E" w:rsidRPr="00121945">
        <w:rPr>
          <w:rFonts w:cs="Times New Roman"/>
          <w:sz w:val="22"/>
          <w:szCs w:val="24"/>
        </w:rPr>
        <w:fldChar w:fldCharType="begin"/>
      </w:r>
      <w:r w:rsidR="004A2EE9">
        <w:rPr>
          <w:rFonts w:cs="Times New Roman"/>
          <w:sz w:val="22"/>
          <w:szCs w:val="24"/>
        </w:rPr>
        <w:instrText xml:space="preserve"> ADDIN ZOTERO_ITEM CSL_CITATION {"citationID":"20ndb6k6b8","properties":{"formattedCitation":"[4]","plainCitation":"[4]"},"citationItems":[{"id":1309,"uris":["http://zotero.org/users/2597874/items/EPRBNZED"],"uri":["http://zotero.org/users/2597874/items/EPRBNZED"],"itemData":{"id":1309,"type":"article-journal","title":"Measuring Alzheimer’s disease progression with transition probabilities Estimates from CERAD","container-title":"Neurology","page":"957–964","volume":"57","issue":"6","source":"Google Scholar","author":[{"family":"Neumann","given":"P. J."},{"family":"Araki","given":"S. S."},{"family":"Arcelus","given":"A."},{"family":"Longo","given":"A."},{"family":"Papadopoulos","given":"G."},{"family":"Kosik","given":"KSet","dropping-particle":"al"},{"family":"Kuntz","given":"K. M."},{"family":"Bhattacharjya","given":"A."}],"issued":{"date-parts":[["2001"]]}}}],"schema":"https://github.com/citation-style-language/schema/raw/master/csl-citation.json"} </w:instrText>
      </w:r>
      <w:r w:rsidR="00FC1B7E" w:rsidRPr="00121945">
        <w:rPr>
          <w:rFonts w:cs="Times New Roman"/>
          <w:sz w:val="22"/>
          <w:szCs w:val="24"/>
        </w:rPr>
        <w:fldChar w:fldCharType="separate"/>
      </w:r>
      <w:r w:rsidR="00136F89" w:rsidRPr="00121945">
        <w:rPr>
          <w:rFonts w:cs="Times New Roman"/>
          <w:sz w:val="22"/>
          <w:szCs w:val="24"/>
        </w:rPr>
        <w:t>[4]</w:t>
      </w:r>
      <w:r w:rsidR="00FC1B7E" w:rsidRPr="00121945">
        <w:rPr>
          <w:rFonts w:cs="Times New Roman"/>
          <w:sz w:val="22"/>
          <w:szCs w:val="24"/>
        </w:rPr>
        <w:fldChar w:fldCharType="end"/>
      </w:r>
      <w:r w:rsidRPr="00121945">
        <w:rPr>
          <w:rFonts w:cs="Times New Roman"/>
          <w:sz w:val="22"/>
          <w:szCs w:val="24"/>
        </w:rPr>
        <w:t xml:space="preserve">. CERAD is a longitudinal database of 1,145 patients with dementia at different severity stages who </w:t>
      </w:r>
      <w:r w:rsidR="005E39F3">
        <w:rPr>
          <w:rFonts w:cs="Times New Roman"/>
          <w:sz w:val="22"/>
          <w:szCs w:val="24"/>
        </w:rPr>
        <w:t>were</w:t>
      </w:r>
      <w:r w:rsidR="005E39F3" w:rsidRPr="00121945">
        <w:rPr>
          <w:rFonts w:cs="Times New Roman"/>
          <w:sz w:val="22"/>
          <w:szCs w:val="24"/>
        </w:rPr>
        <w:t xml:space="preserve"> </w:t>
      </w:r>
      <w:r w:rsidRPr="00121945">
        <w:rPr>
          <w:rFonts w:cs="Times New Roman"/>
          <w:sz w:val="22"/>
          <w:szCs w:val="24"/>
        </w:rPr>
        <w:t>examined annually by clinicians in 22 major medical centres in the United States between 1986 and 1995. This study accounted for age and gender differences, which were identified as import</w:t>
      </w:r>
      <w:r w:rsidR="00404D51" w:rsidRPr="00121945">
        <w:rPr>
          <w:rFonts w:cs="Times New Roman"/>
          <w:sz w:val="22"/>
          <w:szCs w:val="24"/>
        </w:rPr>
        <w:t>ant determinant</w:t>
      </w:r>
      <w:r w:rsidR="00584C03" w:rsidRPr="00121945">
        <w:rPr>
          <w:rFonts w:cs="Times New Roman"/>
          <w:sz w:val="22"/>
          <w:szCs w:val="24"/>
        </w:rPr>
        <w:t>s</w:t>
      </w:r>
      <w:r w:rsidR="00404D51" w:rsidRPr="00121945">
        <w:rPr>
          <w:rFonts w:cs="Times New Roman"/>
          <w:sz w:val="22"/>
          <w:szCs w:val="24"/>
        </w:rPr>
        <w:t xml:space="preserve"> of Alzheimer’s d</w:t>
      </w:r>
      <w:r w:rsidRPr="00121945">
        <w:rPr>
          <w:rFonts w:cs="Times New Roman"/>
          <w:sz w:val="22"/>
          <w:szCs w:val="24"/>
        </w:rPr>
        <w:t xml:space="preserve">isease. Additionally, disease severity was defined more broadly, using the Clinical Dementia Rating instrument. Because of its large and diverse patient population and reliable annual assessment, CERAD was considered the most appropriate source for the estimation of transition </w:t>
      </w:r>
      <w:r w:rsidRPr="00121945">
        <w:rPr>
          <w:rFonts w:cs="Times New Roman"/>
          <w:sz w:val="22"/>
          <w:szCs w:val="24"/>
        </w:rPr>
        <w:lastRenderedPageBreak/>
        <w:t xml:space="preserve">probabilities. Since </w:t>
      </w:r>
      <w:r w:rsidR="00404D51" w:rsidRPr="00121945">
        <w:rPr>
          <w:rFonts w:cs="Times New Roman"/>
          <w:sz w:val="22"/>
          <w:szCs w:val="24"/>
        </w:rPr>
        <w:t>Alzheimer’s disease</w:t>
      </w:r>
      <w:r w:rsidRPr="00121945">
        <w:rPr>
          <w:rFonts w:cs="Times New Roman"/>
          <w:sz w:val="22"/>
          <w:szCs w:val="24"/>
        </w:rPr>
        <w:t xml:space="preserve"> accounts for more than 80% of patients with dementia, these estimates were used to reflect the disease transition in the model. </w:t>
      </w:r>
    </w:p>
    <w:p w:rsidR="00D451FA" w:rsidRPr="00B7657E" w:rsidRDefault="00D451FA" w:rsidP="00B7657E">
      <w:pPr>
        <w:spacing w:line="480" w:lineRule="auto"/>
        <w:jc w:val="both"/>
        <w:rPr>
          <w:rFonts w:cs="Times New Roman"/>
          <w:b/>
          <w:i/>
          <w:sz w:val="22"/>
          <w:szCs w:val="24"/>
        </w:rPr>
      </w:pPr>
      <w:r w:rsidRPr="00B7657E">
        <w:rPr>
          <w:rFonts w:cs="Times New Roman"/>
          <w:b/>
          <w:i/>
          <w:sz w:val="22"/>
          <w:szCs w:val="24"/>
        </w:rPr>
        <w:t xml:space="preserve">Coverage of advance care planning </w:t>
      </w:r>
    </w:p>
    <w:p w:rsidR="005F5235" w:rsidRPr="00121945" w:rsidRDefault="005F5235" w:rsidP="001469DC">
      <w:pPr>
        <w:keepNext/>
        <w:keepLines/>
        <w:spacing w:line="480" w:lineRule="auto"/>
        <w:jc w:val="both"/>
        <w:rPr>
          <w:rFonts w:cs="Times New Roman"/>
          <w:sz w:val="22"/>
          <w:szCs w:val="24"/>
        </w:rPr>
      </w:pPr>
      <w:r w:rsidRPr="00121945">
        <w:rPr>
          <w:rFonts w:cs="Times New Roman"/>
          <w:sz w:val="22"/>
          <w:szCs w:val="24"/>
        </w:rPr>
        <w:t>The probabilit</w:t>
      </w:r>
      <w:r w:rsidR="00584C03" w:rsidRPr="00121945">
        <w:rPr>
          <w:rFonts w:cs="Times New Roman"/>
          <w:sz w:val="22"/>
          <w:szCs w:val="24"/>
        </w:rPr>
        <w:t>ies</w:t>
      </w:r>
      <w:r w:rsidRPr="00121945">
        <w:rPr>
          <w:rFonts w:cs="Times New Roman"/>
          <w:sz w:val="22"/>
          <w:szCs w:val="24"/>
        </w:rPr>
        <w:t xml:space="preserve"> of people aged </w:t>
      </w:r>
      <w:r w:rsidR="00584C03" w:rsidRPr="00121945">
        <w:rPr>
          <w:rFonts w:cs="Times New Roman"/>
          <w:sz w:val="22"/>
          <w:szCs w:val="24"/>
        </w:rPr>
        <w:t xml:space="preserve">over </w:t>
      </w:r>
      <w:r w:rsidRPr="00121945">
        <w:rPr>
          <w:rFonts w:cs="Times New Roman"/>
          <w:sz w:val="22"/>
          <w:szCs w:val="24"/>
        </w:rPr>
        <w:t>65</w:t>
      </w:r>
      <w:r w:rsidR="00B7657E">
        <w:rPr>
          <w:rFonts w:cs="Times New Roman"/>
          <w:sz w:val="22"/>
          <w:szCs w:val="24"/>
        </w:rPr>
        <w:t>+</w:t>
      </w:r>
      <w:r w:rsidRPr="00121945">
        <w:rPr>
          <w:rFonts w:cs="Times New Roman"/>
          <w:sz w:val="22"/>
          <w:szCs w:val="24"/>
        </w:rPr>
        <w:t xml:space="preserve"> years having participated in </w:t>
      </w:r>
      <w:r w:rsidR="00200077" w:rsidRPr="00121945">
        <w:rPr>
          <w:rFonts w:cs="Times New Roman"/>
          <w:sz w:val="22"/>
          <w:szCs w:val="24"/>
        </w:rPr>
        <w:t>advance care planning (</w:t>
      </w:r>
      <w:r w:rsidRPr="00121945">
        <w:rPr>
          <w:rFonts w:cs="Times New Roman"/>
          <w:sz w:val="22"/>
          <w:szCs w:val="24"/>
        </w:rPr>
        <w:t>ACP</w:t>
      </w:r>
      <w:r w:rsidR="00200077" w:rsidRPr="00121945">
        <w:rPr>
          <w:rFonts w:cs="Times New Roman"/>
          <w:sz w:val="22"/>
          <w:szCs w:val="24"/>
        </w:rPr>
        <w:t>)</w:t>
      </w:r>
      <w:r w:rsidRPr="00121945">
        <w:rPr>
          <w:rFonts w:cs="Times New Roman"/>
          <w:sz w:val="22"/>
          <w:szCs w:val="24"/>
        </w:rPr>
        <w:t xml:space="preserve"> were sourced from Detering et al. </w:t>
      </w:r>
      <w:r w:rsidR="00404D51" w:rsidRPr="00121945">
        <w:rPr>
          <w:rFonts w:cs="Times New Roman"/>
          <w:sz w:val="22"/>
          <w:szCs w:val="24"/>
        </w:rPr>
        <w:t>(</w:t>
      </w:r>
      <w:r w:rsidRPr="00121945">
        <w:rPr>
          <w:rFonts w:cs="Times New Roman"/>
          <w:sz w:val="22"/>
          <w:szCs w:val="24"/>
        </w:rPr>
        <w:t>2010</w:t>
      </w:r>
      <w:r w:rsidR="00404D51" w:rsidRPr="00121945">
        <w:rPr>
          <w:rFonts w:cs="Times New Roman"/>
          <w:sz w:val="22"/>
          <w:szCs w:val="24"/>
        </w:rPr>
        <w:t>)</w:t>
      </w:r>
      <w:r w:rsidRPr="00121945">
        <w:rPr>
          <w:rFonts w:cs="Times New Roman"/>
          <w:sz w:val="22"/>
          <w:szCs w:val="24"/>
        </w:rPr>
        <w:t xml:space="preserve">, which is a randomised controlled trial studying the impact of ACP on </w:t>
      </w:r>
      <w:r w:rsidR="00584C03" w:rsidRPr="00121945">
        <w:rPr>
          <w:rFonts w:cs="Times New Roman"/>
          <w:sz w:val="22"/>
          <w:szCs w:val="24"/>
        </w:rPr>
        <w:t xml:space="preserve">end-of-life </w:t>
      </w:r>
      <w:r w:rsidRPr="00121945">
        <w:rPr>
          <w:rFonts w:cs="Times New Roman"/>
          <w:sz w:val="22"/>
          <w:szCs w:val="24"/>
        </w:rPr>
        <w:t xml:space="preserve">care </w:t>
      </w:r>
      <w:r w:rsidR="00FC1B7E" w:rsidRPr="00121945">
        <w:rPr>
          <w:rFonts w:cs="Times New Roman"/>
          <w:sz w:val="22"/>
          <w:szCs w:val="24"/>
        </w:rPr>
        <w:fldChar w:fldCharType="begin"/>
      </w:r>
      <w:r w:rsidR="00136F89" w:rsidRPr="00121945">
        <w:rPr>
          <w:rFonts w:cs="Times New Roman"/>
          <w:sz w:val="22"/>
          <w:szCs w:val="24"/>
        </w:rPr>
        <w:instrText xml:space="preserve"> ADDIN ZOTERO_ITEM CSL_CITATION {"citationID":"1b8sk10ge8","properties":{"formattedCitation":"[5]","plainCitation":"[5]"},"citationItems":[{"id":"Lg5krKPS/oga102K6","uris":["http://www.mendeley.com/documents/?uuid=d4c90700-6984-40a1-8a27-02af2879b31b"],"uri":["http://www.mendeley.com/documents/?uuid=d4c90700-6984-40a1-8a27-02af2879b31b"],"itemData":{"DOI":"10.1136/bmj.c1345","ISBN":"1756-1833 (Electronic)\\n0959-535X (Linking)","ISSN":"1756-1833","PMID":"20332506","abstract":"OBJECTIVE: To investigate the impact of advance care planning on end of life care in elderly patients. DESIGN: Prospective randomised controlled trial. SETTING: Single centre study in a university hospital in Melbourne, Australia. PARTICIPANTS: 309 legally competent medical inpatients aged 80 or more and followed for six months or until death. INTERVENTIONS: Participants were randomised to receive usual care or usual care plus facilitated advance care planning. Advance care planning aimed to assist patients to reflect on their goals, values, and beliefs; to consider future medical treatment preferences; to appoint a surrogate; and to document their wishes. MAIN OUTCOME MEASURES: The primary outcome was whether a patient's end of life wishes were known and respected. Other outcomes included patient and family satisfaction with hospital stay and levels of stress, anxiety, and depression in relatives of patients who died. RESULTS: 154 of the 309 patients were randomised to advance care planning, 125 (81%) received advance care planning, and 108 (84%) expressed wishes or appointed a surrogate, or both. Of the 56 patients who died by six months, end of life wishes were much more likely to be known and followed in the intervention group (25/29, 86%) compared with the control group (8/27, 30%; P&lt;0.001). In the intervention group, family members of patients who died had significantly less stress (intervention 5, control 15; P&lt;0.001), anxiety (intervention 0, control 3; P=0.02), and depression (intervention 0, control 5; P=0.002) than those of the control patients. Patient and family satisfaction was higher in the intervention group. CONCLUSIONS: Advance care planning improves end of life care and patient and family satisfaction and reduces stress, anxiety, and depression in surviving relatives. Trial registration Australian New Zealand clinical trials registry ACTRN12608000539336.","author":[{"dropping-particle":"","family":"Detering","given":"Karen M","non-dropping-particle":"","parse-names":false,"suffix":""},{"dropping-particle":"","family":"Hancock","given":"Andrew D","non-dropping-particle":"","parse-names":false,"suffix":""},{"dropping-particle":"","family":"Reade","given":"Michael C","non-dropping-particle":"","parse-names":false,"suffix":""},{"dropping-particle":"","family":"Silvester","given":"William","non-dropping-particle":"","parse-names":false,"suffix":""}],"container-title":"BMJ (Clinical research ed.)","id":"Lg5krKPS/oga102K6","issued":{"year":2010},"page":"c1345","title":"The impact of advance care planning on end of life care in elderly patients: randomised controlled trial.","type":"article-journal","volume":"340","page-first":"c1345","container-title-short":"BMJ"}}],"schema":"https://github.com/citation-style-language/schema/raw/master/csl-citation.json"} </w:instrText>
      </w:r>
      <w:r w:rsidR="00FC1B7E" w:rsidRPr="00121945">
        <w:rPr>
          <w:rFonts w:cs="Times New Roman"/>
          <w:sz w:val="22"/>
          <w:szCs w:val="24"/>
        </w:rPr>
        <w:fldChar w:fldCharType="separate"/>
      </w:r>
      <w:r w:rsidR="00136F89" w:rsidRPr="00121945">
        <w:rPr>
          <w:rFonts w:cs="Times New Roman"/>
          <w:sz w:val="22"/>
          <w:szCs w:val="24"/>
        </w:rPr>
        <w:t>[5]</w:t>
      </w:r>
      <w:r w:rsidR="00FC1B7E" w:rsidRPr="00121945">
        <w:rPr>
          <w:rFonts w:cs="Times New Roman"/>
          <w:sz w:val="22"/>
          <w:szCs w:val="24"/>
        </w:rPr>
        <w:fldChar w:fldCharType="end"/>
      </w:r>
      <w:r w:rsidRPr="00121945">
        <w:rPr>
          <w:rFonts w:cs="Times New Roman"/>
          <w:sz w:val="22"/>
          <w:szCs w:val="24"/>
        </w:rPr>
        <w:t xml:space="preserve">. In this study, </w:t>
      </w:r>
      <w:r w:rsidRPr="00121945">
        <w:rPr>
          <w:rFonts w:cs="Times New Roman"/>
          <w:sz w:val="22"/>
          <w:szCs w:val="24"/>
          <w:lang w:val="vi-VN"/>
        </w:rPr>
        <w:t xml:space="preserve">15% </w:t>
      </w:r>
      <w:r w:rsidRPr="00121945">
        <w:rPr>
          <w:rFonts w:cs="Times New Roman"/>
          <w:sz w:val="22"/>
          <w:szCs w:val="24"/>
        </w:rPr>
        <w:t xml:space="preserve">of the control group had an </w:t>
      </w:r>
      <w:r w:rsidR="00584C03" w:rsidRPr="00121945">
        <w:rPr>
          <w:rFonts w:cs="Times New Roman"/>
          <w:sz w:val="22"/>
          <w:szCs w:val="24"/>
        </w:rPr>
        <w:t>advance care plan</w:t>
      </w:r>
      <w:r w:rsidRPr="00121945">
        <w:rPr>
          <w:rFonts w:cs="Times New Roman"/>
          <w:sz w:val="22"/>
          <w:szCs w:val="24"/>
        </w:rPr>
        <w:t>. This figure is consistent with a study from South Australia that report</w:t>
      </w:r>
      <w:r w:rsidR="00584C03" w:rsidRPr="00121945">
        <w:rPr>
          <w:rFonts w:cs="Times New Roman"/>
          <w:sz w:val="22"/>
          <w:szCs w:val="24"/>
        </w:rPr>
        <w:t>ed</w:t>
      </w:r>
      <w:r w:rsidRPr="00121945">
        <w:rPr>
          <w:rFonts w:cs="Times New Roman"/>
          <w:sz w:val="22"/>
          <w:szCs w:val="24"/>
        </w:rPr>
        <w:t xml:space="preserve"> an ACP prevalence of 14%</w:t>
      </w:r>
      <w:r w:rsidR="009850F9" w:rsidRPr="00121945">
        <w:rPr>
          <w:rFonts w:cs="Times New Roman"/>
          <w:sz w:val="22"/>
          <w:szCs w:val="24"/>
        </w:rPr>
        <w:t xml:space="preserve"> </w:t>
      </w:r>
      <w:r w:rsidR="00FC1B7E" w:rsidRPr="00121945">
        <w:rPr>
          <w:rFonts w:cs="Times New Roman"/>
          <w:sz w:val="22"/>
          <w:szCs w:val="24"/>
        </w:rPr>
        <w:fldChar w:fldCharType="begin"/>
      </w:r>
      <w:r w:rsidR="009850F9" w:rsidRPr="00121945">
        <w:rPr>
          <w:rFonts w:cs="Times New Roman"/>
          <w:sz w:val="22"/>
          <w:szCs w:val="24"/>
        </w:rPr>
        <w:instrText xml:space="preserve"> ADDIN ZOTERO_ITEM CSL_CITATION {"citationID":"1qhd5j467v","properties":{"formattedCitation":"[6]","plainCitation":"[6]"},"citationItems":[{"id":"4LgiYiAD/5HmBuEes","uris":["http://www.mendeley.com/documents/?uuid=c831d9de-74a5-4405-90fd-1ad7664d7f57"],"uri":["http://www.mendeley.com/documents/?uuid=c831d9de-74a5-4405-90fd-1ad7664d7f57"],"itemData":{"DOI":"10.1111/imj.12549","ISSN":"14440903","author":[{"dropping-particle":"","family":"White","given":"B.","non-dropping-particle":"","parse-names":false,"suffix":""},{"dropping-particle":"","family":"Tilse","given":"C.","non-dropping-particle":"","parse-names":false,"suffix":""},{"dropping-particle":"","family":"Wilson","given":"J.","non-dropping-particle":"","parse-names":false,"suffix":""},{"dropping-particle":"","family":"Rosenman","given":"L.","non-dropping-particle":"","parse-names":false,"suffix":""},{"dropping-particle":"","family":"Strub","given":"T.","non-dropping-particle":"","parse-names":false,"suffix":""},{"dropping-particle":"","family":"Feeney","given":"R.","non-dropping-particle":"","parse-names":false,"suffix":""},{"dropping-particle":"","family":"Silvester","given":"W.","non-dropping-particle":"","parse-names":false,"suffix":""}],"container-title":"Internal Medicine Journal","id":"4LgiYiAD/5HmBuEes","issue":"10","issued":{"year":2014},"page":"975-980","title":"Prevalence and predictors of advance directives in Australia","type":"article-journal","volume":"44","page-first":"975","container-title-short":"Intern. Med. J."}}],"schema":"https://github.com/citation-style-language/schema/raw/master/csl-citation.json"} </w:instrText>
      </w:r>
      <w:r w:rsidR="00FC1B7E" w:rsidRPr="00121945">
        <w:rPr>
          <w:rFonts w:cs="Times New Roman"/>
          <w:sz w:val="22"/>
          <w:szCs w:val="24"/>
        </w:rPr>
        <w:fldChar w:fldCharType="separate"/>
      </w:r>
      <w:r w:rsidR="009850F9" w:rsidRPr="00121945">
        <w:rPr>
          <w:rFonts w:cs="Times New Roman"/>
          <w:sz w:val="22"/>
          <w:szCs w:val="24"/>
        </w:rPr>
        <w:t>[6]</w:t>
      </w:r>
      <w:r w:rsidR="00FC1B7E" w:rsidRPr="00121945">
        <w:rPr>
          <w:rFonts w:cs="Times New Roman"/>
          <w:sz w:val="22"/>
          <w:szCs w:val="24"/>
        </w:rPr>
        <w:fldChar w:fldCharType="end"/>
      </w:r>
      <w:r w:rsidRPr="00121945">
        <w:rPr>
          <w:rFonts w:cs="Times New Roman"/>
          <w:sz w:val="22"/>
          <w:szCs w:val="24"/>
        </w:rPr>
        <w:t>, and slightly higher than the estimate from a large survey (N=3,055) where the coverage of medical-related advance directive</w:t>
      </w:r>
      <w:r w:rsidR="00A77244">
        <w:rPr>
          <w:rFonts w:cs="Times New Roman"/>
          <w:sz w:val="22"/>
          <w:szCs w:val="24"/>
        </w:rPr>
        <w:t>s</w:t>
      </w:r>
      <w:r w:rsidRPr="00121945">
        <w:rPr>
          <w:rFonts w:cs="Times New Roman"/>
          <w:sz w:val="22"/>
          <w:szCs w:val="24"/>
        </w:rPr>
        <w:t xml:space="preserve"> was below 13% </w:t>
      </w:r>
      <w:r w:rsidR="00FC1B7E" w:rsidRPr="00121945">
        <w:rPr>
          <w:rFonts w:cs="Times New Roman"/>
          <w:sz w:val="22"/>
          <w:szCs w:val="24"/>
        </w:rPr>
        <w:fldChar w:fldCharType="begin" w:fldLock="1"/>
      </w:r>
      <w:r w:rsidR="009850F9" w:rsidRPr="00121945">
        <w:rPr>
          <w:rFonts w:cs="Times New Roman"/>
          <w:sz w:val="22"/>
          <w:szCs w:val="24"/>
        </w:rPr>
        <w:instrText xml:space="preserve"> ADDIN ZOTERO_ITEM CSL_CITATION {"citationID":"oUwLRTzD","properties":{"formattedCitation":"[7]","plainCitation":"[7]"},"citationItems":[{"id":"ITEM-1","uris":["http://www.mendeley.com/documents/?uuid=a6320d08-058f-42c8-9af7-beea45b833a5"],"uri":["http://www.mendeley.com/documents/?uuid=a6320d08-058f-42c8-9af7-beea45b833a5"],"itemData":{"DOI":"10.5694/mja13.00175","ISSN":"0025729X","author":[{"dropping-particle":"","family":"Bradley","given":"Sandra L","non-dropping-particle":"","parse-names":false,"suffix":""},{"dropping-particle":"","family":"Woodman","given":"Richard J","non-dropping-particle":"","parse-names":false,"suffix":""},{"dropping-particle":"","family":"Tieman","given":"Jennifer J","non-dropping-particle":"","parse-names":false,"suffix":""},{"dropping-particle":"","family":"Phillips","given":"Paddy a","non-dropping-particle":"","parse-names":false,"suffix":""}],"container-title":"The Medical Journal of Australia","id":"ITEM-1","issue":"8","issued":{"date-parts":[["2014"]]},"page":"467-469","title":"Use of advance directives by South Australians: results from the Health Omnibus Survey Spring 2012","type":"article-journal","volume":"201"}}],"schema":"https://github.com/citation-style-language/schema/raw/master/csl-citation.json"} </w:instrText>
      </w:r>
      <w:r w:rsidR="00FC1B7E" w:rsidRPr="00121945">
        <w:rPr>
          <w:rFonts w:cs="Times New Roman"/>
          <w:sz w:val="22"/>
          <w:szCs w:val="24"/>
        </w:rPr>
        <w:fldChar w:fldCharType="separate"/>
      </w:r>
      <w:r w:rsidR="009850F9" w:rsidRPr="00121945">
        <w:rPr>
          <w:rFonts w:cs="Times New Roman"/>
          <w:sz w:val="22"/>
          <w:szCs w:val="24"/>
        </w:rPr>
        <w:t>[7]</w:t>
      </w:r>
      <w:r w:rsidR="00FC1B7E" w:rsidRPr="00121945">
        <w:rPr>
          <w:rFonts w:cs="Times New Roman"/>
          <w:sz w:val="22"/>
          <w:szCs w:val="24"/>
        </w:rPr>
        <w:fldChar w:fldCharType="end"/>
      </w:r>
      <w:r w:rsidRPr="00121945">
        <w:rPr>
          <w:rFonts w:cs="Times New Roman"/>
          <w:sz w:val="22"/>
          <w:szCs w:val="24"/>
        </w:rPr>
        <w:t xml:space="preserve">. </w:t>
      </w:r>
    </w:p>
    <w:p w:rsidR="005F5235" w:rsidRPr="00121945" w:rsidRDefault="005F5235" w:rsidP="001469DC">
      <w:pPr>
        <w:spacing w:line="480" w:lineRule="auto"/>
        <w:jc w:val="both"/>
        <w:rPr>
          <w:rFonts w:cs="Times New Roman"/>
          <w:sz w:val="22"/>
          <w:szCs w:val="24"/>
        </w:rPr>
      </w:pPr>
      <w:r w:rsidRPr="00121945">
        <w:rPr>
          <w:rFonts w:cs="Times New Roman"/>
          <w:sz w:val="22"/>
          <w:szCs w:val="24"/>
        </w:rPr>
        <w:t xml:space="preserve">The uptake rate if an ACP program is implemented is unknown. A meta-analysis </w:t>
      </w:r>
      <w:r w:rsidR="00FC1B7E" w:rsidRPr="00121945">
        <w:rPr>
          <w:rFonts w:cs="Times New Roman"/>
          <w:sz w:val="22"/>
          <w:szCs w:val="24"/>
        </w:rPr>
        <w:fldChar w:fldCharType="begin" w:fldLock="1"/>
      </w:r>
      <w:r w:rsidR="009850F9" w:rsidRPr="00121945">
        <w:rPr>
          <w:rFonts w:cs="Times New Roman"/>
          <w:sz w:val="22"/>
          <w:szCs w:val="24"/>
        </w:rPr>
        <w:instrText xml:space="preserve"> ADDIN ZOTERO_ITEM CSL_CITATION {"citationID":"2uakMKaX","properties":{"formattedCitation":"[8]","plainCitation":"[8]"},"citationItems":[{"id":"ITEM-1","uris":["http://www.mendeley.com/documents/?uuid=7bbcddf1-b23f-4d46-9187-4a51dc7a94c2"],"uri":["http://www.mendeley.com/documents/?uuid=7bbcddf1-b23f-4d46-9187-4a51dc7a94c2"],"itemData":{"DOI":"10.1016/j.jamda.2014.01.008","ISBN":"1538-9375 (Electronic)\r1525-8610 (Linking)","ISSN":"15389375","PMID":"24598477","abstract":"Objective: To systematically review the efficacy of advance care planning (ACP) interventions in different adult patient populations. Design: Systematic review and meta-analyses. Data Sources: Medline/PubMed, Cochrane Central Register of Controlled Trials (1966 to September 2013), and reference lists. Study Selection: Randomized controlled trials that describe original data on the efficacy of ACP interventions in adult populations and were written in English. Data Extraction and Synthesis: Fifty-five studies were identified. Study details were recorded using a predefined data abstraction form. Methodological quality was assessed using the PEDro scale by 2 independent reviewers. Meta-analytic techniques were conducted using a random effects model. Analyses were stratified for type of intervention: 'advance directives' and 'communication.'. Main Outcomes and Measures: Primary outcome measures were completion of advance directives and occurrence of end-of-life discussions. Secondary outcomes were concordance between preferences for care and delivered care, knowledge of ACP, end-of-life care preferences, quality of communication, satisfaction with healthcare, decisional conflict, use of healthcare services, and symptoms. Results: Interventions focusing on advance directives as well as interventions that also included communication about end-of-life care increased the completion of advance directives and the occurrence of end-of-life care discussions between patients and healthcare professionals. In addition, interventions that also included communication about ACP, improved concordance between preferences for care and delivered care and may improve other outcomes, such as quality of communication. Conclusions: ACP interventions increase the completion of advance directives, occurrence of discussions about ACP, concordance between preferences for care and delivered care, and are likely to improve other outcomes for patients and their loved ones in different adult populations. Future studies are necessary to reveal the effective elements of ACP and should focus on the best way to implement structured ACP in standard care. © 2014 AMDA - The Society for Post-Acute and Long-Term Care Medicine.","author":[{"dropping-particle":"","family":"Houben","given":"Carmen H M","non-dropping-particle":"","parse-names":false,"suffix":""},{"dropping-particle":"","family":"Spruit","given":"Martijn a.","non-dropping-particle":"","parse-names":false,"suffix":""},{"dropping-particle":"","family":"Groenen","given":"Miriam T J","non-dropping-particle":"","parse-names":false,"suffix":""},{"dropping-particle":"","family":"Wouters","given":"Emiel F M","non-dropping-particle":"","parse-names":false,"suffix":""},{"dropping-particle":"","family":"Janssen","given":"Daisy J a","non-dropping-particle":"","parse-names":false,"suffix":""}],"container-title":"Journal of the American Medical Directors Association","id":"ITEM-1","issue":"7","issued":{"date-parts":[["2014"]]},"page":"477-489","publisher":"Elsevier Ltd","title":"Efficacy of advance care planning: A systematic review and meta-analysis","type":"article-journal","volume":"15"}}],"schema":"https://github.com/citation-style-language/schema/raw/master/csl-citation.json"} </w:instrText>
      </w:r>
      <w:r w:rsidR="00FC1B7E" w:rsidRPr="00121945">
        <w:rPr>
          <w:rFonts w:cs="Times New Roman"/>
          <w:sz w:val="22"/>
          <w:szCs w:val="24"/>
        </w:rPr>
        <w:fldChar w:fldCharType="separate"/>
      </w:r>
      <w:r w:rsidR="009850F9" w:rsidRPr="00121945">
        <w:rPr>
          <w:rFonts w:cs="Times New Roman"/>
          <w:sz w:val="22"/>
          <w:szCs w:val="24"/>
        </w:rPr>
        <w:t>[8]</w:t>
      </w:r>
      <w:r w:rsidR="00FC1B7E" w:rsidRPr="00121945">
        <w:rPr>
          <w:rFonts w:cs="Times New Roman"/>
          <w:sz w:val="22"/>
          <w:szCs w:val="24"/>
        </w:rPr>
        <w:fldChar w:fldCharType="end"/>
      </w:r>
      <w:r w:rsidRPr="00121945">
        <w:rPr>
          <w:rFonts w:cs="Times New Roman"/>
          <w:sz w:val="22"/>
          <w:szCs w:val="24"/>
        </w:rPr>
        <w:t xml:space="preserve"> showed an increased likelihood of completing </w:t>
      </w:r>
      <w:r w:rsidR="00584C03" w:rsidRPr="00121945">
        <w:rPr>
          <w:rFonts w:cs="Times New Roman"/>
          <w:sz w:val="22"/>
          <w:szCs w:val="24"/>
        </w:rPr>
        <w:t xml:space="preserve">advance care plans </w:t>
      </w:r>
      <w:r w:rsidRPr="00121945">
        <w:rPr>
          <w:rFonts w:cs="Times New Roman"/>
          <w:sz w:val="22"/>
          <w:szCs w:val="24"/>
        </w:rPr>
        <w:t xml:space="preserve">in groups where ACP was introduced, compared to </w:t>
      </w:r>
      <w:r w:rsidR="00584C03" w:rsidRPr="00121945">
        <w:rPr>
          <w:rFonts w:cs="Times New Roman"/>
          <w:sz w:val="22"/>
          <w:szCs w:val="24"/>
        </w:rPr>
        <w:t xml:space="preserve">the </w:t>
      </w:r>
      <w:r w:rsidRPr="00121945">
        <w:rPr>
          <w:rFonts w:cs="Times New Roman"/>
          <w:sz w:val="22"/>
          <w:szCs w:val="24"/>
        </w:rPr>
        <w:t>control group (</w:t>
      </w:r>
      <w:r w:rsidR="00584C03" w:rsidRPr="00121945">
        <w:rPr>
          <w:rFonts w:cs="Times New Roman"/>
          <w:sz w:val="22"/>
          <w:szCs w:val="24"/>
        </w:rPr>
        <w:t>odd ratio</w:t>
      </w:r>
      <w:r w:rsidRPr="00121945">
        <w:rPr>
          <w:rFonts w:cs="Times New Roman"/>
          <w:sz w:val="22"/>
          <w:szCs w:val="24"/>
        </w:rPr>
        <w:t>: 3.26; 95%</w:t>
      </w:r>
      <w:r w:rsidR="00584C03" w:rsidRPr="00121945">
        <w:rPr>
          <w:rFonts w:cs="Times New Roman"/>
          <w:sz w:val="22"/>
          <w:szCs w:val="24"/>
        </w:rPr>
        <w:t xml:space="preserve"> confidence interval </w:t>
      </w:r>
      <w:r w:rsidRPr="00121945">
        <w:rPr>
          <w:rFonts w:cs="Times New Roman"/>
          <w:sz w:val="22"/>
          <w:szCs w:val="24"/>
        </w:rPr>
        <w:t xml:space="preserve">2.00 – 5.32). Some studies found that when offered, the uptake rate could be up to 80% </w:t>
      </w:r>
      <w:r w:rsidR="00FC1B7E" w:rsidRPr="00121945">
        <w:rPr>
          <w:rFonts w:cs="Times New Roman"/>
          <w:sz w:val="22"/>
          <w:szCs w:val="24"/>
        </w:rPr>
        <w:fldChar w:fldCharType="begin" w:fldLock="1"/>
      </w:r>
      <w:r w:rsidR="00136F89" w:rsidRPr="00121945">
        <w:rPr>
          <w:rFonts w:cs="Times New Roman"/>
          <w:sz w:val="22"/>
          <w:szCs w:val="24"/>
        </w:rPr>
        <w:instrText xml:space="preserve"> ADDIN ZOTERO_ITEM CSL_CITATION {"citationID":"2jrFDQKy","properties":{"formattedCitation":"[5]","plainCitation":"[5]"},"citationItems":[{"id":"ITEM-1","uris":["http://www.mendeley.com/documents/?uuid=d4c90700-6984-40a1-8a27-02af2879b31b"],"uri":["http://www.mendeley.com/documents/?uuid=d4c90700-6984-40a1-8a27-02af2879b31b"],"itemData":{"DOI":"10.1136/bmj.c1345","ISBN":"1756-1833 (Electronic)\\n0959-535X (Linking)","ISSN":"1756-1833","PMID":"20332506","abstract":"OBJECTIVE: To investigate the impact of advance care planning on end of life care in elderly patients. DESIGN: Prospective randomised controlled trial. SETTING: Single centre study in a university hospital in Melbourne, Australia. PARTICIPANTS: 309 legally competent medical inpatients aged 80 or more and followed for six months or until death. INTERVENTIONS: Participants were randomised to receive usual care or usual care plus facilitated advance care planning. Advance care planning aimed to assist patients to reflect on their goals, values, and beliefs; to consider future medical treatment preferences; to appoint a surrogate; and to document their wishes. MAIN OUTCOME MEASURES: The primary outcome was whether a patient's end of life wishes were known and respected. Other outcomes included patient and family satisfaction with hospital stay and levels of stress, anxiety, and depression in relatives of patients who died. RESULTS: 154 of the 309 patients were randomised to advance care planning, 125 (81%) received advance care planning, and 108 (84%) expressed wishes or appointed a surrogate, or both. Of the 56 patients who died by six months, end of life wishes were much more likely to be known and followed in the intervention group (25/29, 86%) compared with the control group (8/27, 30%; P&lt;0.001). In the intervention group, family members of patients who died had significantly less stress (intervention 5, control 15; P&lt;0.001), anxiety (intervention 0, control 3; P=0.02), and depression (intervention 0, control 5; P=0.002) than those of the control patients. Patient and family satisfaction was higher in the intervention group. CONCLUSIONS: Advance care planning improves end of life care and patient and family satisfaction and reduces stress, anxiety, and depression in surviving relatives. Trial registration Australian New Zealand clinical trials registry ACTRN12608000539336.","author":[{"dropping-particle":"","family":"Detering","given":"Karen M","non-dropping-particle":"","parse-names":false,"suffix":""},{"dropping-particle":"","family":"Hancock","given":"Andrew D","non-dropping-particle":"","parse-names":false,"suffix":""},{"dropping-particle":"","family":"Reade","given":"Michael C","non-dropping-particle":"","parse-names":false,"suffix":""},{"dropping-particle":"","family":"Silvester","given":"William","non-dropping-particle":"","parse-names":false,"suffix":""}],"container-title":"BMJ (Clinical research ed.)","id":"ITEM-1","issued":{"date-parts":[["2010"]]},"page":"c1345","title":"The impact of advance care planning on end of life care in elderly patients: randomised controlled trial.","type":"article-journal","volume":"340"}}],"schema":"https://github.com/citation-style-language/schema/raw/master/csl-citation.json"} </w:instrText>
      </w:r>
      <w:r w:rsidR="00FC1B7E" w:rsidRPr="00121945">
        <w:rPr>
          <w:rFonts w:cs="Times New Roman"/>
          <w:sz w:val="22"/>
          <w:szCs w:val="24"/>
        </w:rPr>
        <w:fldChar w:fldCharType="separate"/>
      </w:r>
      <w:r w:rsidR="00136F89" w:rsidRPr="00121945">
        <w:rPr>
          <w:rFonts w:cs="Times New Roman"/>
          <w:sz w:val="22"/>
          <w:szCs w:val="24"/>
        </w:rPr>
        <w:t>[5]</w:t>
      </w:r>
      <w:r w:rsidR="00FC1B7E" w:rsidRPr="00121945">
        <w:rPr>
          <w:rFonts w:cs="Times New Roman"/>
          <w:sz w:val="22"/>
          <w:szCs w:val="24"/>
        </w:rPr>
        <w:fldChar w:fldCharType="end"/>
      </w:r>
      <w:r w:rsidRPr="00121945">
        <w:rPr>
          <w:rFonts w:cs="Times New Roman"/>
          <w:sz w:val="22"/>
          <w:szCs w:val="24"/>
        </w:rPr>
        <w:t xml:space="preserve"> or as high as 99% </w:t>
      </w:r>
      <w:r w:rsidR="00FC1B7E" w:rsidRPr="00121945">
        <w:rPr>
          <w:rFonts w:cs="Times New Roman"/>
          <w:sz w:val="22"/>
          <w:szCs w:val="24"/>
        </w:rPr>
        <w:fldChar w:fldCharType="begin"/>
      </w:r>
      <w:r w:rsidR="004A2EE9">
        <w:rPr>
          <w:rFonts w:cs="Times New Roman"/>
          <w:sz w:val="22"/>
          <w:szCs w:val="24"/>
        </w:rPr>
        <w:instrText xml:space="preserve"> ADDIN ZOTERO_ITEM CSL_CITATION {"citationID":"1e47u10ud2","properties":{"formattedCitation":"[9]","plainCitation":"[9]"},"citationItems":[{"id":1331,"uris":["http://zotero.org/users/2597874/items/FMTWIBHK"],"uri":["http://zotero.org/users/2597874/items/FMTWIBHK"],"itemData":{"id":1331,"type":"article-journal","title":"Death at Home Following a Targeted Advance-Care Planning Process at Home: The Kitchen Table Discussion","container-title":"Journal of the American Geriatrics Society","page":"778–781","volume":"49","issue":"6","source":"Google Scholar","shortTitle":"Death at Home Following a Targeted Advance-Care Planning Process at Home","author":[{"family":"Ratner","given":"Edward"},{"family":"Norlander","given":"Linda"},{"family":"McSteen","given":"Kerstin"}],"issued":{"date-parts":[["2001"]]}}}],"schema":"https://github.com/citation-style-language/schema/raw/master/csl-citation.json"} </w:instrText>
      </w:r>
      <w:r w:rsidR="00FC1B7E" w:rsidRPr="00121945">
        <w:rPr>
          <w:rFonts w:cs="Times New Roman"/>
          <w:sz w:val="22"/>
          <w:szCs w:val="24"/>
        </w:rPr>
        <w:fldChar w:fldCharType="separate"/>
      </w:r>
      <w:r w:rsidR="009850F9" w:rsidRPr="00121945">
        <w:rPr>
          <w:rFonts w:cs="Times New Roman"/>
          <w:sz w:val="22"/>
          <w:szCs w:val="24"/>
        </w:rPr>
        <w:t>[9]</w:t>
      </w:r>
      <w:r w:rsidR="00FC1B7E" w:rsidRPr="00121945">
        <w:rPr>
          <w:rFonts w:cs="Times New Roman"/>
          <w:sz w:val="22"/>
          <w:szCs w:val="24"/>
        </w:rPr>
        <w:fldChar w:fldCharType="end"/>
      </w:r>
      <w:r w:rsidRPr="00121945">
        <w:rPr>
          <w:rFonts w:cs="Times New Roman"/>
          <w:sz w:val="22"/>
          <w:szCs w:val="24"/>
        </w:rPr>
        <w:t xml:space="preserve">. However, the proportion of </w:t>
      </w:r>
      <w:r w:rsidR="00584C03" w:rsidRPr="00121945">
        <w:rPr>
          <w:rFonts w:cs="Times New Roman"/>
          <w:sz w:val="22"/>
          <w:szCs w:val="24"/>
        </w:rPr>
        <w:t xml:space="preserve">older adults </w:t>
      </w:r>
      <w:r w:rsidRPr="00121945">
        <w:rPr>
          <w:rFonts w:cs="Times New Roman"/>
          <w:sz w:val="22"/>
          <w:szCs w:val="24"/>
        </w:rPr>
        <w:t xml:space="preserve">who have a will, a relatively common legal document, was only 59% </w:t>
      </w:r>
      <w:r w:rsidR="00FC1B7E" w:rsidRPr="00121945">
        <w:rPr>
          <w:rFonts w:cs="Times New Roman"/>
          <w:sz w:val="22"/>
          <w:szCs w:val="24"/>
        </w:rPr>
        <w:fldChar w:fldCharType="begin"/>
      </w:r>
      <w:r w:rsidR="009850F9" w:rsidRPr="00121945">
        <w:rPr>
          <w:rFonts w:cs="Times New Roman"/>
          <w:sz w:val="22"/>
          <w:szCs w:val="24"/>
        </w:rPr>
        <w:instrText xml:space="preserve"> ADDIN ZOTERO_ITEM CSL_CITATION {"citationID":"fn9krirqk","properties":{"formattedCitation":"[6]","plainCitation":"[6]"},"citationItems":[{"id":"Lg5krKPS/eWpFiGTK","uris":["http://www.mendeley.com/documents/?uuid=c831d9de-74a5-4405-90fd-1ad7664d7f57"],"uri":["http://www.mendeley.com/documents/?uuid=c831d9de-74a5-4405-90fd-1ad7664d7f57"],"itemData":{"DOI":"10.1111/imj.12549","ISSN":"14440903","author":[{"dropping-particle":"","family":"White","given":"B.","non-dropping-particle":"","parse-names":false,"suffix":""},{"dropping-particle":"","family":"Tilse","given":"C.","non-dropping-particle":"","parse-names":false,"suffix":""},{"dropping-particle":"","family":"Wilson","given":"J.","non-dropping-particle":"","parse-names":false,"suffix":""},{"dropping-particle":"","family":"Rosenman","given":"L.","non-dropping-particle":"","parse-names":false,"suffix":""},{"dropping-particle":"","family":"Strub","given":"T.","non-dropping-particle":"","parse-names":false,"suffix":""},{"dropping-particle":"","family":"Feeney","given":"R.","non-dropping-particle":"","parse-names":false,"suffix":""},{"dropping-particle":"","family":"Silvester","given":"W.","non-dropping-particle":"","parse-names":false,"suffix":""}],"container-title":"Internal Medicine Journal","id":"Lg5krKPS/eWpFiGTK","issue":"10","issued":{"year":2014},"page":"975-980","title":"Prevalence and predictors of advance directives in Australia","type":"article-journal","volume":"44","page-first":"975","container-title-short":"Intern. Med. J."}}],"schema":"https://github.com/citation-style-language/schema/raw/master/csl-citation.json"} </w:instrText>
      </w:r>
      <w:r w:rsidR="00FC1B7E" w:rsidRPr="00121945">
        <w:rPr>
          <w:rFonts w:cs="Times New Roman"/>
          <w:sz w:val="22"/>
          <w:szCs w:val="24"/>
        </w:rPr>
        <w:fldChar w:fldCharType="separate"/>
      </w:r>
      <w:r w:rsidR="009850F9" w:rsidRPr="00121945">
        <w:rPr>
          <w:rFonts w:cs="Times New Roman"/>
          <w:sz w:val="22"/>
          <w:szCs w:val="24"/>
        </w:rPr>
        <w:t>[6]</w:t>
      </w:r>
      <w:r w:rsidR="00FC1B7E" w:rsidRPr="00121945">
        <w:rPr>
          <w:rFonts w:cs="Times New Roman"/>
          <w:sz w:val="22"/>
          <w:szCs w:val="24"/>
        </w:rPr>
        <w:fldChar w:fldCharType="end"/>
      </w:r>
      <w:r w:rsidRPr="00121945">
        <w:rPr>
          <w:rFonts w:cs="Times New Roman"/>
          <w:sz w:val="22"/>
          <w:szCs w:val="24"/>
        </w:rPr>
        <w:t xml:space="preserve">. We conservatively used </w:t>
      </w:r>
      <w:r w:rsidR="00A77244">
        <w:rPr>
          <w:rFonts w:cs="Times New Roman"/>
          <w:sz w:val="22"/>
          <w:szCs w:val="24"/>
        </w:rPr>
        <w:t xml:space="preserve">a </w:t>
      </w:r>
      <w:r w:rsidRPr="00121945">
        <w:rPr>
          <w:rFonts w:cs="Times New Roman"/>
          <w:sz w:val="22"/>
          <w:szCs w:val="24"/>
        </w:rPr>
        <w:t>50% uptake rate as the base case. Various uptake rates of ACP were then tested to find the cost-effectiveness threshold.</w:t>
      </w:r>
    </w:p>
    <w:p w:rsidR="005F5235" w:rsidRPr="00121945" w:rsidRDefault="005F5235" w:rsidP="001469DC">
      <w:pPr>
        <w:spacing w:line="480" w:lineRule="auto"/>
        <w:jc w:val="both"/>
        <w:rPr>
          <w:rFonts w:cs="Times New Roman"/>
          <w:sz w:val="22"/>
          <w:szCs w:val="24"/>
        </w:rPr>
      </w:pPr>
      <w:r w:rsidRPr="00121945">
        <w:rPr>
          <w:rFonts w:cs="Times New Roman"/>
          <w:sz w:val="22"/>
          <w:szCs w:val="24"/>
        </w:rPr>
        <w:t xml:space="preserve">The other transition probabilities were derived from the published literature and the age-dependent mortality risk was derived from the Australian life tables. </w:t>
      </w:r>
    </w:p>
    <w:p w:rsidR="005F5235" w:rsidRPr="00B7657E" w:rsidRDefault="005F5235" w:rsidP="001469DC">
      <w:pPr>
        <w:spacing w:line="480" w:lineRule="auto"/>
        <w:jc w:val="both"/>
        <w:rPr>
          <w:rFonts w:cs="Times New Roman"/>
          <w:b/>
          <w:szCs w:val="24"/>
        </w:rPr>
      </w:pPr>
      <w:r w:rsidRPr="00B7657E">
        <w:rPr>
          <w:rFonts w:cs="Times New Roman"/>
          <w:b/>
          <w:szCs w:val="24"/>
        </w:rPr>
        <w:t>Resources and costs</w:t>
      </w:r>
    </w:p>
    <w:p w:rsidR="005F5235" w:rsidRPr="00121945" w:rsidRDefault="005F5235" w:rsidP="001469DC">
      <w:pPr>
        <w:spacing w:line="480" w:lineRule="auto"/>
        <w:jc w:val="both"/>
        <w:rPr>
          <w:rFonts w:cs="Times New Roman"/>
          <w:sz w:val="22"/>
          <w:szCs w:val="24"/>
        </w:rPr>
      </w:pPr>
      <w:r w:rsidRPr="00121945">
        <w:rPr>
          <w:rFonts w:cs="Times New Roman"/>
          <w:sz w:val="22"/>
          <w:szCs w:val="24"/>
        </w:rPr>
        <w:t xml:space="preserve">Costs related to all healthcare resource items for the economic model were converted to annual values to accommodate the yearly cycle calculation. </w:t>
      </w:r>
      <w:r w:rsidR="00496020">
        <w:rPr>
          <w:rFonts w:cs="Times New Roman"/>
          <w:sz w:val="22"/>
          <w:szCs w:val="24"/>
        </w:rPr>
        <w:t xml:space="preserve">The currency is in Australian dollars, and converted to 2015 values using </w:t>
      </w:r>
      <w:r w:rsidR="00A77244">
        <w:rPr>
          <w:rFonts w:cs="Times New Roman"/>
          <w:sz w:val="22"/>
          <w:szCs w:val="24"/>
        </w:rPr>
        <w:t xml:space="preserve">a </w:t>
      </w:r>
      <w:r w:rsidR="00496020">
        <w:rPr>
          <w:rFonts w:cs="Times New Roman"/>
          <w:sz w:val="22"/>
          <w:szCs w:val="24"/>
        </w:rPr>
        <w:t xml:space="preserve">currency conversion tool </w:t>
      </w:r>
      <w:hyperlink r:id="rId4" w:history="1">
        <w:r w:rsidR="004F070E" w:rsidRPr="00850698">
          <w:rPr>
            <w:rStyle w:val="Hyperlink"/>
            <w:rFonts w:cs="Times New Roman"/>
            <w:sz w:val="22"/>
            <w:szCs w:val="24"/>
          </w:rPr>
          <w:t>http://eppi.ioe.ac.uk/costconversion/default.aspx</w:t>
        </w:r>
      </w:hyperlink>
      <w:r w:rsidR="004F070E">
        <w:rPr>
          <w:rFonts w:cs="Times New Roman"/>
          <w:sz w:val="22"/>
          <w:szCs w:val="24"/>
        </w:rPr>
        <w:t xml:space="preserve"> </w:t>
      </w:r>
      <w:r w:rsidR="00496020">
        <w:rPr>
          <w:rFonts w:cs="Times New Roman"/>
          <w:sz w:val="22"/>
          <w:szCs w:val="24"/>
        </w:rPr>
        <w:t xml:space="preserve"> </w:t>
      </w:r>
      <w:r w:rsidR="004F070E">
        <w:rPr>
          <w:rFonts w:cs="Times New Roman"/>
          <w:sz w:val="22"/>
          <w:szCs w:val="24"/>
        </w:rPr>
        <w:t xml:space="preserve"> </w:t>
      </w:r>
    </w:p>
    <w:p w:rsidR="009D55EE" w:rsidRPr="00B7657E" w:rsidRDefault="005F5235" w:rsidP="001469DC">
      <w:pPr>
        <w:spacing w:line="480" w:lineRule="auto"/>
        <w:jc w:val="both"/>
        <w:rPr>
          <w:rFonts w:cs="Times New Roman"/>
          <w:b/>
          <w:i/>
          <w:sz w:val="22"/>
          <w:szCs w:val="24"/>
        </w:rPr>
      </w:pPr>
      <w:r w:rsidRPr="00B7657E">
        <w:rPr>
          <w:rFonts w:cs="Times New Roman"/>
          <w:b/>
          <w:i/>
          <w:sz w:val="22"/>
          <w:szCs w:val="24"/>
        </w:rPr>
        <w:t xml:space="preserve">ACP program costs </w:t>
      </w:r>
    </w:p>
    <w:p w:rsidR="005F5235" w:rsidRPr="00121945" w:rsidRDefault="005F5235" w:rsidP="001469DC">
      <w:pPr>
        <w:spacing w:line="480" w:lineRule="auto"/>
        <w:jc w:val="both"/>
        <w:rPr>
          <w:rFonts w:cs="Times New Roman"/>
          <w:sz w:val="22"/>
          <w:szCs w:val="24"/>
        </w:rPr>
      </w:pPr>
      <w:r w:rsidRPr="00121945">
        <w:rPr>
          <w:rFonts w:cs="Times New Roman"/>
          <w:sz w:val="22"/>
          <w:szCs w:val="24"/>
        </w:rPr>
        <w:t xml:space="preserve">In accordance with best practice ACP, we propose a system-wide model with a flexible design that allows for the development and discussion of ACP in various settings, such as </w:t>
      </w:r>
      <w:r w:rsidR="009D55EE" w:rsidRPr="00121945">
        <w:rPr>
          <w:rFonts w:cs="Times New Roman"/>
          <w:sz w:val="22"/>
          <w:szCs w:val="24"/>
        </w:rPr>
        <w:t>general practioners</w:t>
      </w:r>
      <w:r w:rsidR="00584C03" w:rsidRPr="00121945">
        <w:rPr>
          <w:rFonts w:cs="Times New Roman"/>
          <w:sz w:val="22"/>
          <w:szCs w:val="24"/>
        </w:rPr>
        <w:t>’</w:t>
      </w:r>
      <w:r w:rsidRPr="00121945">
        <w:rPr>
          <w:rFonts w:cs="Times New Roman"/>
          <w:sz w:val="22"/>
          <w:szCs w:val="24"/>
        </w:rPr>
        <w:t xml:space="preserve"> office</w:t>
      </w:r>
      <w:r w:rsidR="00584C03" w:rsidRPr="00121945">
        <w:rPr>
          <w:rFonts w:cs="Times New Roman"/>
          <w:sz w:val="22"/>
          <w:szCs w:val="24"/>
        </w:rPr>
        <w:t>s</w:t>
      </w:r>
      <w:r w:rsidRPr="00121945">
        <w:rPr>
          <w:rFonts w:cs="Times New Roman"/>
          <w:sz w:val="22"/>
          <w:szCs w:val="24"/>
        </w:rPr>
        <w:t>, nurse-led medical centre</w:t>
      </w:r>
      <w:r w:rsidR="00584C03" w:rsidRPr="00121945">
        <w:rPr>
          <w:rFonts w:cs="Times New Roman"/>
          <w:sz w:val="22"/>
          <w:szCs w:val="24"/>
        </w:rPr>
        <w:t>s</w:t>
      </w:r>
      <w:r w:rsidRPr="00121945">
        <w:rPr>
          <w:rFonts w:cs="Times New Roman"/>
          <w:sz w:val="22"/>
          <w:szCs w:val="24"/>
        </w:rPr>
        <w:t>, residential care or home</w:t>
      </w:r>
      <w:r w:rsidR="00584C03" w:rsidRPr="00121945">
        <w:rPr>
          <w:rFonts w:cs="Times New Roman"/>
          <w:sz w:val="22"/>
          <w:szCs w:val="24"/>
        </w:rPr>
        <w:t>s</w:t>
      </w:r>
      <w:r w:rsidRPr="00121945">
        <w:rPr>
          <w:rFonts w:cs="Times New Roman"/>
          <w:sz w:val="22"/>
          <w:szCs w:val="24"/>
        </w:rPr>
        <w:t xml:space="preserve">. For instance, a GP can start the ACP </w:t>
      </w:r>
      <w:r w:rsidRPr="00121945">
        <w:rPr>
          <w:rFonts w:cs="Times New Roman"/>
          <w:sz w:val="22"/>
          <w:szCs w:val="24"/>
        </w:rPr>
        <w:lastRenderedPageBreak/>
        <w:t xml:space="preserve">discussion and distribute relevant material to their clients; the follow-up meetings can </w:t>
      </w:r>
      <w:r w:rsidR="00584C03" w:rsidRPr="00121945">
        <w:rPr>
          <w:rFonts w:cs="Times New Roman"/>
          <w:sz w:val="22"/>
          <w:szCs w:val="24"/>
        </w:rPr>
        <w:t xml:space="preserve">be conducted </w:t>
      </w:r>
      <w:r w:rsidRPr="00121945">
        <w:rPr>
          <w:rFonts w:cs="Times New Roman"/>
          <w:sz w:val="22"/>
          <w:szCs w:val="24"/>
        </w:rPr>
        <w:t xml:space="preserve">in the same GP office, led by an ACP-trained nurse, or at the client’s home with an ACP-trained social worker or Home Care Package case manager. It is estimated that </w:t>
      </w:r>
      <w:r w:rsidR="00363A4C">
        <w:rPr>
          <w:rFonts w:cs="Times New Roman"/>
          <w:sz w:val="22"/>
          <w:szCs w:val="24"/>
        </w:rPr>
        <w:t xml:space="preserve">2-3 </w:t>
      </w:r>
      <w:r w:rsidRPr="00121945">
        <w:rPr>
          <w:rFonts w:cs="Times New Roman"/>
          <w:sz w:val="22"/>
          <w:szCs w:val="24"/>
        </w:rPr>
        <w:t xml:space="preserve">meetings, including the initial conversation, will be </w:t>
      </w:r>
      <w:r w:rsidR="003E66A6">
        <w:rPr>
          <w:rFonts w:cs="Times New Roman"/>
          <w:sz w:val="22"/>
          <w:szCs w:val="24"/>
        </w:rPr>
        <w:t xml:space="preserve">sufficient to </w:t>
      </w:r>
      <w:r w:rsidRPr="00121945">
        <w:rPr>
          <w:rFonts w:cs="Times New Roman"/>
          <w:sz w:val="22"/>
          <w:szCs w:val="24"/>
        </w:rPr>
        <w:t xml:space="preserve">discuss and finalise the ACP document. In </w:t>
      </w:r>
      <w:r w:rsidR="00861129">
        <w:rPr>
          <w:rFonts w:cs="Times New Roman"/>
          <w:sz w:val="22"/>
          <w:szCs w:val="24"/>
        </w:rPr>
        <w:t xml:space="preserve">the base case </w:t>
      </w:r>
      <w:r w:rsidRPr="00121945">
        <w:rPr>
          <w:rFonts w:cs="Times New Roman"/>
          <w:sz w:val="22"/>
          <w:szCs w:val="24"/>
        </w:rPr>
        <w:t xml:space="preserve">model, we </w:t>
      </w:r>
      <w:r w:rsidR="00055A6C">
        <w:rPr>
          <w:rFonts w:cs="Times New Roman"/>
          <w:sz w:val="22"/>
          <w:szCs w:val="24"/>
        </w:rPr>
        <w:t xml:space="preserve">conservatively </w:t>
      </w:r>
      <w:r w:rsidRPr="00121945">
        <w:rPr>
          <w:rFonts w:cs="Times New Roman"/>
          <w:sz w:val="22"/>
          <w:szCs w:val="24"/>
        </w:rPr>
        <w:t>allow</w:t>
      </w:r>
      <w:r w:rsidR="00055A6C">
        <w:rPr>
          <w:rFonts w:cs="Times New Roman"/>
          <w:sz w:val="22"/>
          <w:szCs w:val="24"/>
        </w:rPr>
        <w:t>ed</w:t>
      </w:r>
      <w:r w:rsidRPr="00121945">
        <w:rPr>
          <w:rFonts w:cs="Times New Roman"/>
          <w:sz w:val="22"/>
          <w:szCs w:val="24"/>
        </w:rPr>
        <w:t xml:space="preserve"> for </w:t>
      </w:r>
      <w:r w:rsidR="009612F8">
        <w:rPr>
          <w:rFonts w:cs="Times New Roman"/>
          <w:sz w:val="22"/>
          <w:szCs w:val="24"/>
        </w:rPr>
        <w:t xml:space="preserve">one </w:t>
      </w:r>
      <w:r w:rsidRPr="00121945">
        <w:rPr>
          <w:rFonts w:cs="Times New Roman"/>
          <w:sz w:val="22"/>
          <w:szCs w:val="24"/>
        </w:rPr>
        <w:t>long m</w:t>
      </w:r>
      <w:r w:rsidR="00861129">
        <w:rPr>
          <w:rFonts w:cs="Times New Roman"/>
          <w:sz w:val="22"/>
          <w:szCs w:val="24"/>
        </w:rPr>
        <w:t xml:space="preserve">eeting and </w:t>
      </w:r>
      <w:r w:rsidR="009612F8">
        <w:rPr>
          <w:rFonts w:cs="Times New Roman"/>
          <w:sz w:val="22"/>
          <w:szCs w:val="24"/>
        </w:rPr>
        <w:t xml:space="preserve">three </w:t>
      </w:r>
      <w:r w:rsidR="00861129">
        <w:rPr>
          <w:rFonts w:cs="Times New Roman"/>
          <w:sz w:val="22"/>
          <w:szCs w:val="24"/>
        </w:rPr>
        <w:t>short meetings</w:t>
      </w:r>
      <w:r w:rsidR="00055A6C">
        <w:rPr>
          <w:rFonts w:cs="Times New Roman"/>
          <w:sz w:val="22"/>
          <w:szCs w:val="24"/>
        </w:rPr>
        <w:t xml:space="preserve"> (</w:t>
      </w:r>
      <w:r w:rsidR="00A77244">
        <w:rPr>
          <w:rFonts w:cs="Times New Roman"/>
          <w:sz w:val="22"/>
          <w:szCs w:val="24"/>
        </w:rPr>
        <w:t xml:space="preserve">a </w:t>
      </w:r>
      <w:r w:rsidR="00055A6C">
        <w:rPr>
          <w:rFonts w:cs="Times New Roman"/>
          <w:sz w:val="22"/>
          <w:szCs w:val="24"/>
        </w:rPr>
        <w:t>total</w:t>
      </w:r>
      <w:r w:rsidR="00A77244">
        <w:rPr>
          <w:rFonts w:cs="Times New Roman"/>
          <w:sz w:val="22"/>
          <w:szCs w:val="24"/>
        </w:rPr>
        <w:t xml:space="preserve"> of</w:t>
      </w:r>
      <w:r w:rsidR="00055A6C">
        <w:rPr>
          <w:rFonts w:cs="Times New Roman"/>
          <w:sz w:val="22"/>
          <w:szCs w:val="24"/>
        </w:rPr>
        <w:t xml:space="preserve"> </w:t>
      </w:r>
      <w:r w:rsidR="009612F8">
        <w:rPr>
          <w:rFonts w:cs="Times New Roman"/>
          <w:sz w:val="22"/>
          <w:szCs w:val="24"/>
        </w:rPr>
        <w:t xml:space="preserve">four </w:t>
      </w:r>
      <w:r w:rsidR="00055A6C">
        <w:rPr>
          <w:rFonts w:cs="Times New Roman"/>
          <w:sz w:val="22"/>
          <w:szCs w:val="24"/>
        </w:rPr>
        <w:t>meetings</w:t>
      </w:r>
      <w:r w:rsidR="00E32FC8">
        <w:rPr>
          <w:rFonts w:cs="Times New Roman"/>
          <w:sz w:val="22"/>
          <w:szCs w:val="24"/>
        </w:rPr>
        <w:t>, compared to</w:t>
      </w:r>
      <w:r w:rsidR="00A77244">
        <w:rPr>
          <w:rFonts w:cs="Times New Roman"/>
          <w:sz w:val="22"/>
          <w:szCs w:val="24"/>
        </w:rPr>
        <w:t xml:space="preserve"> the</w:t>
      </w:r>
      <w:r w:rsidR="00E32FC8">
        <w:rPr>
          <w:rFonts w:cs="Times New Roman"/>
          <w:sz w:val="22"/>
          <w:szCs w:val="24"/>
        </w:rPr>
        <w:t xml:space="preserve"> likely three meetings suggested by </w:t>
      </w:r>
      <w:r w:rsidR="00AB0B67">
        <w:rPr>
          <w:rFonts w:cs="Times New Roman"/>
          <w:sz w:val="22"/>
          <w:szCs w:val="24"/>
        </w:rPr>
        <w:t>clinicians and health professionals</w:t>
      </w:r>
      <w:r w:rsidR="00055A6C">
        <w:rPr>
          <w:rFonts w:cs="Times New Roman"/>
          <w:sz w:val="22"/>
          <w:szCs w:val="24"/>
        </w:rPr>
        <w:t>).</w:t>
      </w:r>
      <w:r w:rsidR="00861129">
        <w:rPr>
          <w:rFonts w:cs="Times New Roman"/>
          <w:sz w:val="22"/>
          <w:szCs w:val="24"/>
        </w:rPr>
        <w:t xml:space="preserve"> </w:t>
      </w:r>
      <w:r w:rsidRPr="00121945">
        <w:rPr>
          <w:rFonts w:cs="Times New Roman"/>
          <w:sz w:val="22"/>
          <w:szCs w:val="24"/>
        </w:rPr>
        <w:t>The document can be revised in the future, and this is likely to happen around critical time</w:t>
      </w:r>
      <w:r w:rsidR="008A01D3" w:rsidRPr="00121945">
        <w:rPr>
          <w:rFonts w:cs="Times New Roman"/>
          <w:sz w:val="22"/>
          <w:szCs w:val="24"/>
        </w:rPr>
        <w:t>s</w:t>
      </w:r>
      <w:r w:rsidRPr="00121945">
        <w:rPr>
          <w:rFonts w:cs="Times New Roman"/>
          <w:sz w:val="22"/>
          <w:szCs w:val="24"/>
        </w:rPr>
        <w:t xml:space="preserve"> such as when the individual is diagnosed with </w:t>
      </w:r>
      <w:r w:rsidR="008A01D3" w:rsidRPr="00121945">
        <w:rPr>
          <w:rFonts w:cs="Times New Roman"/>
          <w:sz w:val="22"/>
          <w:szCs w:val="24"/>
        </w:rPr>
        <w:t xml:space="preserve">dementia, </w:t>
      </w:r>
      <w:r w:rsidRPr="00121945">
        <w:rPr>
          <w:rFonts w:cs="Times New Roman"/>
          <w:sz w:val="22"/>
          <w:szCs w:val="24"/>
        </w:rPr>
        <w:t>a terminal illness</w:t>
      </w:r>
      <w:r w:rsidR="008A01D3" w:rsidRPr="00121945">
        <w:rPr>
          <w:rFonts w:cs="Times New Roman"/>
          <w:sz w:val="22"/>
          <w:szCs w:val="24"/>
        </w:rPr>
        <w:t>,</w:t>
      </w:r>
      <w:r w:rsidRPr="00121945">
        <w:rPr>
          <w:rFonts w:cs="Times New Roman"/>
          <w:sz w:val="22"/>
          <w:szCs w:val="24"/>
        </w:rPr>
        <w:t xml:space="preserve"> or there are</w:t>
      </w:r>
      <w:r w:rsidR="009850F9" w:rsidRPr="00121945">
        <w:rPr>
          <w:rFonts w:cs="Times New Roman"/>
          <w:sz w:val="22"/>
          <w:szCs w:val="24"/>
        </w:rPr>
        <w:t xml:space="preserve"> changes in life circumstances.</w:t>
      </w:r>
      <w:r w:rsidRPr="00121945">
        <w:rPr>
          <w:rFonts w:cs="Times New Roman"/>
          <w:sz w:val="22"/>
          <w:szCs w:val="24"/>
        </w:rPr>
        <w:t xml:space="preserve"> We allow</w:t>
      </w:r>
      <w:r w:rsidR="008A01D3" w:rsidRPr="00121945">
        <w:rPr>
          <w:rFonts w:cs="Times New Roman"/>
          <w:sz w:val="22"/>
          <w:szCs w:val="24"/>
        </w:rPr>
        <w:t>ed</w:t>
      </w:r>
      <w:r w:rsidRPr="00121945">
        <w:rPr>
          <w:rFonts w:cs="Times New Roman"/>
          <w:sz w:val="22"/>
          <w:szCs w:val="24"/>
        </w:rPr>
        <w:t xml:space="preserve"> for t</w:t>
      </w:r>
      <w:r w:rsidR="00861129">
        <w:rPr>
          <w:rFonts w:cs="Times New Roman"/>
          <w:sz w:val="22"/>
          <w:szCs w:val="24"/>
        </w:rPr>
        <w:t>wo revisions within the model</w:t>
      </w:r>
      <w:r w:rsidR="0042385B">
        <w:rPr>
          <w:rFonts w:cs="Times New Roman"/>
          <w:sz w:val="22"/>
          <w:szCs w:val="24"/>
        </w:rPr>
        <w:t xml:space="preserve"> (see Table A1</w:t>
      </w:r>
      <w:r w:rsidR="00F36603">
        <w:rPr>
          <w:rFonts w:cs="Times New Roman"/>
          <w:sz w:val="22"/>
          <w:szCs w:val="24"/>
        </w:rPr>
        <w:t xml:space="preserve"> below</w:t>
      </w:r>
      <w:r w:rsidR="0042385B">
        <w:rPr>
          <w:rFonts w:cs="Times New Roman"/>
          <w:sz w:val="22"/>
          <w:szCs w:val="24"/>
        </w:rPr>
        <w:t>)</w:t>
      </w:r>
      <w:r w:rsidR="00861129">
        <w:rPr>
          <w:rFonts w:cs="Times New Roman"/>
          <w:sz w:val="22"/>
          <w:szCs w:val="24"/>
        </w:rPr>
        <w:t xml:space="preserve">. This </w:t>
      </w:r>
      <w:r w:rsidR="003B4800">
        <w:rPr>
          <w:rFonts w:cs="Times New Roman"/>
          <w:sz w:val="22"/>
          <w:szCs w:val="24"/>
        </w:rPr>
        <w:t xml:space="preserve">means our proposed </w:t>
      </w:r>
      <w:r w:rsidR="00861129">
        <w:rPr>
          <w:rFonts w:cs="Times New Roman"/>
          <w:sz w:val="22"/>
          <w:szCs w:val="24"/>
        </w:rPr>
        <w:t xml:space="preserve">ACP package </w:t>
      </w:r>
      <w:r w:rsidR="00B80023">
        <w:rPr>
          <w:rFonts w:cs="Times New Roman"/>
          <w:sz w:val="22"/>
          <w:szCs w:val="24"/>
        </w:rPr>
        <w:t>cost</w:t>
      </w:r>
      <w:r w:rsidR="00A77244">
        <w:rPr>
          <w:rFonts w:cs="Times New Roman"/>
          <w:sz w:val="22"/>
          <w:szCs w:val="24"/>
        </w:rPr>
        <w:t xml:space="preserve"> is</w:t>
      </w:r>
      <w:r w:rsidR="00B80023">
        <w:rPr>
          <w:rFonts w:cs="Times New Roman"/>
          <w:sz w:val="22"/>
          <w:szCs w:val="24"/>
        </w:rPr>
        <w:t xml:space="preserve"> between AU$</w:t>
      </w:r>
      <w:r w:rsidR="00517ECE">
        <w:rPr>
          <w:rFonts w:cs="Times New Roman"/>
          <w:sz w:val="22"/>
          <w:szCs w:val="24"/>
        </w:rPr>
        <w:t>670</w:t>
      </w:r>
      <w:r w:rsidR="00B80023">
        <w:rPr>
          <w:rFonts w:cs="Times New Roman"/>
          <w:sz w:val="22"/>
          <w:szCs w:val="24"/>
        </w:rPr>
        <w:t>-AU$</w:t>
      </w:r>
      <w:r w:rsidR="00517ECE">
        <w:rPr>
          <w:rFonts w:cs="Times New Roman"/>
          <w:sz w:val="22"/>
          <w:szCs w:val="24"/>
        </w:rPr>
        <w:t>820</w:t>
      </w:r>
      <w:r w:rsidR="00B80023">
        <w:rPr>
          <w:rFonts w:cs="Times New Roman"/>
          <w:sz w:val="22"/>
          <w:szCs w:val="24"/>
        </w:rPr>
        <w:t xml:space="preserve"> (for </w:t>
      </w:r>
      <w:r w:rsidR="00363A4C">
        <w:rPr>
          <w:rFonts w:cs="Times New Roman"/>
          <w:sz w:val="22"/>
          <w:szCs w:val="24"/>
        </w:rPr>
        <w:t xml:space="preserve">4-6 </w:t>
      </w:r>
      <w:r w:rsidR="00861129">
        <w:rPr>
          <w:rFonts w:cs="Times New Roman"/>
          <w:sz w:val="22"/>
          <w:szCs w:val="24"/>
        </w:rPr>
        <w:t>meetings</w:t>
      </w:r>
      <w:r w:rsidR="009A40A8">
        <w:rPr>
          <w:rFonts w:cs="Times New Roman"/>
          <w:sz w:val="22"/>
          <w:szCs w:val="24"/>
        </w:rPr>
        <w:t>),</w:t>
      </w:r>
      <w:r w:rsidR="00861129">
        <w:rPr>
          <w:rFonts w:cs="Times New Roman"/>
          <w:sz w:val="22"/>
          <w:szCs w:val="24"/>
        </w:rPr>
        <w:t xml:space="preserve"> from the initiation to the final revision</w:t>
      </w:r>
      <w:r w:rsidR="009A40A8">
        <w:rPr>
          <w:rFonts w:cs="Times New Roman"/>
          <w:sz w:val="22"/>
          <w:szCs w:val="24"/>
        </w:rPr>
        <w:t>.</w:t>
      </w:r>
      <w:r w:rsidR="00055A6C">
        <w:rPr>
          <w:rFonts w:cs="Times New Roman"/>
          <w:sz w:val="22"/>
          <w:szCs w:val="24"/>
        </w:rPr>
        <w:t xml:space="preserve"> </w:t>
      </w:r>
      <w:r w:rsidR="00B80023">
        <w:rPr>
          <w:rFonts w:cs="Times New Roman"/>
          <w:sz w:val="22"/>
          <w:szCs w:val="24"/>
        </w:rPr>
        <w:t xml:space="preserve">Sensitivity analyses were also conducted </w:t>
      </w:r>
      <w:r w:rsidR="009A40A8">
        <w:rPr>
          <w:rFonts w:cs="Times New Roman"/>
          <w:sz w:val="22"/>
          <w:szCs w:val="24"/>
        </w:rPr>
        <w:t xml:space="preserve">to allow for a </w:t>
      </w:r>
      <w:r w:rsidR="009612F8">
        <w:rPr>
          <w:rFonts w:cs="Times New Roman"/>
          <w:sz w:val="22"/>
          <w:szCs w:val="24"/>
        </w:rPr>
        <w:t xml:space="preserve">smaller package (a public information session followed by two meetings, costing </w:t>
      </w:r>
      <w:r w:rsidR="009A40A8">
        <w:rPr>
          <w:rFonts w:cs="Times New Roman"/>
          <w:sz w:val="22"/>
          <w:szCs w:val="24"/>
        </w:rPr>
        <w:t>around AU$</w:t>
      </w:r>
      <w:r w:rsidR="009612F8">
        <w:rPr>
          <w:rFonts w:cs="Times New Roman"/>
          <w:sz w:val="22"/>
          <w:szCs w:val="24"/>
        </w:rPr>
        <w:t>25</w:t>
      </w:r>
      <w:r w:rsidR="009A40A8">
        <w:rPr>
          <w:rFonts w:cs="Times New Roman"/>
          <w:sz w:val="22"/>
          <w:szCs w:val="24"/>
        </w:rPr>
        <w:t xml:space="preserve">0) and </w:t>
      </w:r>
      <w:r w:rsidR="00FF5748">
        <w:rPr>
          <w:rFonts w:cs="Times New Roman"/>
          <w:sz w:val="22"/>
          <w:szCs w:val="24"/>
        </w:rPr>
        <w:t xml:space="preserve">a </w:t>
      </w:r>
      <w:r w:rsidR="009A40A8">
        <w:rPr>
          <w:rFonts w:cs="Times New Roman"/>
          <w:sz w:val="22"/>
          <w:szCs w:val="24"/>
        </w:rPr>
        <w:t>larger investment per individual (up to AUD$</w:t>
      </w:r>
      <w:r w:rsidR="00F34ED6">
        <w:rPr>
          <w:rFonts w:cs="Times New Roman"/>
          <w:sz w:val="22"/>
          <w:szCs w:val="24"/>
        </w:rPr>
        <w:t>90</w:t>
      </w:r>
      <w:r w:rsidR="009A40A8">
        <w:rPr>
          <w:rFonts w:cs="Times New Roman"/>
          <w:sz w:val="22"/>
          <w:szCs w:val="24"/>
        </w:rPr>
        <w:t>0)</w:t>
      </w:r>
      <w:r w:rsidR="00F7629D">
        <w:rPr>
          <w:rFonts w:cs="Times New Roman"/>
          <w:sz w:val="22"/>
          <w:szCs w:val="24"/>
        </w:rPr>
        <w:t>.</w:t>
      </w:r>
      <w:r w:rsidR="009A40A8">
        <w:rPr>
          <w:rFonts w:cs="Times New Roman"/>
          <w:sz w:val="22"/>
          <w:szCs w:val="24"/>
        </w:rPr>
        <w:t xml:space="preserve"> </w:t>
      </w:r>
    </w:p>
    <w:p w:rsidR="005F5235" w:rsidRPr="00121945" w:rsidRDefault="005F5235" w:rsidP="001469DC">
      <w:pPr>
        <w:spacing w:line="480" w:lineRule="auto"/>
        <w:jc w:val="both"/>
        <w:rPr>
          <w:rFonts w:cs="Times New Roman"/>
          <w:sz w:val="22"/>
          <w:szCs w:val="24"/>
        </w:rPr>
      </w:pPr>
      <w:r w:rsidRPr="00121945">
        <w:rPr>
          <w:rFonts w:cs="Times New Roman"/>
          <w:sz w:val="22"/>
          <w:szCs w:val="24"/>
        </w:rPr>
        <w:t xml:space="preserve">It is estimated that the </w:t>
      </w:r>
      <w:r w:rsidR="008A01D3" w:rsidRPr="00121945">
        <w:rPr>
          <w:rFonts w:cs="Times New Roman"/>
          <w:sz w:val="22"/>
          <w:szCs w:val="24"/>
        </w:rPr>
        <w:t xml:space="preserve">long </w:t>
      </w:r>
      <w:r w:rsidRPr="00121945">
        <w:rPr>
          <w:rFonts w:cs="Times New Roman"/>
          <w:sz w:val="22"/>
          <w:szCs w:val="24"/>
        </w:rPr>
        <w:t xml:space="preserve">discussion would contain information such as </w:t>
      </w:r>
      <w:r w:rsidR="00066D30" w:rsidRPr="00121945">
        <w:rPr>
          <w:rFonts w:cs="Times New Roman"/>
          <w:sz w:val="22"/>
          <w:szCs w:val="24"/>
        </w:rPr>
        <w:t xml:space="preserve">the </w:t>
      </w:r>
      <w:r w:rsidRPr="00121945">
        <w:rPr>
          <w:rFonts w:cs="Times New Roman"/>
          <w:sz w:val="22"/>
          <w:szCs w:val="24"/>
        </w:rPr>
        <w:t>patient</w:t>
      </w:r>
      <w:r w:rsidR="00066D30" w:rsidRPr="00121945">
        <w:rPr>
          <w:rFonts w:cs="Times New Roman"/>
          <w:sz w:val="22"/>
          <w:szCs w:val="24"/>
        </w:rPr>
        <w:t>’s</w:t>
      </w:r>
      <w:r w:rsidRPr="00121945">
        <w:rPr>
          <w:rFonts w:cs="Times New Roman"/>
          <w:sz w:val="22"/>
          <w:szCs w:val="24"/>
        </w:rPr>
        <w:t xml:space="preserve"> history of experiences with death, understanding of illness, life goals, beliefs, communication patterns within the family and with their doctors, and financial and community resources. Each meeting can last between 60 and 90 minutes, which is equivalent to a comprehensive assessment and management plan for elderly patients (MBS item 141). Subsequent discussion</w:t>
      </w:r>
      <w:r w:rsidR="00066D30" w:rsidRPr="00121945">
        <w:rPr>
          <w:rFonts w:cs="Times New Roman"/>
          <w:sz w:val="22"/>
          <w:szCs w:val="24"/>
        </w:rPr>
        <w:t>s</w:t>
      </w:r>
      <w:r w:rsidRPr="00121945">
        <w:rPr>
          <w:rFonts w:cs="Times New Roman"/>
          <w:sz w:val="22"/>
          <w:szCs w:val="24"/>
        </w:rPr>
        <w:t xml:space="preserve">, reviews and amendments are shorter appointments, which were assumed to be equivalent to a review of (treatment) management plans (MBS item 732). </w:t>
      </w:r>
    </w:p>
    <w:p w:rsidR="009D55EE" w:rsidRPr="00B7657E" w:rsidRDefault="005F5235" w:rsidP="001469DC">
      <w:pPr>
        <w:spacing w:line="480" w:lineRule="auto"/>
        <w:jc w:val="both"/>
        <w:rPr>
          <w:rFonts w:cs="Times New Roman"/>
          <w:b/>
          <w:i/>
          <w:sz w:val="22"/>
          <w:szCs w:val="24"/>
        </w:rPr>
      </w:pPr>
      <w:r w:rsidRPr="00B7657E">
        <w:rPr>
          <w:rFonts w:cs="Times New Roman"/>
          <w:b/>
          <w:i/>
          <w:sz w:val="22"/>
          <w:szCs w:val="24"/>
        </w:rPr>
        <w:t>End</w:t>
      </w:r>
      <w:r w:rsidR="00066D30" w:rsidRPr="00B7657E">
        <w:rPr>
          <w:rFonts w:cs="Times New Roman"/>
          <w:b/>
          <w:i/>
          <w:sz w:val="22"/>
          <w:szCs w:val="24"/>
        </w:rPr>
        <w:t>-</w:t>
      </w:r>
      <w:r w:rsidRPr="00B7657E">
        <w:rPr>
          <w:rFonts w:cs="Times New Roman"/>
          <w:b/>
          <w:i/>
          <w:sz w:val="22"/>
          <w:szCs w:val="24"/>
        </w:rPr>
        <w:t>of</w:t>
      </w:r>
      <w:r w:rsidR="00066D30" w:rsidRPr="00B7657E">
        <w:rPr>
          <w:rFonts w:cs="Times New Roman"/>
          <w:b/>
          <w:i/>
          <w:sz w:val="22"/>
          <w:szCs w:val="24"/>
        </w:rPr>
        <w:t>-</w:t>
      </w:r>
      <w:r w:rsidRPr="00B7657E">
        <w:rPr>
          <w:rFonts w:cs="Times New Roman"/>
          <w:b/>
          <w:i/>
          <w:sz w:val="22"/>
          <w:szCs w:val="24"/>
        </w:rPr>
        <w:t xml:space="preserve">life cost </w:t>
      </w:r>
    </w:p>
    <w:p w:rsidR="005F5235" w:rsidRPr="00121945" w:rsidRDefault="005F5235" w:rsidP="001469DC">
      <w:pPr>
        <w:spacing w:line="480" w:lineRule="auto"/>
        <w:jc w:val="both"/>
        <w:rPr>
          <w:rFonts w:cs="Times New Roman"/>
          <w:sz w:val="22"/>
          <w:szCs w:val="24"/>
          <w:lang w:val="vi-VN"/>
        </w:rPr>
      </w:pPr>
      <w:r w:rsidRPr="00121945">
        <w:rPr>
          <w:rFonts w:cs="Times New Roman"/>
          <w:sz w:val="22"/>
          <w:szCs w:val="24"/>
          <w:lang w:val="vi-VN"/>
        </w:rPr>
        <w:t xml:space="preserve">During the end-of-life period, patients can be hospitalised or cared for in </w:t>
      </w:r>
      <w:r w:rsidR="00066D30" w:rsidRPr="00121945">
        <w:rPr>
          <w:rFonts w:cs="Times New Roman"/>
          <w:sz w:val="22"/>
          <w:szCs w:val="24"/>
        </w:rPr>
        <w:t xml:space="preserve">a </w:t>
      </w:r>
      <w:r w:rsidRPr="00121945">
        <w:rPr>
          <w:rFonts w:cs="Times New Roman"/>
          <w:sz w:val="22"/>
          <w:szCs w:val="24"/>
          <w:lang w:val="vi-VN"/>
        </w:rPr>
        <w:t>hospice, residential care facility or at home. Hospital cost</w:t>
      </w:r>
      <w:r w:rsidR="00066D30" w:rsidRPr="00121945">
        <w:rPr>
          <w:rFonts w:cs="Times New Roman"/>
          <w:sz w:val="22"/>
          <w:szCs w:val="24"/>
        </w:rPr>
        <w:t>s</w:t>
      </w:r>
      <w:r w:rsidRPr="00121945">
        <w:rPr>
          <w:rFonts w:cs="Times New Roman"/>
          <w:sz w:val="22"/>
          <w:szCs w:val="24"/>
          <w:lang w:val="vi-VN"/>
        </w:rPr>
        <w:t xml:space="preserve"> </w:t>
      </w:r>
      <w:r w:rsidR="00066D30" w:rsidRPr="00121945">
        <w:rPr>
          <w:rFonts w:cs="Times New Roman"/>
          <w:sz w:val="22"/>
          <w:szCs w:val="24"/>
        </w:rPr>
        <w:t>were</w:t>
      </w:r>
      <w:r w:rsidR="00066D30" w:rsidRPr="00121945">
        <w:rPr>
          <w:rFonts w:cs="Times New Roman"/>
          <w:sz w:val="22"/>
          <w:szCs w:val="24"/>
          <w:lang w:val="vi-VN"/>
        </w:rPr>
        <w:t xml:space="preserve"> </w:t>
      </w:r>
      <w:r w:rsidRPr="00121945">
        <w:rPr>
          <w:rFonts w:cs="Times New Roman"/>
          <w:sz w:val="22"/>
          <w:szCs w:val="24"/>
          <w:lang w:val="vi-VN"/>
        </w:rPr>
        <w:t xml:space="preserve">sourced from Kardamanidis et al. </w:t>
      </w:r>
      <w:r w:rsidR="009D55EE" w:rsidRPr="00121945">
        <w:rPr>
          <w:rFonts w:cs="Times New Roman"/>
          <w:sz w:val="22"/>
          <w:szCs w:val="24"/>
        </w:rPr>
        <w:t>(</w:t>
      </w:r>
      <w:r w:rsidRPr="00121945">
        <w:rPr>
          <w:rFonts w:cs="Times New Roman"/>
          <w:sz w:val="22"/>
          <w:szCs w:val="24"/>
          <w:lang w:val="vi-VN"/>
        </w:rPr>
        <w:t>2007</w:t>
      </w:r>
      <w:r w:rsidR="009D55EE" w:rsidRPr="00121945">
        <w:rPr>
          <w:rFonts w:cs="Times New Roman"/>
          <w:sz w:val="22"/>
          <w:szCs w:val="24"/>
        </w:rPr>
        <w:t>)</w:t>
      </w:r>
      <w:r w:rsidRPr="00121945">
        <w:rPr>
          <w:rFonts w:cs="Times New Roman"/>
          <w:sz w:val="22"/>
          <w:szCs w:val="24"/>
          <w:lang w:val="vi-VN"/>
        </w:rPr>
        <w:t xml:space="preserve">, which estimated hospital inpatient costs among </w:t>
      </w:r>
      <w:r w:rsidR="00066D30" w:rsidRPr="00121945">
        <w:rPr>
          <w:rFonts w:cs="Times New Roman"/>
          <w:sz w:val="22"/>
          <w:szCs w:val="24"/>
        </w:rPr>
        <w:t>older adults</w:t>
      </w:r>
      <w:r w:rsidRPr="00121945">
        <w:rPr>
          <w:rFonts w:cs="Times New Roman"/>
          <w:sz w:val="22"/>
          <w:szCs w:val="24"/>
          <w:lang w:val="vi-VN"/>
        </w:rPr>
        <w:t xml:space="preserve"> in New South Wales in the last year of life using </w:t>
      </w:r>
      <w:r w:rsidR="00066D30" w:rsidRPr="00121945">
        <w:rPr>
          <w:rFonts w:cs="Times New Roman"/>
          <w:sz w:val="22"/>
          <w:szCs w:val="24"/>
        </w:rPr>
        <w:t xml:space="preserve">a </w:t>
      </w:r>
      <w:r w:rsidRPr="00121945">
        <w:rPr>
          <w:rFonts w:cs="Times New Roman"/>
          <w:sz w:val="22"/>
          <w:szCs w:val="24"/>
          <w:lang w:val="vi-VN"/>
        </w:rPr>
        <w:t>linked population database (sample of 70,384 people aged 65 years and over)</w:t>
      </w:r>
      <w:r w:rsidRPr="00121945">
        <w:rPr>
          <w:rFonts w:cs="Times New Roman"/>
          <w:sz w:val="22"/>
          <w:szCs w:val="24"/>
        </w:rPr>
        <w:t xml:space="preserve"> </w:t>
      </w:r>
      <w:r w:rsidR="00FC1B7E" w:rsidRPr="00121945">
        <w:rPr>
          <w:rFonts w:cs="Times New Roman"/>
          <w:sz w:val="22"/>
          <w:szCs w:val="24"/>
        </w:rPr>
        <w:fldChar w:fldCharType="begin"/>
      </w:r>
      <w:r w:rsidR="004A2EE9">
        <w:rPr>
          <w:rFonts w:cs="Times New Roman"/>
          <w:sz w:val="22"/>
          <w:szCs w:val="24"/>
        </w:rPr>
        <w:instrText xml:space="preserve"> ADDIN ZOTERO_ITEM CSL_CITATION {"citationID":"169e9037sm","properties":{"formattedCitation":"[10]","plainCitation":"[10]"},"citationItems":[{"id":1340,"uris":["http://zotero.org/users/2597874/items/FXN8RRTD"],"uri":["http://zotero.org/users/2597874/items/FXN8RRTD"],"itemData":{"id":1340,"type":"article-journal","title":"Hospital costs of older people in New South Wales in the last year of life","container-title":"Medical Journal of Australia","page":"383","volume":"187","issue":"7","source":"Google Scholar","author":[{"family":"Kardamanidis","given":"Katina"},{"family":"Lim","given":"Kim"},{"family":"Da Cunha","given":"Cristalyn"},{"family":"Taylor","given":"Lee K."},{"family":"Jorm","given":"Louisa R."}],"issued":{"date-parts":[["2007"]]}}}],"schema":"https://github.com/citation-style-language/schema/raw/master/csl-citation.json"} </w:instrText>
      </w:r>
      <w:r w:rsidR="00FC1B7E" w:rsidRPr="00121945">
        <w:rPr>
          <w:rFonts w:cs="Times New Roman"/>
          <w:sz w:val="22"/>
          <w:szCs w:val="24"/>
        </w:rPr>
        <w:fldChar w:fldCharType="separate"/>
      </w:r>
      <w:r w:rsidR="00136F89" w:rsidRPr="00121945">
        <w:rPr>
          <w:rFonts w:cs="Times New Roman"/>
          <w:sz w:val="22"/>
          <w:szCs w:val="24"/>
        </w:rPr>
        <w:t>[10]</w:t>
      </w:r>
      <w:r w:rsidR="00FC1B7E" w:rsidRPr="00121945">
        <w:rPr>
          <w:rFonts w:cs="Times New Roman"/>
          <w:sz w:val="22"/>
          <w:szCs w:val="24"/>
        </w:rPr>
        <w:fldChar w:fldCharType="end"/>
      </w:r>
      <w:r w:rsidRPr="00121945">
        <w:rPr>
          <w:rFonts w:cs="Times New Roman"/>
          <w:sz w:val="22"/>
          <w:szCs w:val="24"/>
          <w:lang w:val="vi-VN"/>
        </w:rPr>
        <w:t>. The study noted that the hospital cost</w:t>
      </w:r>
      <w:r w:rsidR="00066D30" w:rsidRPr="00121945">
        <w:rPr>
          <w:rFonts w:cs="Times New Roman"/>
          <w:sz w:val="22"/>
          <w:szCs w:val="24"/>
        </w:rPr>
        <w:t>s</w:t>
      </w:r>
      <w:r w:rsidRPr="00121945">
        <w:rPr>
          <w:rFonts w:cs="Times New Roman"/>
          <w:sz w:val="22"/>
          <w:szCs w:val="24"/>
          <w:lang w:val="vi-VN"/>
        </w:rPr>
        <w:t xml:space="preserve"> </w:t>
      </w:r>
      <w:r w:rsidRPr="00121945">
        <w:rPr>
          <w:rFonts w:cs="Times New Roman"/>
          <w:sz w:val="22"/>
          <w:szCs w:val="24"/>
        </w:rPr>
        <w:t>decreased</w:t>
      </w:r>
      <w:r w:rsidRPr="00121945">
        <w:rPr>
          <w:rFonts w:cs="Times New Roman"/>
          <w:sz w:val="22"/>
          <w:szCs w:val="24"/>
          <w:lang w:val="vi-VN"/>
        </w:rPr>
        <w:t xml:space="preserve"> with age, driven mostly by </w:t>
      </w:r>
      <w:r w:rsidR="00FF5748">
        <w:rPr>
          <w:rFonts w:cs="Times New Roman"/>
          <w:sz w:val="22"/>
          <w:szCs w:val="24"/>
        </w:rPr>
        <w:t xml:space="preserve">a </w:t>
      </w:r>
      <w:r w:rsidRPr="00121945">
        <w:rPr>
          <w:rFonts w:cs="Times New Roman"/>
          <w:sz w:val="22"/>
          <w:szCs w:val="24"/>
          <w:lang w:val="vi-VN"/>
        </w:rPr>
        <w:t>relatively shorter length of stay by older people. We therefore incorporate</w:t>
      </w:r>
      <w:r w:rsidRPr="00121945">
        <w:rPr>
          <w:rFonts w:cs="Times New Roman"/>
          <w:sz w:val="22"/>
          <w:szCs w:val="24"/>
        </w:rPr>
        <w:t>d</w:t>
      </w:r>
      <w:r w:rsidRPr="00121945">
        <w:rPr>
          <w:rFonts w:cs="Times New Roman"/>
          <w:sz w:val="22"/>
          <w:szCs w:val="24"/>
          <w:lang w:val="vi-VN"/>
        </w:rPr>
        <w:t xml:space="preserve"> the age-variantion in hospital cost</w:t>
      </w:r>
      <w:r w:rsidR="00066D30" w:rsidRPr="00121945">
        <w:rPr>
          <w:rFonts w:cs="Times New Roman"/>
          <w:sz w:val="22"/>
          <w:szCs w:val="24"/>
        </w:rPr>
        <w:t>s</w:t>
      </w:r>
      <w:r w:rsidRPr="00121945">
        <w:rPr>
          <w:rFonts w:cs="Times New Roman"/>
          <w:sz w:val="22"/>
          <w:szCs w:val="24"/>
          <w:lang w:val="vi-VN"/>
        </w:rPr>
        <w:t xml:space="preserve"> in our model.</w:t>
      </w:r>
    </w:p>
    <w:p w:rsidR="005A0013" w:rsidRDefault="005F5235" w:rsidP="001469DC">
      <w:pPr>
        <w:spacing w:line="480" w:lineRule="auto"/>
        <w:jc w:val="both"/>
        <w:rPr>
          <w:rFonts w:cs="Times New Roman"/>
          <w:sz w:val="22"/>
          <w:szCs w:val="24"/>
        </w:rPr>
      </w:pPr>
      <w:r w:rsidRPr="00121945">
        <w:rPr>
          <w:rFonts w:cs="Times New Roman"/>
          <w:sz w:val="22"/>
          <w:szCs w:val="24"/>
          <w:lang w:val="vi-VN"/>
        </w:rPr>
        <w:t>There is limited information on the end-of-life cost in other context</w:t>
      </w:r>
      <w:r w:rsidRPr="00121945">
        <w:rPr>
          <w:rFonts w:cs="Times New Roman"/>
          <w:sz w:val="22"/>
          <w:szCs w:val="24"/>
        </w:rPr>
        <w:t>s, including home and community care, aged care facilit</w:t>
      </w:r>
      <w:r w:rsidR="00066D30" w:rsidRPr="00121945">
        <w:rPr>
          <w:rFonts w:cs="Times New Roman"/>
          <w:sz w:val="22"/>
          <w:szCs w:val="24"/>
        </w:rPr>
        <w:t>ies</w:t>
      </w:r>
      <w:r w:rsidRPr="00121945">
        <w:rPr>
          <w:rFonts w:cs="Times New Roman"/>
          <w:sz w:val="22"/>
          <w:szCs w:val="24"/>
        </w:rPr>
        <w:t xml:space="preserve"> and hospice</w:t>
      </w:r>
      <w:r w:rsidR="00066D30" w:rsidRPr="00121945">
        <w:rPr>
          <w:rFonts w:cs="Times New Roman"/>
          <w:sz w:val="22"/>
          <w:szCs w:val="24"/>
        </w:rPr>
        <w:t>s</w:t>
      </w:r>
      <w:r w:rsidRPr="00121945">
        <w:rPr>
          <w:rFonts w:cs="Times New Roman"/>
          <w:sz w:val="22"/>
          <w:szCs w:val="24"/>
        </w:rPr>
        <w:t xml:space="preserve">. </w:t>
      </w:r>
      <w:r w:rsidR="00021D27">
        <w:rPr>
          <w:rFonts w:cs="Times New Roman"/>
          <w:sz w:val="22"/>
          <w:szCs w:val="24"/>
        </w:rPr>
        <w:t>While average daily cost per resident of residential aged care facility was available (approximately AU$250)</w:t>
      </w:r>
      <w:r w:rsidR="004A2EE9">
        <w:rPr>
          <w:rFonts w:cs="Times New Roman"/>
          <w:sz w:val="22"/>
          <w:szCs w:val="24"/>
        </w:rPr>
        <w:t xml:space="preserve"> </w:t>
      </w:r>
      <w:r w:rsidR="00FC1B7E">
        <w:rPr>
          <w:rFonts w:cs="Times New Roman"/>
          <w:sz w:val="22"/>
          <w:szCs w:val="24"/>
        </w:rPr>
        <w:fldChar w:fldCharType="begin"/>
      </w:r>
      <w:r w:rsidR="004A2EE9">
        <w:rPr>
          <w:rFonts w:cs="Times New Roman"/>
          <w:sz w:val="22"/>
          <w:szCs w:val="24"/>
        </w:rPr>
        <w:instrText xml:space="preserve"> ADDIN ZOTERO_ITEM CSL_CITATION {"citationID":"a2hacunfqbm","properties":{"formattedCitation":"[11]","plainCitation":"[11]"},"citationItems":[{"id":44470,"uris":["http://zotero.org/groups/390476/items/I6MSZCZ6"],"uri":["http://zotero.org/groups/390476/items/I6MSZCZ6"],"itemData":{"id":44470,"type":"report","title":"Fifth report on the Funding and Financing of the Aged Care Sector","publisher":"Australian Government","publisher-place":"Canberra, Australia","genre":"Government Report","event-place":"Canberra, Australia","author":[{"family":"Aged Care Financing Authority","given":""}],"issued":{"date-parts":[["2017"]]}}}],"schema":"https://github.com/citation-style-language/schema/raw/master/csl-citation.json"} </w:instrText>
      </w:r>
      <w:r w:rsidR="00FC1B7E">
        <w:rPr>
          <w:rFonts w:cs="Times New Roman"/>
          <w:sz w:val="22"/>
          <w:szCs w:val="24"/>
        </w:rPr>
        <w:fldChar w:fldCharType="separate"/>
      </w:r>
      <w:r w:rsidR="004A2EE9" w:rsidRPr="004A2EE9">
        <w:rPr>
          <w:rFonts w:cs="Times New Roman"/>
          <w:sz w:val="22"/>
        </w:rPr>
        <w:t>[11]</w:t>
      </w:r>
      <w:r w:rsidR="00FC1B7E">
        <w:rPr>
          <w:rFonts w:cs="Times New Roman"/>
          <w:sz w:val="22"/>
          <w:szCs w:val="24"/>
        </w:rPr>
        <w:fldChar w:fldCharType="end"/>
      </w:r>
      <w:r w:rsidR="00021D27">
        <w:rPr>
          <w:rFonts w:cs="Times New Roman"/>
          <w:sz w:val="22"/>
          <w:szCs w:val="24"/>
        </w:rPr>
        <w:t xml:space="preserve">, this cannot be used to calculate end-of-life care in this setting due to the lack of </w:t>
      </w:r>
      <w:r w:rsidR="005A0013">
        <w:rPr>
          <w:rFonts w:cs="Times New Roman"/>
          <w:sz w:val="22"/>
          <w:szCs w:val="24"/>
        </w:rPr>
        <w:t xml:space="preserve">reliable </w:t>
      </w:r>
      <w:r w:rsidR="00021D27">
        <w:rPr>
          <w:rFonts w:cs="Times New Roman"/>
          <w:sz w:val="22"/>
          <w:szCs w:val="24"/>
        </w:rPr>
        <w:t xml:space="preserve">information on end-of-life duration and additional palliative care costs. </w:t>
      </w:r>
      <w:r w:rsidR="00D22FCC">
        <w:rPr>
          <w:rFonts w:cs="Times New Roman"/>
          <w:sz w:val="22"/>
          <w:szCs w:val="24"/>
        </w:rPr>
        <w:t xml:space="preserve">Our back-of-the-envelope calculation, assuming </w:t>
      </w:r>
      <w:r w:rsidR="0034722B">
        <w:rPr>
          <w:rFonts w:cs="Times New Roman"/>
          <w:sz w:val="22"/>
          <w:szCs w:val="24"/>
        </w:rPr>
        <w:t xml:space="preserve">20 days </w:t>
      </w:r>
      <w:r w:rsidR="00D22FCC">
        <w:rPr>
          <w:rFonts w:cs="Times New Roman"/>
          <w:sz w:val="22"/>
          <w:szCs w:val="24"/>
        </w:rPr>
        <w:t xml:space="preserve">with a palliative care loading of 20% daily cost per resident, gave a cost of </w:t>
      </w:r>
      <w:r w:rsidR="000F33B9">
        <w:rPr>
          <w:rFonts w:cs="Times New Roman"/>
          <w:sz w:val="22"/>
          <w:szCs w:val="24"/>
        </w:rPr>
        <w:t>AU$</w:t>
      </w:r>
      <w:r w:rsidR="0034722B">
        <w:rPr>
          <w:rFonts w:cs="Times New Roman"/>
          <w:sz w:val="22"/>
          <w:szCs w:val="24"/>
        </w:rPr>
        <w:t>6,0</w:t>
      </w:r>
      <w:r w:rsidR="00D22FCC">
        <w:rPr>
          <w:rFonts w:cs="Times New Roman"/>
          <w:sz w:val="22"/>
          <w:szCs w:val="24"/>
        </w:rPr>
        <w:t xml:space="preserve">00 per </w:t>
      </w:r>
      <w:r w:rsidR="0034722B">
        <w:rPr>
          <w:rFonts w:cs="Times New Roman"/>
          <w:sz w:val="22"/>
          <w:szCs w:val="24"/>
        </w:rPr>
        <w:t xml:space="preserve">resident, which was approximately </w:t>
      </w:r>
      <w:r w:rsidR="00282150">
        <w:rPr>
          <w:rFonts w:cs="Times New Roman"/>
          <w:sz w:val="22"/>
          <w:szCs w:val="24"/>
        </w:rPr>
        <w:t xml:space="preserve">40% of the average cost of </w:t>
      </w:r>
      <w:r w:rsidR="00DF3B3B">
        <w:rPr>
          <w:rFonts w:cs="Times New Roman"/>
          <w:sz w:val="22"/>
          <w:szCs w:val="24"/>
        </w:rPr>
        <w:t xml:space="preserve">end-of-life </w:t>
      </w:r>
      <w:r w:rsidR="00282150">
        <w:rPr>
          <w:rFonts w:cs="Times New Roman"/>
          <w:sz w:val="22"/>
          <w:szCs w:val="24"/>
        </w:rPr>
        <w:t>hospitalisation</w:t>
      </w:r>
      <w:r w:rsidR="000F33B9">
        <w:rPr>
          <w:rFonts w:cs="Times New Roman"/>
          <w:sz w:val="22"/>
          <w:szCs w:val="24"/>
        </w:rPr>
        <w:t xml:space="preserve"> (approximately AU$14,000</w:t>
      </w:r>
      <w:r w:rsidR="00EA0CA9">
        <w:rPr>
          <w:rFonts w:cs="Times New Roman"/>
          <w:sz w:val="22"/>
          <w:szCs w:val="24"/>
        </w:rPr>
        <w:t xml:space="preserve">, average </w:t>
      </w:r>
      <w:r w:rsidR="009745AB">
        <w:rPr>
          <w:rFonts w:cs="Times New Roman"/>
          <w:sz w:val="22"/>
          <w:szCs w:val="24"/>
        </w:rPr>
        <w:t xml:space="preserve">cost from </w:t>
      </w:r>
      <w:r w:rsidR="00EA0CA9">
        <w:rPr>
          <w:rFonts w:cs="Times New Roman"/>
          <w:sz w:val="22"/>
          <w:szCs w:val="24"/>
        </w:rPr>
        <w:t>Table A2</w:t>
      </w:r>
      <w:r w:rsidR="000F33B9">
        <w:rPr>
          <w:rFonts w:cs="Times New Roman"/>
          <w:sz w:val="22"/>
          <w:szCs w:val="24"/>
        </w:rPr>
        <w:t>)</w:t>
      </w:r>
      <w:r w:rsidR="00282150">
        <w:rPr>
          <w:rFonts w:cs="Times New Roman"/>
          <w:sz w:val="22"/>
          <w:szCs w:val="24"/>
        </w:rPr>
        <w:t xml:space="preserve">. </w:t>
      </w:r>
    </w:p>
    <w:p w:rsidR="005F5235" w:rsidRPr="00121945" w:rsidRDefault="005F5235" w:rsidP="001469DC">
      <w:pPr>
        <w:spacing w:line="480" w:lineRule="auto"/>
        <w:jc w:val="both"/>
        <w:rPr>
          <w:rFonts w:cs="Times New Roman"/>
          <w:sz w:val="22"/>
          <w:szCs w:val="24"/>
        </w:rPr>
      </w:pPr>
      <w:r w:rsidRPr="00121945">
        <w:rPr>
          <w:rFonts w:cs="Times New Roman"/>
          <w:sz w:val="22"/>
          <w:szCs w:val="24"/>
        </w:rPr>
        <w:t xml:space="preserve">Several studies have suggested that if </w:t>
      </w:r>
      <w:r w:rsidR="00066D30" w:rsidRPr="00121945">
        <w:rPr>
          <w:rFonts w:cs="Times New Roman"/>
          <w:sz w:val="22"/>
          <w:szCs w:val="24"/>
        </w:rPr>
        <w:t xml:space="preserve">the </w:t>
      </w:r>
      <w:r w:rsidRPr="00121945">
        <w:rPr>
          <w:rFonts w:cs="Times New Roman"/>
          <w:sz w:val="22"/>
          <w:szCs w:val="24"/>
        </w:rPr>
        <w:t xml:space="preserve">hospital was the default place for end-of-life care, the cost is generally higher than in other settings, including hospice and palliative facilities </w:t>
      </w:r>
      <w:r w:rsidR="00FC1B7E" w:rsidRPr="00121945">
        <w:rPr>
          <w:rFonts w:cs="Times New Roman"/>
          <w:sz w:val="22"/>
          <w:szCs w:val="24"/>
        </w:rPr>
        <w:fldChar w:fldCharType="begin"/>
      </w:r>
      <w:r w:rsidR="004A2EE9">
        <w:rPr>
          <w:rFonts w:cs="Times New Roman"/>
          <w:sz w:val="22"/>
          <w:szCs w:val="24"/>
        </w:rPr>
        <w:instrText xml:space="preserve"> ADDIN ZOTERO_ITEM CSL_CITATION {"citationID":"3fo1k3lbo","properties":{"formattedCitation":"{\\rtf [12]\\uc0\\u8211{}[14]}","plainCitation":"[12]–[14]"},"citationItems":[{"id":1227,"uris":["http://zotero.org/users/2597874/items/AVQQJ57K"],"uri":["http://zotero.org/users/2597874/items/AVQQJ57K"],"itemData":{"id":1227,"type":"article-journal","title":"Advance care planning and hospital in the nursing home","container-title":"Age and Ageing","page":"581-585","volume":"35","author":[{"family":"Caplan","given":"G A"},{"family":"Meller","given":"Anne"},{"family":"Squires","given":"B"},{"family":"Chan","given":"Stella"},{"family":"Willett","given":"Wendy"}],"issued":{"date-parts":[["2006"]]}}},{"id":265,"uris":["http://zotero.org/groups/390476/items/D9V4REJT"],"uri":["http://zotero.org/groups/390476/items/D9V4REJT"],"itemData":{"id":265,"type":"article-journal","title":"The Cost of Home Hospice Care for Terminal Patients in Israel","container-title":"American Journal of Hospice and Palliative Medicine","page":"284-290","volume":"24","issue":"4","source":"ajh.sagepub.com","abstract":"This study examined and compared the cost of care provided to terminal metastatic cancer patients by home hospices and by conventional health services. The study population included 146 patients with metastatic cancer. Half received home hospice services, and the other half received conventional services. The average overall per-patient cost of care was, respectively, $4761 (operating costs included) and $12 434. On average, the costs were lower for older patients. A multiple regression analysis revealed that treatment units per patient, care framework, and patient age significantly contributed to explaining the cost variance. The findings suggest a financial advantage for home hospice care for terminal patients. This should be investigated further, as should the cost of informal caregivers and patient and caregiver satisfaction with the quality of care in both frameworks.","DOI":"10.1177/1049909107300212","ISSN":"1049-9091, 1938-2715","note":"PMID: 17601831","journalAbbreviation":"AM J HOSP PALLIAT CARE","language":"en","author":[{"family":"Shnoor","given":"Yitschak"},{"family":"Szlaifer","given":"Mali"},{"family":"Aoberman","given":"Amitai S."},{"family":"Bentur","given":"Netta"}],"issued":{"date-parts":[["2007",8,1]]}}},{"id":264,"uris":["http://zotero.org/groups/390476/items/IJVHD6Q5"],"uri":["http://zotero.org/groups/390476/items/IJVHD6Q5"],"itemData":{"id":264,"type":"article-journal","title":"Increased Satisfaction with Care and Lower Costs: Results of a Randomized Trial of In-Home Palliative Care","container-title":"Journal of the American Geriatrics Society","page":"993-1000","volume":"55","issue":"7","source":"Wiley Online Library","abstract":"OBJECTIVES: To determine whether an in-home palliative care intervention for terminally ill patients can improve patient satisfaction, reduce medical care costs, and increase the proportion of patients dying at home. DESIGN: A randomized, controlled trial. SETTING: Two health maintenance organizations in two states. PARTICIPANTS: Homebound, terminally ill patients (N=298) with a prognosis of approximately 1 year or less to live plus one or more hospital or emergency department visits in the previous 12 months. INTERVENTION: Usual versus in-home palliative care plus usual care delivered by an interdisciplinary team providing pain and symptom relief, patient and family education and training, and an array of medical and social support services. MEASUREMENTS: Measured outcomes were satisfaction with care, use of medical services, site of death, and costs of care. RESULTS: Patients randomized to in-home palliative care reported greater improvement in satisfaction with care at 30 and 90 days after enrollment (P&lt;.05) and were more likely to die at home than those receiving usual care (P&lt;.001). In addition, in-home palliative care subjects were less likely to visit the emergency department (P=.01) or be admitted to the hospital than those receiving usual care (P&lt;.001), resulting in significantly lower costs of care for intervention patients (P=.03). CONCLUSION: In-home palliative care significantly increased patient satisfaction while reducing use of medical services and costs of medical care at the end of life. This study, although modest in scope, presents strong evidence for reforming end-of-life care.","DOI":"10.1111/j.1532-5415.2007.01234.x","ISSN":"1532-5415","shortTitle":"Increased Satisfaction with Care and Lower Costs","language":"en","author":[{"family":"Brumley","given":"Richard"},{"family":"Enguidanos","given":"Susan"},{"family":"Jamison","given":"Paula"},{"family":"Seitz","given":"Rae"},{"family":"Morgenstern","given":"Nora"},{"family":"Saito","given":"Sherry"},{"family":"McIlwane","given":"Jan"},{"family":"Hillary","given":"Kristine"},{"family":"Gonzalez","given":"Jorge"}],"issued":{"date-parts":[["2007",7,1]]}}}],"schema":"https://github.com/citation-style-language/schema/raw/master/csl-citation.json"} </w:instrText>
      </w:r>
      <w:r w:rsidR="00FC1B7E" w:rsidRPr="00121945">
        <w:rPr>
          <w:rFonts w:cs="Times New Roman"/>
          <w:sz w:val="22"/>
          <w:szCs w:val="24"/>
        </w:rPr>
        <w:fldChar w:fldCharType="separate"/>
      </w:r>
      <w:r w:rsidR="004A2EE9" w:rsidRPr="004A2EE9">
        <w:rPr>
          <w:rFonts w:cs="Times New Roman"/>
          <w:sz w:val="22"/>
          <w:szCs w:val="24"/>
        </w:rPr>
        <w:t>[12]–[14]</w:t>
      </w:r>
      <w:r w:rsidR="00FC1B7E" w:rsidRPr="00121945">
        <w:rPr>
          <w:rFonts w:cs="Times New Roman"/>
          <w:sz w:val="22"/>
          <w:szCs w:val="24"/>
        </w:rPr>
        <w:fldChar w:fldCharType="end"/>
      </w:r>
      <w:r w:rsidR="00066D30" w:rsidRPr="00121945">
        <w:rPr>
          <w:rFonts w:cs="Times New Roman"/>
          <w:sz w:val="22"/>
          <w:szCs w:val="24"/>
        </w:rPr>
        <w:t>,</w:t>
      </w:r>
      <w:r w:rsidRPr="00121945">
        <w:rPr>
          <w:rFonts w:cs="Times New Roman"/>
          <w:sz w:val="22"/>
          <w:szCs w:val="24"/>
        </w:rPr>
        <w:t xml:space="preserve"> while there is no significant improvement in mortality rates </w:t>
      </w:r>
      <w:r w:rsidR="00FC1B7E" w:rsidRPr="00121945">
        <w:rPr>
          <w:rFonts w:cs="Times New Roman"/>
          <w:sz w:val="22"/>
          <w:szCs w:val="24"/>
        </w:rPr>
        <w:fldChar w:fldCharType="begin"/>
      </w:r>
      <w:r w:rsidR="004A2EE9">
        <w:rPr>
          <w:rFonts w:cs="Times New Roman"/>
          <w:sz w:val="22"/>
          <w:szCs w:val="24"/>
        </w:rPr>
        <w:instrText xml:space="preserve"> ADDIN ZOTERO_ITEM CSL_CITATION {"citationID":"2qhejc9177","properties":{"formattedCitation":"[12], [15], [16]","plainCitation":"[12], [15], [16]"},"citationItems":[{"id":267,"uris":["http://zotero.org/groups/390476/items/WTMP55IG"],"uri":["http://zotero.org/groups/390476/items/WTMP55IG"],"itemData":{"id":267,"type":"article-journal","title":"Outcomes of Infection in Nursing Home Residents with and without Early Hospital Transfer","container-title":"Journal of the American Geriatrics Society","page":"590-596","volume":"53","issue":"4","source":"Wiley Online Library","abstract":"Objectives:  To compare outcomes of infection in nursing home residents with and without early hospital transfer. Design:  Observational cohort study. Setting:  Fifty-nine nursing homes in Maryland. Participants:  Two thousand one hundred fifty-three individuals admitted to nursing homes between 1992 and 1995. Measurements:  Incident infection was recorded when a new infectious diagnosis was documented in the medical record or nonprophylactic antibiotic therapy was prescribed. Early hospital transfer was defined as transfer to the emergency department or admission to the hospital within 3 days of infection onset. Infection, resident, and facility characteristics were entered into a multivariate model to create a propensity score for early hospital transfer. Association between early hospital transfer and outcomes of infection, namely pressure ulcers and death between Days 4 and 34 after infection onset, were examined, controlling for propensity score. Results:  Four thousand nine hundred ninety infections occurred in 1,301 residents. Genitourinary (28%), skin (19%), upper respiratory (13%), and lower respiratory (12%) were the most common types. Three hundred seventy-five episodes in which residents survived 3 days (7.6%) resulted in early hospital transfer. In multivariate regression, individuals with early hospital transfer had higher mortality (odds ratio (OR) 1.44, 95% confidence interval (CI)=1.04–1.99) and, in 1-month survivors, a greater occurrence of pressure ulcers (OR 1.61, 95% CI=1.17–2.20) than those without, after adjusting for propensity score. Conclusion:  Using observational data and propensity score methods, outcomes were worse in nursing home residents transferred to the hospital within 3 days of infection onset than in those who remained in the nursing home.","DOI":"10.1111/j.1532-5415.2005.53205.x","ISSN":"1532-5415","language":"en","author":[{"family":"Boockvar","given":"Kenneth S."},{"family":"Gruber-Baldini","given":"Ann L."},{"family":"Burton","given":"Lynda"},{"family":"Zimmerman","given":"Sheryl"},{"family":"May","given":"Conrad"},{"family":"Magaziner","given":"Jay"}],"issued":{"date-parts":[["2005",4,1]]}}},{"id":266,"uris":["http://zotero.org/groups/390476/items/2HVUVCWT"],"uri":["http://zotero.org/groups/390476/items/2HVUVCWT"],"itemData":{"id":266,"type":"article-journal","title":"Short-Term Functional Outcomes of Long-Term Care Residents with Pneumonia Treated with and without Hospital Transfer","container-title":"Journal of the American Geriatrics Society","page":"302-306","volume":"45","issue":"3","source":"Wiley Online Library","abstract":"OBJECTIVE: To determine 2-month mortality and functional status outcomes after resolution of pneumonia in older long-term care facility (LTCF) patients treated with and without hospital transfer. DESIGN: Retrospective cohort study. SETTING: Hebrew Rehabilitation Center for Aged, a 725-bed LTCF affiliated with an academic medical center, whose residents are cared for by staff physicians and geriatric fellows. PATIENTS: LTCF residents with an acute episode of pneumonia, defined as a new respiratory sign or symptom and a new infiltrate on chest radiograph. MEASUREMENTS: Functional decline or death in the 2 months after the resolution of pneumonia. RESULTS: Of 312 cases of pneumonia, 246 (79%) were treated in the LTCF and 66 (21%) were treated in the hospital. Equal proportions of patients died of their pneumonia (13% vs 12%), but a larger proportion of those hospitalized had either worsening in their functional status or had died at 2 months (P = .005, Mantel-Haenszel trend test). In a logistic regression model controlling for differences between patients treated at the two sites, hospital treatment remained associated with poorer 2-month outcome (AOR 3.02, 95% CI 1.32, 7.22), with a significant interaction between respiratory rate and treatment site. LTCF treatment was associated with better 2-month outcomes only among patients with a lower respiratory rate. For these patients, the difference in outcome between LTCF treatment and hospital treatment was greatest for patients who were independent or mildly dependent at baseline. CONCLUSIONS: In this academic LTCF, treatment for pneumonia without hospital transfer resulted in better 2-month outcomes compared with hospital treatment. Although the difference in outcome may be explained in part by differences between patients treated with and without hospital transfer, it persisted after correcting for these differences. The benefits of LTCF treatment appear to be greatest for those with less severe pneumonia and more independent functional status.","DOI":"10.1111/j.1532-5415.1997.tb00944.x","ISSN":"1532-5415","language":"en","author":[{"family":"Fried","given":"Terri R."},{"family":"Gillick","given":"Muriel R."},{"family":"Lipsitz","given":"Lewis A."}],"issued":{"date-parts":[["1997",3,1]]}}},{"id":1227,"uris":["http://zotero.org/users/2597874/items/AVQQJ57K"],"uri":["http://zotero.org/users/2597874/items/AVQQJ57K"],"itemData":{"id":1227,"type":"article-journal","title":"Advance care planning and hospital in the nursing home","container-title":"Age and Ageing","page":"581-585","volume":"35","author":[{"family":"Caplan","given":"G A"},{"family":"Meller","given":"Anne"},{"family":"Squires","given":"B"},{"family":"Chan","given":"Stella"},{"family":"Willett","given":"Wendy"}],"issued":{"date-parts":[["2006"]]}}}],"schema":"https://github.com/citation-style-language/schema/raw/master/csl-citation.json"} </w:instrText>
      </w:r>
      <w:r w:rsidR="00FC1B7E" w:rsidRPr="00121945">
        <w:rPr>
          <w:rFonts w:cs="Times New Roman"/>
          <w:sz w:val="22"/>
          <w:szCs w:val="24"/>
        </w:rPr>
        <w:fldChar w:fldCharType="separate"/>
      </w:r>
      <w:r w:rsidR="004A2EE9" w:rsidRPr="004A2EE9">
        <w:rPr>
          <w:rFonts w:cs="Times New Roman"/>
          <w:sz w:val="22"/>
        </w:rPr>
        <w:t>[12], [15], [16]</w:t>
      </w:r>
      <w:r w:rsidR="00FC1B7E" w:rsidRPr="00121945">
        <w:rPr>
          <w:rFonts w:cs="Times New Roman"/>
          <w:sz w:val="22"/>
          <w:szCs w:val="24"/>
        </w:rPr>
        <w:fldChar w:fldCharType="end"/>
      </w:r>
      <w:r w:rsidRPr="00121945">
        <w:rPr>
          <w:rFonts w:cs="Times New Roman"/>
          <w:sz w:val="22"/>
          <w:szCs w:val="24"/>
        </w:rPr>
        <w:t xml:space="preserve">. Additionally, evidence suggested that quality of life of hospitalised patients was not better than those who died at home, in </w:t>
      </w:r>
      <w:r w:rsidR="00066D30" w:rsidRPr="00121945">
        <w:rPr>
          <w:rFonts w:cs="Times New Roman"/>
          <w:sz w:val="22"/>
          <w:szCs w:val="24"/>
        </w:rPr>
        <w:t xml:space="preserve">an </w:t>
      </w:r>
      <w:r w:rsidRPr="00121945">
        <w:rPr>
          <w:rFonts w:cs="Times New Roman"/>
          <w:sz w:val="22"/>
          <w:szCs w:val="24"/>
        </w:rPr>
        <w:t xml:space="preserve">aged care facility or hospice </w:t>
      </w:r>
      <w:r w:rsidR="00FC1B7E" w:rsidRPr="00121945">
        <w:rPr>
          <w:rFonts w:cs="Times New Roman"/>
          <w:sz w:val="22"/>
          <w:szCs w:val="24"/>
        </w:rPr>
        <w:fldChar w:fldCharType="begin"/>
      </w:r>
      <w:r w:rsidR="004A2EE9">
        <w:rPr>
          <w:rFonts w:cs="Times New Roman"/>
          <w:sz w:val="22"/>
          <w:szCs w:val="24"/>
        </w:rPr>
        <w:instrText xml:space="preserve"> ADDIN ZOTERO_ITEM CSL_CITATION {"citationID":"1m3rf39v90","properties":{"formattedCitation":"[14], [17]","plainCitation":"[14], [17]"},"citationItems":[{"id":264,"uris":["http://zotero.org/groups/390476/items/IJVHD6Q5"],"uri":["http://zotero.org/groups/390476/items/IJVHD6Q5"],"itemData":{"id":264,"type":"article-journal","title":"Increased Satisfaction with Care and Lower Costs: Results of a Randomized Trial of In-Home Palliative Care","container-title":"Journal of the American Geriatrics Society","page":"993-1000","volume":"55","issue":"7","source":"Wiley Online Library","abstract":"OBJECTIVES: To determine whether an in-home palliative care intervention for terminally ill patients can improve patient satisfaction, reduce medical care costs, and increase the proportion of patients dying at home. DESIGN: A randomized, controlled trial. SETTING: Two health maintenance organizations in two states. PARTICIPANTS: Homebound, terminally ill patients (N=298) with a prognosis of approximately 1 year or less to live plus one or more hospital or emergency department visits in the previous 12 months. INTERVENTION: Usual versus in-home palliative care plus usual care delivered by an interdisciplinary team providing pain and symptom relief, patient and family education and training, and an array of medical and social support services. MEASUREMENTS: Measured outcomes were satisfaction with care, use of medical services, site of death, and costs of care. RESULTS: Patients randomized to in-home palliative care reported greater improvement in satisfaction with care at 30 and 90 days after enrollment (P&lt;.05) and were more likely to die at home than those receiving usual care (P&lt;.001). In addition, in-home palliative care subjects were less likely to visit the emergency department (P=.01) or be admitted to the hospital than those receiving usual care (P&lt;.001), resulting in significantly lower costs of care for intervention patients (P=.03). CONCLUSION: In-home palliative care significantly increased patient satisfaction while reducing use of medical services and costs of medical care at the end of life. This study, although modest in scope, presents strong evidence for reforming end-of-life care.","DOI":"10.1111/j.1532-5415.2007.01234.x","ISSN":"1532-5415","shortTitle":"Increased Satisfaction with Care and Lower Costs","language":"en","author":[{"family":"Brumley","given":"Richard"},{"family":"Enguidanos","given":"Susan"},{"family":"Jamison","given":"Paula"},{"family":"Seitz","given":"Rae"},{"family":"Morgenstern","given":"Nora"},{"family":"Saito","given":"Sherry"},{"family":"McIlwane","given":"Jan"},{"family":"Hillary","given":"Kristine"},{"family":"Gonzalez","given":"Jorge"}],"issued":{"date-parts":[["2007",7,1]]}}},{"id":1114,"uris":["http://zotero.org/users/2597874/items/527HQIWI"],"uri":["http://zotero.org/users/2597874/items/527HQIWI"],"itemData":{"id":1114,"type":"article-journal","title":"Quality of Life and Cost of Care at the End of Life: The Role of Advance Directives","container-title":"Journal of Pain and Symptom Management","page":"828-835","volume":"49","issue":"5","source":"CrossRef","DOI":"10.1016/j.jpainsymman.2014.09.015","ISSN":"08853924","shortTitle":"Quality of Life and Cost of Care at the End of Life","language":"en","author":[{"family":"Garrido","given":"Melissa M."},{"family":"Balboni","given":"Tracy A."},{"family":"Maciejewski","given":"Paul K."},{"family":"Bao","given":"Yuhua"},{"family":"Prigerson","given":"Holly G."}],"issued":{"date-parts":[["2015",5]]}}}],"schema":"https://github.com/citation-style-language/schema/raw/master/csl-citation.json"} </w:instrText>
      </w:r>
      <w:r w:rsidR="00FC1B7E" w:rsidRPr="00121945">
        <w:rPr>
          <w:rFonts w:cs="Times New Roman"/>
          <w:sz w:val="22"/>
          <w:szCs w:val="24"/>
        </w:rPr>
        <w:fldChar w:fldCharType="separate"/>
      </w:r>
      <w:r w:rsidR="004A2EE9" w:rsidRPr="004A2EE9">
        <w:rPr>
          <w:rFonts w:cs="Times New Roman"/>
          <w:sz w:val="22"/>
        </w:rPr>
        <w:t>[14], [17]</w:t>
      </w:r>
      <w:r w:rsidR="00FC1B7E" w:rsidRPr="00121945">
        <w:rPr>
          <w:rFonts w:cs="Times New Roman"/>
          <w:sz w:val="22"/>
          <w:szCs w:val="24"/>
        </w:rPr>
        <w:fldChar w:fldCharType="end"/>
      </w:r>
      <w:r w:rsidRPr="00121945">
        <w:rPr>
          <w:rFonts w:cs="Times New Roman"/>
          <w:sz w:val="22"/>
          <w:szCs w:val="24"/>
        </w:rPr>
        <w:t>. For the policy option, we examined various assumptions around the cost for patients who do not rely on hospitalisation for</w:t>
      </w:r>
      <w:r w:rsidR="00066D30" w:rsidRPr="00121945">
        <w:rPr>
          <w:rFonts w:cs="Times New Roman"/>
          <w:sz w:val="22"/>
          <w:szCs w:val="24"/>
        </w:rPr>
        <w:t xml:space="preserve"> </w:t>
      </w:r>
      <w:r w:rsidRPr="00121945">
        <w:rPr>
          <w:rFonts w:cs="Times New Roman"/>
          <w:sz w:val="22"/>
          <w:szCs w:val="24"/>
        </w:rPr>
        <w:t>end</w:t>
      </w:r>
      <w:r w:rsidR="00066D30" w:rsidRPr="00121945">
        <w:rPr>
          <w:rFonts w:cs="Times New Roman"/>
          <w:sz w:val="22"/>
          <w:szCs w:val="24"/>
        </w:rPr>
        <w:t>-</w:t>
      </w:r>
      <w:r w:rsidRPr="00121945">
        <w:rPr>
          <w:rFonts w:cs="Times New Roman"/>
          <w:sz w:val="22"/>
          <w:szCs w:val="24"/>
        </w:rPr>
        <w:t xml:space="preserve">of-life care. </w:t>
      </w:r>
    </w:p>
    <w:p w:rsidR="005F5235" w:rsidRPr="00B7657E" w:rsidRDefault="005F5235" w:rsidP="001469DC">
      <w:pPr>
        <w:spacing w:line="480" w:lineRule="auto"/>
        <w:jc w:val="both"/>
        <w:rPr>
          <w:rFonts w:cs="Times New Roman"/>
          <w:b/>
          <w:szCs w:val="24"/>
        </w:rPr>
      </w:pPr>
      <w:r w:rsidRPr="00B7657E">
        <w:rPr>
          <w:rFonts w:cs="Times New Roman"/>
          <w:b/>
          <w:szCs w:val="24"/>
        </w:rPr>
        <w:t>Health state utility weights</w:t>
      </w:r>
    </w:p>
    <w:p w:rsidR="00136F89" w:rsidRPr="00121945" w:rsidRDefault="00230384" w:rsidP="001469DC">
      <w:pPr>
        <w:spacing w:line="480" w:lineRule="auto"/>
        <w:jc w:val="both"/>
        <w:rPr>
          <w:rFonts w:cs="Times New Roman"/>
          <w:sz w:val="22"/>
          <w:szCs w:val="24"/>
        </w:rPr>
      </w:pPr>
      <w:r w:rsidRPr="00121945">
        <w:rPr>
          <w:rFonts w:cs="Times New Roman"/>
          <w:sz w:val="22"/>
          <w:szCs w:val="24"/>
        </w:rPr>
        <w:t xml:space="preserve">In our economic model, </w:t>
      </w:r>
      <w:r w:rsidR="00066D30" w:rsidRPr="00121945">
        <w:rPr>
          <w:rFonts w:cs="Times New Roman"/>
          <w:sz w:val="22"/>
          <w:szCs w:val="24"/>
        </w:rPr>
        <w:t xml:space="preserve">a </w:t>
      </w:r>
      <w:r w:rsidRPr="00121945">
        <w:rPr>
          <w:rFonts w:cs="Times New Roman"/>
          <w:sz w:val="22"/>
          <w:szCs w:val="24"/>
        </w:rPr>
        <w:t xml:space="preserve">quality-adjusted life year (QALY) was </w:t>
      </w:r>
      <w:r w:rsidR="00136F89" w:rsidRPr="00121945">
        <w:rPr>
          <w:rFonts w:cs="Times New Roman"/>
          <w:sz w:val="22"/>
          <w:szCs w:val="24"/>
        </w:rPr>
        <w:t xml:space="preserve">used to assess the extent of benefits gained from the interventions. </w:t>
      </w:r>
      <w:r w:rsidR="00066D30" w:rsidRPr="00121945">
        <w:rPr>
          <w:rFonts w:cs="Times New Roman"/>
          <w:sz w:val="22"/>
          <w:szCs w:val="24"/>
        </w:rPr>
        <w:t xml:space="preserve">A </w:t>
      </w:r>
      <w:r w:rsidR="00136F89" w:rsidRPr="00121945">
        <w:rPr>
          <w:rFonts w:cs="Times New Roman"/>
          <w:sz w:val="22"/>
          <w:szCs w:val="24"/>
        </w:rPr>
        <w:t xml:space="preserve">QALY is a metric that combines </w:t>
      </w:r>
      <w:r w:rsidR="00066D30" w:rsidRPr="00121945">
        <w:rPr>
          <w:rFonts w:cs="Times New Roman"/>
          <w:sz w:val="22"/>
          <w:szCs w:val="24"/>
        </w:rPr>
        <w:t xml:space="preserve">lifetime gained </w:t>
      </w:r>
      <w:r w:rsidR="00136F89" w:rsidRPr="00121945">
        <w:rPr>
          <w:rFonts w:cs="Times New Roman"/>
          <w:sz w:val="22"/>
          <w:szCs w:val="24"/>
        </w:rPr>
        <w:t xml:space="preserve">and the quality of the </w:t>
      </w:r>
      <w:r w:rsidR="00066D30" w:rsidRPr="00121945">
        <w:rPr>
          <w:rFonts w:cs="Times New Roman"/>
          <w:sz w:val="22"/>
          <w:szCs w:val="24"/>
        </w:rPr>
        <w:t>time gained</w:t>
      </w:r>
      <w:r w:rsidR="00136F89" w:rsidRPr="00121945">
        <w:rPr>
          <w:rFonts w:cs="Times New Roman"/>
          <w:sz w:val="22"/>
          <w:szCs w:val="24"/>
        </w:rPr>
        <w:t>. The theoretical underpinnings of QALY</w:t>
      </w:r>
      <w:r w:rsidR="00066D30" w:rsidRPr="00121945">
        <w:rPr>
          <w:rFonts w:cs="Times New Roman"/>
          <w:sz w:val="22"/>
          <w:szCs w:val="24"/>
        </w:rPr>
        <w:t>s</w:t>
      </w:r>
      <w:r w:rsidR="00136F89" w:rsidRPr="00121945">
        <w:rPr>
          <w:rFonts w:cs="Times New Roman"/>
          <w:sz w:val="22"/>
          <w:szCs w:val="24"/>
        </w:rPr>
        <w:t xml:space="preserve"> relate to </w:t>
      </w:r>
      <w:r w:rsidRPr="00121945">
        <w:rPr>
          <w:rFonts w:cs="Times New Roman"/>
          <w:sz w:val="22"/>
          <w:szCs w:val="24"/>
        </w:rPr>
        <w:t>end</w:t>
      </w:r>
      <w:r w:rsidR="00066D30" w:rsidRPr="00121945">
        <w:rPr>
          <w:rFonts w:cs="Times New Roman"/>
          <w:sz w:val="22"/>
          <w:szCs w:val="24"/>
        </w:rPr>
        <w:t>-</w:t>
      </w:r>
      <w:r w:rsidRPr="00121945">
        <w:rPr>
          <w:rFonts w:cs="Times New Roman"/>
          <w:sz w:val="22"/>
          <w:szCs w:val="24"/>
        </w:rPr>
        <w:t>of</w:t>
      </w:r>
      <w:r w:rsidR="00066D30" w:rsidRPr="00121945">
        <w:rPr>
          <w:rFonts w:cs="Times New Roman"/>
          <w:sz w:val="22"/>
          <w:szCs w:val="24"/>
        </w:rPr>
        <w:t>-</w:t>
      </w:r>
      <w:r w:rsidRPr="00121945">
        <w:rPr>
          <w:rFonts w:cs="Times New Roman"/>
          <w:sz w:val="22"/>
          <w:szCs w:val="24"/>
        </w:rPr>
        <w:t xml:space="preserve">life </w:t>
      </w:r>
      <w:r w:rsidR="00136F89" w:rsidRPr="00121945">
        <w:rPr>
          <w:rFonts w:cs="Times New Roman"/>
          <w:sz w:val="22"/>
          <w:szCs w:val="24"/>
        </w:rPr>
        <w:t xml:space="preserve">decision making where people may prefer to give up some days or weeks at </w:t>
      </w:r>
      <w:r w:rsidR="00066D30" w:rsidRPr="00121945">
        <w:rPr>
          <w:rFonts w:cs="Times New Roman"/>
          <w:sz w:val="22"/>
          <w:szCs w:val="24"/>
        </w:rPr>
        <w:t xml:space="preserve">the end of their life </w:t>
      </w:r>
      <w:r w:rsidR="00136F89" w:rsidRPr="00121945">
        <w:rPr>
          <w:rFonts w:cs="Times New Roman"/>
          <w:sz w:val="22"/>
          <w:szCs w:val="24"/>
        </w:rPr>
        <w:t>in order to have a better quality of life in t</w:t>
      </w:r>
      <w:r w:rsidR="009D55EE" w:rsidRPr="00121945">
        <w:rPr>
          <w:rFonts w:cs="Times New Roman"/>
          <w:sz w:val="22"/>
          <w:szCs w:val="24"/>
        </w:rPr>
        <w:t xml:space="preserve">he months leading up to death. </w:t>
      </w:r>
      <w:r w:rsidR="00136F89" w:rsidRPr="00121945">
        <w:rPr>
          <w:rFonts w:cs="Times New Roman"/>
          <w:sz w:val="22"/>
          <w:szCs w:val="24"/>
        </w:rPr>
        <w:t xml:space="preserve">When QALYs </w:t>
      </w:r>
      <w:r w:rsidR="00066D30" w:rsidRPr="00121945">
        <w:rPr>
          <w:rFonts w:cs="Times New Roman"/>
          <w:sz w:val="22"/>
          <w:szCs w:val="24"/>
        </w:rPr>
        <w:t>are</w:t>
      </w:r>
      <w:r w:rsidR="00136F89" w:rsidRPr="00121945">
        <w:rPr>
          <w:rFonts w:cs="Times New Roman"/>
          <w:sz w:val="22"/>
          <w:szCs w:val="24"/>
        </w:rPr>
        <w:t xml:space="preserve"> combined with the costs of providing the interventions, decision makers can understand their relative cost-effectiveness. In </w:t>
      </w:r>
      <w:r w:rsidR="00066D30" w:rsidRPr="00121945">
        <w:rPr>
          <w:rFonts w:cs="Times New Roman"/>
          <w:sz w:val="22"/>
          <w:szCs w:val="24"/>
        </w:rPr>
        <w:t xml:space="preserve">the </w:t>
      </w:r>
      <w:r w:rsidR="00136F89" w:rsidRPr="00121945">
        <w:rPr>
          <w:rFonts w:cs="Times New Roman"/>
          <w:sz w:val="22"/>
          <w:szCs w:val="24"/>
        </w:rPr>
        <w:t>case of scarce resources</w:t>
      </w:r>
      <w:r w:rsidR="00066D30" w:rsidRPr="00121945">
        <w:rPr>
          <w:rFonts w:cs="Times New Roman"/>
          <w:sz w:val="22"/>
          <w:szCs w:val="24"/>
        </w:rPr>
        <w:t>,</w:t>
      </w:r>
      <w:r w:rsidR="00136F89" w:rsidRPr="00121945">
        <w:rPr>
          <w:rFonts w:cs="Times New Roman"/>
          <w:sz w:val="22"/>
          <w:szCs w:val="24"/>
        </w:rPr>
        <w:t xml:space="preserve"> interventions which provide the best incremental cost-effectiveness ratio </w:t>
      </w:r>
      <w:r w:rsidR="00066D30" w:rsidRPr="00121945">
        <w:rPr>
          <w:rFonts w:cs="Times New Roman"/>
          <w:sz w:val="22"/>
          <w:szCs w:val="24"/>
        </w:rPr>
        <w:t>should be reimbursed</w:t>
      </w:r>
      <w:r w:rsidR="00136F89" w:rsidRPr="00121945">
        <w:rPr>
          <w:rFonts w:cs="Times New Roman"/>
          <w:sz w:val="22"/>
          <w:szCs w:val="24"/>
        </w:rPr>
        <w:t>.</w:t>
      </w:r>
      <w:r w:rsidR="009D55EE" w:rsidRPr="00121945">
        <w:rPr>
          <w:rFonts w:cs="Times New Roman"/>
          <w:sz w:val="22"/>
          <w:szCs w:val="24"/>
        </w:rPr>
        <w:t xml:space="preserve"> </w:t>
      </w:r>
    </w:p>
    <w:p w:rsidR="005F5235" w:rsidRPr="00121945" w:rsidRDefault="009D55EE" w:rsidP="001469DC">
      <w:pPr>
        <w:spacing w:line="480" w:lineRule="auto"/>
        <w:jc w:val="both"/>
        <w:rPr>
          <w:rFonts w:cs="Times New Roman"/>
          <w:sz w:val="22"/>
          <w:szCs w:val="24"/>
        </w:rPr>
      </w:pPr>
      <w:r w:rsidRPr="00121945">
        <w:rPr>
          <w:rFonts w:cs="Times New Roman"/>
          <w:sz w:val="22"/>
          <w:szCs w:val="24"/>
        </w:rPr>
        <w:t xml:space="preserve">Quality of life was calculated using utility weights. </w:t>
      </w:r>
      <w:r w:rsidR="005F5235" w:rsidRPr="00121945">
        <w:rPr>
          <w:rFonts w:cs="Times New Roman"/>
          <w:sz w:val="22"/>
          <w:szCs w:val="24"/>
        </w:rPr>
        <w:t xml:space="preserve">For the normal health state (no dementia), we sourced the utility weights from </w:t>
      </w:r>
      <w:r w:rsidR="005F5235" w:rsidRPr="00121945">
        <w:rPr>
          <w:rFonts w:cs="Times New Roman"/>
          <w:sz w:val="22"/>
          <w:szCs w:val="24"/>
          <w:lang w:val="vi-VN"/>
        </w:rPr>
        <w:t xml:space="preserve">Clemens </w:t>
      </w:r>
      <w:r w:rsidR="005F5235" w:rsidRPr="00121945">
        <w:rPr>
          <w:rFonts w:cs="Times New Roman"/>
          <w:sz w:val="22"/>
          <w:szCs w:val="24"/>
        </w:rPr>
        <w:t>et al</w:t>
      </w:r>
      <w:r w:rsidRPr="00121945">
        <w:rPr>
          <w:rFonts w:cs="Times New Roman"/>
          <w:sz w:val="22"/>
          <w:szCs w:val="24"/>
        </w:rPr>
        <w:t>.</w:t>
      </w:r>
      <w:r w:rsidRPr="00121945">
        <w:rPr>
          <w:rFonts w:cs="Times New Roman"/>
          <w:i/>
          <w:sz w:val="22"/>
          <w:szCs w:val="24"/>
        </w:rPr>
        <w:t xml:space="preserve"> </w:t>
      </w:r>
      <w:r w:rsidRPr="00121945">
        <w:rPr>
          <w:rFonts w:cs="Times New Roman"/>
          <w:sz w:val="22"/>
          <w:szCs w:val="24"/>
        </w:rPr>
        <w:t>(2014)</w:t>
      </w:r>
      <w:r w:rsidR="005F5235" w:rsidRPr="00121945">
        <w:rPr>
          <w:rFonts w:cs="Times New Roman"/>
          <w:sz w:val="22"/>
          <w:szCs w:val="24"/>
        </w:rPr>
        <w:t xml:space="preserve">, that estimated utility weights for Australians aged 18 and over </w:t>
      </w:r>
      <w:r w:rsidR="00FC1B7E" w:rsidRPr="00121945">
        <w:rPr>
          <w:rFonts w:cs="Times New Roman"/>
          <w:sz w:val="22"/>
          <w:szCs w:val="24"/>
        </w:rPr>
        <w:fldChar w:fldCharType="begin"/>
      </w:r>
      <w:r w:rsidR="004A2EE9">
        <w:rPr>
          <w:rFonts w:cs="Times New Roman"/>
          <w:sz w:val="22"/>
          <w:szCs w:val="24"/>
        </w:rPr>
        <w:instrText xml:space="preserve"> ADDIN ZOTERO_ITEM CSL_CITATION {"citationID":"13ro0otl86","properties":{"formattedCitation":"[18]","plainCitation":"[18]"},"citationItems":[{"id":1415,"uris":["http://zotero.org/users/2597874/items/JC32R27Q"],"uri":["http://zotero.org/users/2597874/items/JC32R27Q"],"itemData":{"id":1415,"type":"article-journal","title":"A comparison of EQ-5D-3L population norms in Queensland, Australia, estimated using utility value sets from Australia, the UK and USA","container-title":"Quality of Life Research","page":"2375-2381","volume":"23","issue":"8","source":"CrossRef","DOI":"10.1007/s11136-014-0676-x","ISSN":"0962-9343, 1573-2649","language":"en","author":[{"family":"Clemens","given":"Susan"},{"family":"Begum","given":"Nelufa"},{"family":"Harper","given":"Catherine"},{"family":"Whitty","given":"Jennifer A."},{"family":"Scuffham","given":"Paul A."}],"issued":{"date-parts":[["2014",10]]}}}],"schema":"https://github.com/citation-style-language/schema/raw/master/csl-citation.json"} </w:instrText>
      </w:r>
      <w:r w:rsidR="00FC1B7E" w:rsidRPr="00121945">
        <w:rPr>
          <w:rFonts w:cs="Times New Roman"/>
          <w:sz w:val="22"/>
          <w:szCs w:val="24"/>
        </w:rPr>
        <w:fldChar w:fldCharType="separate"/>
      </w:r>
      <w:r w:rsidR="004A2EE9" w:rsidRPr="004A2EE9">
        <w:rPr>
          <w:rFonts w:cs="Times New Roman"/>
          <w:sz w:val="22"/>
        </w:rPr>
        <w:t>[18]</w:t>
      </w:r>
      <w:r w:rsidR="00FC1B7E" w:rsidRPr="00121945">
        <w:rPr>
          <w:rFonts w:cs="Times New Roman"/>
          <w:sz w:val="22"/>
          <w:szCs w:val="24"/>
        </w:rPr>
        <w:fldChar w:fldCharType="end"/>
      </w:r>
      <w:r w:rsidR="005F5235" w:rsidRPr="00121945">
        <w:rPr>
          <w:rFonts w:cs="Times New Roman"/>
          <w:sz w:val="22"/>
          <w:szCs w:val="24"/>
        </w:rPr>
        <w:t>. We fitted various parametric functions to approximate the age-dependent weights. The quadratic function estimates proved to be the best fit and were used in the base case. Estimates by other functions were used in sensitivity analys</w:t>
      </w:r>
      <w:r w:rsidR="00066D30" w:rsidRPr="00121945">
        <w:rPr>
          <w:rFonts w:cs="Times New Roman"/>
          <w:sz w:val="22"/>
          <w:szCs w:val="24"/>
        </w:rPr>
        <w:t>es</w:t>
      </w:r>
      <w:r w:rsidR="005F5235" w:rsidRPr="00121945">
        <w:rPr>
          <w:rFonts w:cs="Times New Roman"/>
          <w:sz w:val="22"/>
          <w:szCs w:val="24"/>
        </w:rPr>
        <w:t xml:space="preserve">. </w:t>
      </w:r>
    </w:p>
    <w:p w:rsidR="00B11E74" w:rsidRDefault="005F5235" w:rsidP="001469DC">
      <w:pPr>
        <w:spacing w:line="480" w:lineRule="auto"/>
        <w:jc w:val="both"/>
        <w:rPr>
          <w:rFonts w:cs="Times New Roman"/>
          <w:sz w:val="22"/>
          <w:szCs w:val="24"/>
        </w:rPr>
      </w:pPr>
      <w:r w:rsidRPr="00121945">
        <w:rPr>
          <w:rFonts w:cs="Times New Roman"/>
          <w:sz w:val="22"/>
          <w:szCs w:val="24"/>
        </w:rPr>
        <w:t>There is a large variation of weights applicable for end-of-life and dementia health state</w:t>
      </w:r>
      <w:r w:rsidR="00125F19" w:rsidRPr="00121945">
        <w:rPr>
          <w:rFonts w:cs="Times New Roman"/>
          <w:sz w:val="22"/>
          <w:szCs w:val="24"/>
        </w:rPr>
        <w:t>s</w:t>
      </w:r>
      <w:r w:rsidRPr="00121945">
        <w:rPr>
          <w:rFonts w:cs="Times New Roman"/>
          <w:sz w:val="22"/>
          <w:szCs w:val="24"/>
        </w:rPr>
        <w:t>. For instance, patients with severe dementia were given a weight rang</w:t>
      </w:r>
      <w:r w:rsidR="00066D30" w:rsidRPr="00121945">
        <w:rPr>
          <w:rFonts w:cs="Times New Roman"/>
          <w:sz w:val="22"/>
          <w:szCs w:val="24"/>
        </w:rPr>
        <w:t>ing</w:t>
      </w:r>
      <w:r w:rsidRPr="00121945">
        <w:rPr>
          <w:rFonts w:cs="Times New Roman"/>
          <w:sz w:val="22"/>
          <w:szCs w:val="24"/>
        </w:rPr>
        <w:t xml:space="preserve"> from zero </w:t>
      </w:r>
      <w:r w:rsidR="00FC1B7E" w:rsidRPr="00121945">
        <w:rPr>
          <w:rFonts w:cs="Times New Roman"/>
          <w:sz w:val="22"/>
          <w:szCs w:val="24"/>
        </w:rPr>
        <w:fldChar w:fldCharType="begin"/>
      </w:r>
      <w:r w:rsidR="004A2EE9">
        <w:rPr>
          <w:rFonts w:cs="Times New Roman"/>
          <w:sz w:val="22"/>
          <w:szCs w:val="24"/>
        </w:rPr>
        <w:instrText xml:space="preserve"> ADDIN ZOTERO_ITEM CSL_CITATION {"citationID":"9pi442p0q","properties":{"formattedCitation":"[19]","plainCitation":"[19]"},"citationItems":[{"id":268,"uris":["http://zotero.org/groups/390476/items/VHPWIFWS"],"uri":["http://zotero.org/groups/390476/items/VHPWIFWS"],"itemData":{"id":268,"type":"article-journal","title":"Cost-Effectiveness of PET in the Diagnosis of Alzheimer Disease","container-title":"Radiology","page":"515-522","volume":"228","issue":"2","source":"pubs.rsna.org (Atypon)","DOI":"10.1148/radiol.2282020915","ISSN":"0033-8419","journalAbbreviation":"Radiology","author":[{"family":"McMahon","given":"Pamela M."},{"family":"Araki","given":"Sally S."},{"family":"Sandberg","given":"Eileen A."},{"family":"Neumann","given":"Peter J."},{"family":"Gazelle","given":"G. Scott"}],"issued":{"date-parts":[["2003",8,1]]}}}],"schema":"https://github.com/citation-style-language/schema/raw/master/csl-citation.json"} </w:instrText>
      </w:r>
      <w:r w:rsidR="00FC1B7E" w:rsidRPr="00121945">
        <w:rPr>
          <w:rFonts w:cs="Times New Roman"/>
          <w:sz w:val="22"/>
          <w:szCs w:val="24"/>
        </w:rPr>
        <w:fldChar w:fldCharType="separate"/>
      </w:r>
      <w:r w:rsidR="004A2EE9" w:rsidRPr="004A2EE9">
        <w:rPr>
          <w:rFonts w:cs="Times New Roman"/>
          <w:sz w:val="22"/>
        </w:rPr>
        <w:t>[19]</w:t>
      </w:r>
      <w:r w:rsidR="00FC1B7E" w:rsidRPr="00121945">
        <w:rPr>
          <w:rFonts w:cs="Times New Roman"/>
          <w:sz w:val="22"/>
          <w:szCs w:val="24"/>
        </w:rPr>
        <w:fldChar w:fldCharType="end"/>
      </w:r>
      <w:r w:rsidRPr="00121945">
        <w:rPr>
          <w:rFonts w:cs="Times New Roman"/>
          <w:sz w:val="22"/>
          <w:szCs w:val="24"/>
        </w:rPr>
        <w:t xml:space="preserve"> to 0.427 </w:t>
      </w:r>
      <w:r w:rsidR="00FC1B7E" w:rsidRPr="00121945">
        <w:rPr>
          <w:rFonts w:cs="Times New Roman"/>
          <w:sz w:val="22"/>
          <w:szCs w:val="24"/>
        </w:rPr>
        <w:fldChar w:fldCharType="begin"/>
      </w:r>
      <w:r w:rsidR="004A2EE9">
        <w:rPr>
          <w:rFonts w:cs="Times New Roman"/>
          <w:sz w:val="22"/>
          <w:szCs w:val="24"/>
        </w:rPr>
        <w:instrText xml:space="preserve"> ADDIN ZOTERO_ITEM CSL_CITATION {"citationID":"g9972489t","properties":{"formattedCitation":"[20]","plainCitation":"[20]"},"citationItems":[{"id":269,"uris":["http://zotero.org/groups/390476/items/8XU9C5I2"],"uri":["http://zotero.org/groups/390476/items/8XU9C5I2"],"itemData":{"id":269,"type":"article-journal","title":"Cost-utility analysis of group living in dementia care","container-title":"International Journal of Technology Assessment in Health Care","page":"49-65","volume":"11","issue":"1","source":"PubMed","abstract":"A cost-utility analysis (CUA) was applied to group living for dementia patients. A Markov-model of an expected life-length of 8 years was used. Forty-six patients in group living were compared to 39 patients living at home by inclusion and 23 institutionalized patients. When the cost per gained quality-adjusted life-year (QALY) was calculated, the group living alternative was the most favorable for the patients, giving a cost per paired QALY of US dollars &lt; 0. In the extensive sensitivity analysis the main result was consistent but methodological problems were indicated.","ISSN":"0266-4623","note":"PMID: 7706014","journalAbbreviation":"Int J Technol Assess Health Care","language":"eng","author":[{"family":"Wimo","given":"A."},{"family":"Mattson","given":"B."},{"family":"Krakau","given":"I."},{"family":"Eriksson","given":"T."},{"family":"Nelvig","given":"A."},{"family":"Karlsson","given":"G."}],"issued":{"date-parts":[["1995"]]}}}],"schema":"https://github.com/citation-style-language/schema/raw/master/csl-citation.json"} </w:instrText>
      </w:r>
      <w:r w:rsidR="00FC1B7E" w:rsidRPr="00121945">
        <w:rPr>
          <w:rFonts w:cs="Times New Roman"/>
          <w:sz w:val="22"/>
          <w:szCs w:val="24"/>
        </w:rPr>
        <w:fldChar w:fldCharType="separate"/>
      </w:r>
      <w:r w:rsidR="004A2EE9" w:rsidRPr="004A2EE9">
        <w:rPr>
          <w:rFonts w:cs="Times New Roman"/>
          <w:sz w:val="22"/>
        </w:rPr>
        <w:t>[20]</w:t>
      </w:r>
      <w:r w:rsidR="00FC1B7E" w:rsidRPr="00121945">
        <w:rPr>
          <w:rFonts w:cs="Times New Roman"/>
          <w:sz w:val="22"/>
          <w:szCs w:val="24"/>
        </w:rPr>
        <w:fldChar w:fldCharType="end"/>
      </w:r>
      <w:r w:rsidRPr="00121945">
        <w:rPr>
          <w:rFonts w:cs="Times New Roman"/>
          <w:sz w:val="22"/>
          <w:szCs w:val="24"/>
        </w:rPr>
        <w:t xml:space="preserve">. For those with mild dementia, this range </w:t>
      </w:r>
      <w:r w:rsidR="00066D30" w:rsidRPr="00121945">
        <w:rPr>
          <w:rFonts w:cs="Times New Roman"/>
          <w:sz w:val="22"/>
          <w:szCs w:val="24"/>
        </w:rPr>
        <w:t>was from</w:t>
      </w:r>
      <w:r w:rsidRPr="00121945">
        <w:rPr>
          <w:rFonts w:cs="Times New Roman"/>
          <w:sz w:val="22"/>
          <w:szCs w:val="24"/>
        </w:rPr>
        <w:t xml:space="preserve"> 0.37 </w:t>
      </w:r>
      <w:r w:rsidR="00FC1B7E" w:rsidRPr="00121945">
        <w:rPr>
          <w:rFonts w:cs="Times New Roman"/>
          <w:sz w:val="22"/>
          <w:szCs w:val="24"/>
        </w:rPr>
        <w:fldChar w:fldCharType="begin"/>
      </w:r>
      <w:r w:rsidR="004A2EE9">
        <w:rPr>
          <w:rFonts w:cs="Times New Roman"/>
          <w:sz w:val="22"/>
          <w:szCs w:val="24"/>
        </w:rPr>
        <w:instrText xml:space="preserve"> ADDIN ZOTERO_ITEM CSL_CITATION {"citationID":"CRYRzitu","properties":{"formattedCitation":"[19]","plainCitation":"[19]"},"citationItems":[{"id":268,"uris":["http://zotero.org/groups/390476/items/VHPWIFWS"],"uri":["http://zotero.org/groups/390476/items/VHPWIFWS"],"itemData":{"id":268,"type":"article-journal","title":"Cost-Effectiveness of PET in the Diagnosis of Alzheimer Disease","container-title":"Radiology","page":"515-522","volume":"228","issue":"2","source":"pubs.rsna.org (Atypon)","DOI":"10.1148/radiol.2282020915","ISSN":"0033-8419","journalAbbreviation":"Radiology","author":[{"family":"McMahon","given":"Pamela M."},{"family":"Araki","given":"Sally S."},{"family":"Sandberg","given":"Eileen A."},{"family":"Neumann","given":"Peter J."},{"family":"Gazelle","given":"G. Scott"}],"issued":{"date-parts":[["2003",8,1]]}}}],"schema":"https://github.com/citation-style-language/schema/raw/master/csl-citation.json"} </w:instrText>
      </w:r>
      <w:r w:rsidR="00FC1B7E" w:rsidRPr="00121945">
        <w:rPr>
          <w:rFonts w:cs="Times New Roman"/>
          <w:sz w:val="22"/>
          <w:szCs w:val="24"/>
        </w:rPr>
        <w:fldChar w:fldCharType="separate"/>
      </w:r>
      <w:r w:rsidR="004A2EE9" w:rsidRPr="004A2EE9">
        <w:rPr>
          <w:rFonts w:cs="Times New Roman"/>
          <w:sz w:val="22"/>
        </w:rPr>
        <w:t>[19]</w:t>
      </w:r>
      <w:r w:rsidR="00FC1B7E" w:rsidRPr="00121945">
        <w:rPr>
          <w:rFonts w:cs="Times New Roman"/>
          <w:sz w:val="22"/>
          <w:szCs w:val="24"/>
        </w:rPr>
        <w:fldChar w:fldCharType="end"/>
      </w:r>
      <w:r w:rsidRPr="00121945">
        <w:rPr>
          <w:rFonts w:cs="Times New Roman"/>
          <w:sz w:val="22"/>
          <w:szCs w:val="24"/>
        </w:rPr>
        <w:t xml:space="preserve"> to 0.690 </w:t>
      </w:r>
      <w:r w:rsidR="00FC1B7E" w:rsidRPr="00121945">
        <w:rPr>
          <w:rFonts w:cs="Times New Roman"/>
          <w:sz w:val="22"/>
          <w:szCs w:val="24"/>
        </w:rPr>
        <w:fldChar w:fldCharType="begin"/>
      </w:r>
      <w:r w:rsidR="004A2EE9">
        <w:rPr>
          <w:rFonts w:cs="Times New Roman"/>
          <w:sz w:val="22"/>
          <w:szCs w:val="24"/>
        </w:rPr>
        <w:instrText xml:space="preserve"> ADDIN ZOTERO_ITEM CSL_CITATION {"citationID":"mk8artgko","properties":{"formattedCitation":"[21]","plainCitation":"[21]"},"citationItems":[{"id":1602,"uris":["http://zotero.org/users/2597874/items/T7JV4XR5"],"uri":["http://zotero.org/users/2597874/items/T7JV4XR5"],"itemData":{"id":1602,"type":"article-journal","title":"Economic Evaluation of Rivastigmine in Patients with Parkinson’s Disease Dementia","container-title":"Pharmacoeconomics","page":"93-106","volume":"24","issue":"1","author":[{"family":"Willan","given":"A R"},{"family":"Goeree","given":"Ron"},{"family":"Pullenayegum","given":"E M"},{"family":"McBurney","given":"C"},{"family":"Blackhouse","given":"G"}],"issued":{"date-parts":[["2006"]]}}}],"schema":"https://github.com/citation-style-language/schema/raw/master/csl-citation.json"} </w:instrText>
      </w:r>
      <w:r w:rsidR="00FC1B7E" w:rsidRPr="00121945">
        <w:rPr>
          <w:rFonts w:cs="Times New Roman"/>
          <w:sz w:val="22"/>
          <w:szCs w:val="24"/>
        </w:rPr>
        <w:fldChar w:fldCharType="separate"/>
      </w:r>
      <w:r w:rsidR="004A2EE9" w:rsidRPr="004A2EE9">
        <w:rPr>
          <w:rFonts w:cs="Times New Roman"/>
          <w:sz w:val="22"/>
        </w:rPr>
        <w:t>[21]</w:t>
      </w:r>
      <w:r w:rsidR="00FC1B7E" w:rsidRPr="00121945">
        <w:rPr>
          <w:rFonts w:cs="Times New Roman"/>
          <w:sz w:val="22"/>
          <w:szCs w:val="24"/>
        </w:rPr>
        <w:fldChar w:fldCharType="end"/>
      </w:r>
      <w:r w:rsidRPr="00121945">
        <w:rPr>
          <w:rFonts w:cs="Times New Roman"/>
          <w:sz w:val="22"/>
          <w:szCs w:val="24"/>
        </w:rPr>
        <w:t xml:space="preserve">. We combined these data in multivariate regressions to predict the marginal reductions </w:t>
      </w:r>
      <w:r w:rsidR="00FF5748">
        <w:rPr>
          <w:rFonts w:cs="Times New Roman"/>
          <w:sz w:val="22"/>
          <w:szCs w:val="24"/>
        </w:rPr>
        <w:t>in</w:t>
      </w:r>
      <w:r w:rsidR="00FF5748" w:rsidRPr="00121945">
        <w:rPr>
          <w:rFonts w:cs="Times New Roman"/>
          <w:sz w:val="22"/>
          <w:szCs w:val="24"/>
        </w:rPr>
        <w:t xml:space="preserve"> </w:t>
      </w:r>
      <w:r w:rsidRPr="00121945">
        <w:rPr>
          <w:rFonts w:cs="Times New Roman"/>
          <w:sz w:val="22"/>
          <w:szCs w:val="24"/>
        </w:rPr>
        <w:t>utility (or disutility) from the normal health state to mild, moderate</w:t>
      </w:r>
      <w:r w:rsidR="00FF5748">
        <w:rPr>
          <w:rFonts w:cs="Times New Roman"/>
          <w:sz w:val="22"/>
          <w:szCs w:val="24"/>
        </w:rPr>
        <w:t xml:space="preserve"> or</w:t>
      </w:r>
      <w:r w:rsidRPr="00121945">
        <w:rPr>
          <w:rFonts w:cs="Times New Roman"/>
          <w:sz w:val="22"/>
          <w:szCs w:val="24"/>
        </w:rPr>
        <w:t xml:space="preserve"> severe </w:t>
      </w:r>
      <w:r w:rsidR="00066D30" w:rsidRPr="00121945">
        <w:rPr>
          <w:rFonts w:cs="Times New Roman"/>
          <w:sz w:val="22"/>
          <w:szCs w:val="24"/>
        </w:rPr>
        <w:t xml:space="preserve">dementia </w:t>
      </w:r>
      <w:r w:rsidRPr="00121945">
        <w:rPr>
          <w:rFonts w:cs="Times New Roman"/>
          <w:sz w:val="22"/>
          <w:szCs w:val="24"/>
        </w:rPr>
        <w:t>and end of life. The age-dependent weights for each health state were then calculate</w:t>
      </w:r>
      <w:r w:rsidR="00590483" w:rsidRPr="00121945">
        <w:rPr>
          <w:rFonts w:cs="Times New Roman"/>
          <w:sz w:val="22"/>
          <w:szCs w:val="24"/>
        </w:rPr>
        <w:t>d</w:t>
      </w:r>
      <w:r w:rsidRPr="00121945">
        <w:rPr>
          <w:rFonts w:cs="Times New Roman"/>
          <w:sz w:val="22"/>
          <w:szCs w:val="24"/>
        </w:rPr>
        <w:t xml:space="preserve"> by subtracting the respective disutility values from the utility weight of the normal health state. The calculation result</w:t>
      </w:r>
      <w:r w:rsidR="00590483" w:rsidRPr="00121945">
        <w:rPr>
          <w:rFonts w:cs="Times New Roman"/>
          <w:sz w:val="22"/>
          <w:szCs w:val="24"/>
        </w:rPr>
        <w:t>ed in</w:t>
      </w:r>
      <w:r w:rsidRPr="00121945">
        <w:rPr>
          <w:rFonts w:cs="Times New Roman"/>
          <w:sz w:val="22"/>
          <w:szCs w:val="24"/>
        </w:rPr>
        <w:t xml:space="preserve"> negative utility weights for very old people in the end-of-life health state. This is consistent with studies in the literature suggesting that there are health states worse than dea</w:t>
      </w:r>
      <w:r w:rsidR="00FF5748">
        <w:rPr>
          <w:rFonts w:cs="Times New Roman"/>
          <w:sz w:val="22"/>
          <w:szCs w:val="24"/>
        </w:rPr>
        <w:t>th</w:t>
      </w:r>
      <w:r w:rsidR="00590483" w:rsidRPr="00121945">
        <w:rPr>
          <w:rFonts w:cs="Times New Roman"/>
          <w:sz w:val="22"/>
          <w:szCs w:val="24"/>
        </w:rPr>
        <w:t xml:space="preserve"> (</w:t>
      </w:r>
      <w:r w:rsidRPr="00121945">
        <w:rPr>
          <w:rFonts w:cs="Times New Roman"/>
          <w:sz w:val="22"/>
          <w:szCs w:val="24"/>
        </w:rPr>
        <w:t>i.e. quality of life is less than zero</w:t>
      </w:r>
      <w:r w:rsidR="00590483" w:rsidRPr="00121945">
        <w:rPr>
          <w:rFonts w:cs="Times New Roman"/>
          <w:sz w:val="22"/>
          <w:szCs w:val="24"/>
        </w:rPr>
        <w:t>)</w:t>
      </w:r>
      <w:r w:rsidRPr="00121945">
        <w:rPr>
          <w:rFonts w:cs="Times New Roman"/>
          <w:sz w:val="22"/>
          <w:szCs w:val="24"/>
        </w:rPr>
        <w:t xml:space="preserve"> </w:t>
      </w:r>
      <w:r w:rsidR="00FC1B7E" w:rsidRPr="00121945">
        <w:rPr>
          <w:rFonts w:cs="Times New Roman"/>
          <w:sz w:val="22"/>
          <w:szCs w:val="24"/>
        </w:rPr>
        <w:fldChar w:fldCharType="begin"/>
      </w:r>
      <w:r w:rsidR="004A2EE9">
        <w:rPr>
          <w:rFonts w:cs="Times New Roman"/>
          <w:sz w:val="22"/>
          <w:szCs w:val="24"/>
        </w:rPr>
        <w:instrText xml:space="preserve"> ADDIN ZOTERO_ITEM CSL_CITATION {"citationID":"2p3831un89","properties":{"formattedCitation":"[22]","plainCitation":"[22]"},"citationItems":[{"id":"Lg5krKPS/iipBnYyw","uris":["http://www.mendeley.com/documents/?uuid=7a39c378-0140-4b48-b3e5-d9a2291703e9"],"uri":["http://www.mendeley.com/documents/?uuid=7a39c378-0140-4b48-b3e5-d9a2291703e9"],"itemData":{"author":[{"dropping-particle":"","family":"Scuffham","given":"Paul A","non-dropping-particle":"","parse-names":false,"suffix":""},{"dropping-particle":"","family":"Taylor","given":"Matthew J","non-dropping-particle":"","parse-names":false,"suffix":""}],"container-title":"Applied health economics and health policy","id":"Lg5krKPS/iipBnYyw","issue":"3","issued":{"year":2002},"page":"1-6","title":"Economics and decisions to end life: van Acht and Stooker revisited","type":"article-journal","volume":"1","page-first":"1","container-title-short":"Appl. Health Econ. Health Policy."}}],"schema":"https://github.com/citation-style-language/schema/raw/master/csl-citation.json"} </w:instrText>
      </w:r>
      <w:r w:rsidR="00FC1B7E" w:rsidRPr="00121945">
        <w:rPr>
          <w:rFonts w:cs="Times New Roman"/>
          <w:sz w:val="22"/>
          <w:szCs w:val="24"/>
        </w:rPr>
        <w:fldChar w:fldCharType="separate"/>
      </w:r>
      <w:r w:rsidR="004A2EE9" w:rsidRPr="004A2EE9">
        <w:rPr>
          <w:rFonts w:cs="Times New Roman"/>
          <w:sz w:val="22"/>
        </w:rPr>
        <w:t>[22]</w:t>
      </w:r>
      <w:r w:rsidR="00FC1B7E" w:rsidRPr="00121945">
        <w:rPr>
          <w:rFonts w:cs="Times New Roman"/>
          <w:sz w:val="22"/>
          <w:szCs w:val="24"/>
        </w:rPr>
        <w:fldChar w:fldCharType="end"/>
      </w:r>
      <w:r w:rsidRPr="00121945">
        <w:rPr>
          <w:rFonts w:cs="Times New Roman"/>
          <w:sz w:val="22"/>
          <w:szCs w:val="24"/>
        </w:rPr>
        <w:t xml:space="preserve">.  </w:t>
      </w:r>
    </w:p>
    <w:p w:rsidR="00A87E22" w:rsidRDefault="00A87E22" w:rsidP="001469DC">
      <w:pPr>
        <w:spacing w:line="480" w:lineRule="auto"/>
        <w:jc w:val="both"/>
        <w:rPr>
          <w:rFonts w:cs="Times New Roman"/>
          <w:sz w:val="22"/>
          <w:szCs w:val="24"/>
        </w:rPr>
      </w:pPr>
    </w:p>
    <w:p w:rsidR="00B11E74" w:rsidRPr="00F63C1B" w:rsidRDefault="00B11E74" w:rsidP="00B11E74">
      <w:pPr>
        <w:keepNext/>
        <w:spacing w:before="0" w:after="0" w:line="240" w:lineRule="auto"/>
        <w:rPr>
          <w:b/>
        </w:rPr>
      </w:pPr>
      <w:r w:rsidRPr="00F63C1B">
        <w:rPr>
          <w:b/>
        </w:rPr>
        <w:t>Table</w:t>
      </w:r>
      <w:r w:rsidR="00D436B3">
        <w:rPr>
          <w:b/>
        </w:rPr>
        <w:t xml:space="preserve"> </w:t>
      </w:r>
      <w:r w:rsidR="00A80CA1">
        <w:rPr>
          <w:b/>
        </w:rPr>
        <w:t>S</w:t>
      </w:r>
      <w:r w:rsidRPr="00F63C1B">
        <w:rPr>
          <w:b/>
        </w:rPr>
        <w:t xml:space="preserve">1: Key variables for the economic model </w:t>
      </w:r>
    </w:p>
    <w:tbl>
      <w:tblPr>
        <w:tblStyle w:val="TableGrid"/>
        <w:tblW w:w="9384" w:type="dxa"/>
        <w:tblLook w:val="0000"/>
      </w:tblPr>
      <w:tblGrid>
        <w:gridCol w:w="3997"/>
        <w:gridCol w:w="1418"/>
        <w:gridCol w:w="3969"/>
      </w:tblGrid>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rPr>
                <w:b/>
                <w:sz w:val="20"/>
                <w:szCs w:val="20"/>
              </w:rPr>
            </w:pPr>
            <w:r w:rsidRPr="00F63C1B">
              <w:rPr>
                <w:b/>
                <w:sz w:val="20"/>
                <w:szCs w:val="20"/>
              </w:rPr>
              <w:t xml:space="preserve">Key variables </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b/>
                <w:sz w:val="20"/>
                <w:szCs w:val="20"/>
              </w:rPr>
            </w:pPr>
            <w:r w:rsidRPr="00F63C1B">
              <w:rPr>
                <w:b/>
                <w:sz w:val="20"/>
                <w:szCs w:val="20"/>
              </w:rPr>
              <w:t>Values</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jc w:val="center"/>
              <w:rPr>
                <w:b/>
                <w:sz w:val="20"/>
                <w:szCs w:val="20"/>
              </w:rPr>
            </w:pPr>
            <w:r w:rsidRPr="00F63C1B">
              <w:rPr>
                <w:b/>
                <w:sz w:val="20"/>
                <w:szCs w:val="20"/>
              </w:rPr>
              <w:t>Sources</w:t>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rPr>
                <w:b/>
                <w:sz w:val="20"/>
                <w:szCs w:val="20"/>
              </w:rPr>
            </w:pPr>
            <w:r w:rsidRPr="00F63C1B">
              <w:rPr>
                <w:b/>
                <w:sz w:val="20"/>
                <w:szCs w:val="20"/>
              </w:rPr>
              <w:t>Probabilities</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rPr>
                <w:sz w:val="20"/>
                <w:szCs w:val="20"/>
              </w:rPr>
            </w:pPr>
            <w:r w:rsidRPr="00F63C1B">
              <w:rPr>
                <w:sz w:val="20"/>
                <w:szCs w:val="20"/>
              </w:rPr>
              <w:t xml:space="preserve">Having </w:t>
            </w:r>
            <w:r>
              <w:rPr>
                <w:sz w:val="20"/>
                <w:szCs w:val="20"/>
              </w:rPr>
              <w:t>advance care planning (ACP)</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206"/>
              <w:rPr>
                <w:sz w:val="20"/>
                <w:szCs w:val="20"/>
              </w:rPr>
            </w:pPr>
            <w:r w:rsidRPr="00F63C1B">
              <w:rPr>
                <w:sz w:val="20"/>
                <w:szCs w:val="20"/>
              </w:rPr>
              <w:t xml:space="preserve">Current situation </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0.144</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 xml:space="preserve">White </w:t>
            </w:r>
            <w:r>
              <w:rPr>
                <w:sz w:val="20"/>
                <w:szCs w:val="20"/>
              </w:rPr>
              <w:t xml:space="preserve">et al </w:t>
            </w:r>
            <w:r w:rsidRPr="00F63C1B">
              <w:rPr>
                <w:sz w:val="20"/>
                <w:szCs w:val="20"/>
              </w:rPr>
              <w:t xml:space="preserve">2014 </w:t>
            </w:r>
            <w:r w:rsidR="00FC1B7E">
              <w:rPr>
                <w:sz w:val="20"/>
                <w:szCs w:val="20"/>
              </w:rPr>
              <w:fldChar w:fldCharType="begin"/>
            </w:r>
            <w:r w:rsidR="004A2EE9">
              <w:rPr>
                <w:sz w:val="20"/>
                <w:szCs w:val="20"/>
              </w:rPr>
              <w:instrText xml:space="preserve"> ADDIN ZOTERO_ITEM CSL_CITATION {"citationID":"1g5ca8se0","properties":{"formattedCitation":"[23]","plainCitation":"[23]"},"citationItems":[{"id":1424,"uris":["http://zotero.org/users/2597874/items/JP9I2CFN"],"uri":["http://zotero.org/users/2597874/items/JP9I2CFN"],"itemData":{"id":1424,"type":"article-journal","title":"Prevalence and predictors of advance directives in Australia: Advance directives in Australia","container-title":"Internal Medicine Journal","page":"975-980","volume":"44","issue":"10","source":"CrossRef","DOI":"10.1111/imj.12549","ISSN":"14440903","shortTitle":"Prevalence and predictors of advance directives in Australia","language":"en","author":[{"family":"White","given":"B."},{"family":"Tilse","given":"C."},{"family":"Wilson","given":"J."},{"family":"Rosenman","given":"L."},{"family":"Strub","given":"T."},{"family":"Feeney","given":"R."},{"family":"Silvester","given":"W."}],"issued":{"date-parts":[["2014",10]]}}}],"schema":"https://github.com/citation-style-language/schema/raw/master/csl-citation.json"} </w:instrText>
            </w:r>
            <w:r w:rsidR="00FC1B7E">
              <w:rPr>
                <w:sz w:val="20"/>
                <w:szCs w:val="20"/>
              </w:rPr>
              <w:fldChar w:fldCharType="separate"/>
            </w:r>
            <w:r w:rsidR="004A2EE9" w:rsidRPr="004A2EE9">
              <w:rPr>
                <w:rFonts w:cs="Times New Roman"/>
                <w:sz w:val="20"/>
              </w:rPr>
              <w:t>[23]</w:t>
            </w:r>
            <w:r w:rsidR="00FC1B7E">
              <w:rPr>
                <w:sz w:val="20"/>
                <w:szCs w:val="20"/>
              </w:rPr>
              <w:fldChar w:fldCharType="end"/>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206"/>
              <w:rPr>
                <w:sz w:val="20"/>
                <w:szCs w:val="20"/>
              </w:rPr>
            </w:pPr>
            <w:r w:rsidRPr="00F63C1B">
              <w:rPr>
                <w:sz w:val="20"/>
                <w:szCs w:val="20"/>
              </w:rPr>
              <w:t>With intervention to increase ACP coverage</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0.500</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Assumption</w:t>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rPr>
                <w:sz w:val="20"/>
                <w:szCs w:val="20"/>
              </w:rPr>
            </w:pPr>
            <w:r w:rsidRPr="00F63C1B">
              <w:rPr>
                <w:sz w:val="20"/>
                <w:szCs w:val="20"/>
              </w:rPr>
              <w:t xml:space="preserve">Disease progression </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jc w:val="right"/>
              <w:rPr>
                <w:sz w:val="20"/>
                <w:szCs w:val="20"/>
              </w:rPr>
            </w:pP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206"/>
              <w:rPr>
                <w:sz w:val="20"/>
                <w:szCs w:val="20"/>
              </w:rPr>
            </w:pPr>
            <w:r w:rsidRPr="00F63C1B">
              <w:rPr>
                <w:sz w:val="20"/>
                <w:szCs w:val="20"/>
              </w:rPr>
              <w:t>Mild to mild</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0.614</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Neumann et al 2001</w:t>
            </w:r>
            <w:r>
              <w:rPr>
                <w:sz w:val="20"/>
                <w:szCs w:val="20"/>
              </w:rPr>
              <w:t xml:space="preserve"> </w:t>
            </w:r>
            <w:r w:rsidR="00FC1B7E">
              <w:rPr>
                <w:sz w:val="20"/>
                <w:szCs w:val="20"/>
              </w:rPr>
              <w:fldChar w:fldCharType="begin"/>
            </w:r>
            <w:r w:rsidR="004A2EE9">
              <w:rPr>
                <w:sz w:val="20"/>
                <w:szCs w:val="20"/>
              </w:rPr>
              <w:instrText xml:space="preserve"> ADDIN ZOTERO_ITEM CSL_CITATION {"citationID":"28uo3shsue","properties":{"formattedCitation":"[4]","plainCitation":"[4]"},"citationItems":[{"id":1309,"uris":["http://zotero.org/users/2597874/items/EPRBNZED"],"uri":["http://zotero.org/users/2597874/items/EPRBNZED"],"itemData":{"id":1309,"type":"article-journal","title":"Measuring Alzheimer’s disease progression with transition probabilities Estimates from CERAD","container-title":"Neurology","page":"957–964","volume":"57","issue":"6","source":"Google Scholar","author":[{"family":"Neumann","given":"P. J."},{"family":"Araki","given":"S. S."},{"family":"Arcelus","given":"A."},{"family":"Longo","given":"A."},{"family":"Papadopoulos","given":"G."},{"family":"Kosik","given":"KSet","dropping-particle":"al"},{"family":"Kuntz","given":"K. M."},{"family":"Bhattacharjya","given":"A."}],"issued":{"date-parts":[["2001"]]}}}],"schema":"https://github.com/citation-style-language/schema/raw/master/csl-citation.json"} </w:instrText>
            </w:r>
            <w:r w:rsidR="00FC1B7E">
              <w:rPr>
                <w:sz w:val="20"/>
                <w:szCs w:val="20"/>
              </w:rPr>
              <w:fldChar w:fldCharType="separate"/>
            </w:r>
            <w:r w:rsidR="003022D2" w:rsidRPr="003022D2">
              <w:rPr>
                <w:rFonts w:cs="Times New Roman"/>
                <w:sz w:val="20"/>
              </w:rPr>
              <w:t>[4]</w:t>
            </w:r>
            <w:r w:rsidR="00FC1B7E">
              <w:rPr>
                <w:sz w:val="20"/>
                <w:szCs w:val="20"/>
              </w:rPr>
              <w:fldChar w:fldCharType="end"/>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206"/>
              <w:rPr>
                <w:sz w:val="20"/>
                <w:szCs w:val="20"/>
              </w:rPr>
            </w:pPr>
            <w:r w:rsidRPr="00F63C1B">
              <w:rPr>
                <w:sz w:val="20"/>
                <w:szCs w:val="20"/>
              </w:rPr>
              <w:t>Mild to moderate</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0.364</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Neumann et al 2001</w:t>
            </w:r>
            <w:r>
              <w:rPr>
                <w:sz w:val="20"/>
                <w:szCs w:val="20"/>
              </w:rPr>
              <w:t xml:space="preserve"> </w:t>
            </w:r>
            <w:r w:rsidR="00FC1B7E">
              <w:rPr>
                <w:sz w:val="20"/>
                <w:szCs w:val="20"/>
              </w:rPr>
              <w:fldChar w:fldCharType="begin"/>
            </w:r>
            <w:r w:rsidR="004A2EE9">
              <w:rPr>
                <w:sz w:val="20"/>
                <w:szCs w:val="20"/>
              </w:rPr>
              <w:instrText xml:space="preserve"> ADDIN ZOTERO_ITEM CSL_CITATION {"citationID":"oup1Pzi1","properties":{"formattedCitation":"[4]","plainCitation":"[4]"},"citationItems":[{"id":1309,"uris":["http://zotero.org/users/2597874/items/EPRBNZED"],"uri":["http://zotero.org/users/2597874/items/EPRBNZED"],"itemData":{"id":1309,"type":"article-journal","title":"Measuring Alzheimer’s disease progression with transition probabilities Estimates from CERAD","container-title":"Neurology","page":"957–964","volume":"57","issue":"6","source":"Google Scholar","author":[{"family":"Neumann","given":"P. J."},{"family":"Araki","given":"S. S."},{"family":"Arcelus","given":"A."},{"family":"Longo","given":"A."},{"family":"Papadopoulos","given":"G."},{"family":"Kosik","given":"KSet","dropping-particle":"al"},{"family":"Kuntz","given":"K. M."},{"family":"Bhattacharjya","given":"A."}],"issued":{"date-parts":[["2001"]]}}}],"schema":"https://github.com/citation-style-language/schema/raw/master/csl-citation.json"} </w:instrText>
            </w:r>
            <w:r w:rsidR="00FC1B7E">
              <w:rPr>
                <w:sz w:val="20"/>
                <w:szCs w:val="20"/>
              </w:rPr>
              <w:fldChar w:fldCharType="separate"/>
            </w:r>
            <w:r w:rsidR="003022D2" w:rsidRPr="003022D2">
              <w:rPr>
                <w:rFonts w:cs="Times New Roman"/>
                <w:sz w:val="20"/>
              </w:rPr>
              <w:t>[4]</w:t>
            </w:r>
            <w:r w:rsidR="00FC1B7E">
              <w:rPr>
                <w:sz w:val="20"/>
                <w:szCs w:val="20"/>
              </w:rPr>
              <w:fldChar w:fldCharType="end"/>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206"/>
              <w:rPr>
                <w:sz w:val="20"/>
                <w:szCs w:val="20"/>
              </w:rPr>
            </w:pPr>
            <w:r w:rsidRPr="00F63C1B">
              <w:rPr>
                <w:sz w:val="20"/>
                <w:szCs w:val="20"/>
              </w:rPr>
              <w:t>Moderate to moderate</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0.608</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Neumann et al 2001</w:t>
            </w:r>
            <w:r>
              <w:rPr>
                <w:sz w:val="20"/>
                <w:szCs w:val="20"/>
              </w:rPr>
              <w:t xml:space="preserve"> </w:t>
            </w:r>
            <w:r w:rsidR="00FC1B7E">
              <w:rPr>
                <w:sz w:val="20"/>
                <w:szCs w:val="20"/>
              </w:rPr>
              <w:fldChar w:fldCharType="begin"/>
            </w:r>
            <w:r w:rsidR="004A2EE9">
              <w:rPr>
                <w:sz w:val="20"/>
                <w:szCs w:val="20"/>
              </w:rPr>
              <w:instrText xml:space="preserve"> ADDIN ZOTERO_ITEM CSL_CITATION {"citationID":"g7kRzRHk","properties":{"formattedCitation":"[4]","plainCitation":"[4]"},"citationItems":[{"id":1309,"uris":["http://zotero.org/users/2597874/items/EPRBNZED"],"uri":["http://zotero.org/users/2597874/items/EPRBNZED"],"itemData":{"id":1309,"type":"article-journal","title":"Measuring Alzheimer’s disease progression with transition probabilities Estimates from CERAD","container-title":"Neurology","page":"957–964","volume":"57","issue":"6","source":"Google Scholar","author":[{"family":"Neumann","given":"P. J."},{"family":"Araki","given":"S. S."},{"family":"Arcelus","given":"A."},{"family":"Longo","given":"A."},{"family":"Papadopoulos","given":"G."},{"family":"Kosik","given":"KSet","dropping-particle":"al"},{"family":"Kuntz","given":"K. M."},{"family":"Bhattacharjya","given":"A."}],"issued":{"date-parts":[["2001"]]}}}],"schema":"https://github.com/citation-style-language/schema/raw/master/csl-citation.json"} </w:instrText>
            </w:r>
            <w:r w:rsidR="00FC1B7E">
              <w:rPr>
                <w:sz w:val="20"/>
                <w:szCs w:val="20"/>
              </w:rPr>
              <w:fldChar w:fldCharType="separate"/>
            </w:r>
            <w:r w:rsidR="003022D2" w:rsidRPr="003022D2">
              <w:rPr>
                <w:rFonts w:cs="Times New Roman"/>
                <w:sz w:val="20"/>
              </w:rPr>
              <w:t>[4]</w:t>
            </w:r>
            <w:r w:rsidR="00FC1B7E">
              <w:rPr>
                <w:sz w:val="20"/>
                <w:szCs w:val="20"/>
              </w:rPr>
              <w:fldChar w:fldCharType="end"/>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206"/>
              <w:rPr>
                <w:sz w:val="20"/>
                <w:szCs w:val="20"/>
              </w:rPr>
            </w:pPr>
            <w:r w:rsidRPr="00F63C1B">
              <w:rPr>
                <w:sz w:val="20"/>
                <w:szCs w:val="20"/>
              </w:rPr>
              <w:t>Moderate to severe</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0.339</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Neumann et al 2001</w:t>
            </w:r>
            <w:r>
              <w:rPr>
                <w:sz w:val="20"/>
                <w:szCs w:val="20"/>
              </w:rPr>
              <w:t xml:space="preserve"> </w:t>
            </w:r>
            <w:r w:rsidR="00FC1B7E">
              <w:rPr>
                <w:sz w:val="20"/>
                <w:szCs w:val="20"/>
              </w:rPr>
              <w:fldChar w:fldCharType="begin"/>
            </w:r>
            <w:r w:rsidR="004A2EE9">
              <w:rPr>
                <w:sz w:val="20"/>
                <w:szCs w:val="20"/>
              </w:rPr>
              <w:instrText xml:space="preserve"> ADDIN ZOTERO_ITEM CSL_CITATION {"citationID":"O8muUqRh","properties":{"formattedCitation":"[4]","plainCitation":"[4]"},"citationItems":[{"id":1309,"uris":["http://zotero.org/users/2597874/items/EPRBNZED"],"uri":["http://zotero.org/users/2597874/items/EPRBNZED"],"itemData":{"id":1309,"type":"article-journal","title":"Measuring Alzheimer’s disease progression with transition probabilities Estimates from CERAD","container-title":"Neurology","page":"957–964","volume":"57","issue":"6","source":"Google Scholar","author":[{"family":"Neumann","given":"P. J."},{"family":"Araki","given":"S. S."},{"family":"Arcelus","given":"A."},{"family":"Longo","given":"A."},{"family":"Papadopoulos","given":"G."},{"family":"Kosik","given":"KSet","dropping-particle":"al"},{"family":"Kuntz","given":"K. M."},{"family":"Bhattacharjya","given":"A."}],"issued":{"date-parts":[["2001"]]}}}],"schema":"https://github.com/citation-style-language/schema/raw/master/csl-citation.json"} </w:instrText>
            </w:r>
            <w:r w:rsidR="00FC1B7E">
              <w:rPr>
                <w:sz w:val="20"/>
                <w:szCs w:val="20"/>
              </w:rPr>
              <w:fldChar w:fldCharType="separate"/>
            </w:r>
            <w:r w:rsidR="003022D2" w:rsidRPr="003022D2">
              <w:rPr>
                <w:rFonts w:cs="Times New Roman"/>
                <w:sz w:val="20"/>
              </w:rPr>
              <w:t>[4]</w:t>
            </w:r>
            <w:r w:rsidR="00FC1B7E">
              <w:rPr>
                <w:sz w:val="20"/>
                <w:szCs w:val="20"/>
              </w:rPr>
              <w:fldChar w:fldCharType="end"/>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206"/>
              <w:rPr>
                <w:sz w:val="20"/>
                <w:szCs w:val="20"/>
              </w:rPr>
            </w:pPr>
            <w:r w:rsidRPr="00F63C1B">
              <w:rPr>
                <w:sz w:val="20"/>
                <w:szCs w:val="20"/>
              </w:rPr>
              <w:t>Severe to severe</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0.847</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Neumann et al 2001</w:t>
            </w:r>
            <w:r>
              <w:rPr>
                <w:sz w:val="20"/>
                <w:szCs w:val="20"/>
              </w:rPr>
              <w:t xml:space="preserve"> </w:t>
            </w:r>
            <w:r w:rsidR="00FC1B7E">
              <w:rPr>
                <w:sz w:val="20"/>
                <w:szCs w:val="20"/>
              </w:rPr>
              <w:fldChar w:fldCharType="begin"/>
            </w:r>
            <w:r w:rsidR="004A2EE9">
              <w:rPr>
                <w:sz w:val="20"/>
                <w:szCs w:val="20"/>
              </w:rPr>
              <w:instrText xml:space="preserve"> ADDIN ZOTERO_ITEM CSL_CITATION {"citationID":"pYYi2bk0","properties":{"formattedCitation":"[4]","plainCitation":"[4]"},"citationItems":[{"id":1309,"uris":["http://zotero.org/users/2597874/items/EPRBNZED"],"uri":["http://zotero.org/users/2597874/items/EPRBNZED"],"itemData":{"id":1309,"type":"article-journal","title":"Measuring Alzheimer’s disease progression with transition probabilities Estimates from CERAD","container-title":"Neurology","page":"957–964","volume":"57","issue":"6","source":"Google Scholar","author":[{"family":"Neumann","given":"P. J."},{"family":"Araki","given":"S. S."},{"family":"Arcelus","given":"A."},{"family":"Longo","given":"A."},{"family":"Papadopoulos","given":"G."},{"family":"Kosik","given":"KSet","dropping-particle":"al"},{"family":"Kuntz","given":"K. M."},{"family":"Bhattacharjya","given":"A."}],"issued":{"date-parts":[["2001"]]}}}],"schema":"https://github.com/citation-style-language/schema/raw/master/csl-citation.json"} </w:instrText>
            </w:r>
            <w:r w:rsidR="00FC1B7E">
              <w:rPr>
                <w:sz w:val="20"/>
                <w:szCs w:val="20"/>
              </w:rPr>
              <w:fldChar w:fldCharType="separate"/>
            </w:r>
            <w:r w:rsidR="003022D2" w:rsidRPr="003022D2">
              <w:rPr>
                <w:rFonts w:cs="Times New Roman"/>
                <w:sz w:val="20"/>
              </w:rPr>
              <w:t>[4]</w:t>
            </w:r>
            <w:r w:rsidR="00FC1B7E">
              <w:rPr>
                <w:sz w:val="20"/>
                <w:szCs w:val="20"/>
              </w:rPr>
              <w:fldChar w:fldCharType="end"/>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rPr>
                <w:sz w:val="20"/>
                <w:szCs w:val="20"/>
              </w:rPr>
            </w:pPr>
            <w:r w:rsidRPr="00F63C1B">
              <w:rPr>
                <w:sz w:val="20"/>
                <w:szCs w:val="20"/>
              </w:rPr>
              <w:t>Die in hospital</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jc w:val="right"/>
              <w:rPr>
                <w:sz w:val="20"/>
                <w:szCs w:val="20"/>
              </w:rPr>
            </w:pP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206"/>
              <w:rPr>
                <w:sz w:val="20"/>
                <w:szCs w:val="20"/>
              </w:rPr>
            </w:pPr>
            <w:r w:rsidRPr="00F63C1B">
              <w:rPr>
                <w:sz w:val="20"/>
                <w:szCs w:val="20"/>
              </w:rPr>
              <w:t xml:space="preserve">Without ACP </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0.670</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 xml:space="preserve">Hunt et al </w:t>
            </w:r>
            <w:r>
              <w:rPr>
                <w:sz w:val="20"/>
                <w:szCs w:val="20"/>
              </w:rPr>
              <w:t xml:space="preserve">2013 </w:t>
            </w:r>
            <w:r w:rsidR="00FC1B7E">
              <w:rPr>
                <w:sz w:val="20"/>
                <w:szCs w:val="20"/>
              </w:rPr>
              <w:fldChar w:fldCharType="begin"/>
            </w:r>
            <w:r w:rsidR="004A2EE9">
              <w:rPr>
                <w:sz w:val="20"/>
                <w:szCs w:val="20"/>
              </w:rPr>
              <w:instrText xml:space="preserve"> ADDIN ZOTERO_ITEM CSL_CITATION {"citationID":"281k26a2n4","properties":{"formattedCitation":"[24]","plainCitation":"[24]"},"citationItems":[{"id":1468,"uris":["http://zotero.org/users/2597874/items/MI2KCXSS"],"uri":["http://zotero.org/users/2597874/items/MI2KCXSS"],"itemData":{"id":1468,"type":"speech","title":"Estimating impact of ACP activity on hospital admission, OBD and acute care savings","publisher-place":"Melbourne","event":"ACPEL Conference","event-place":"Melbourne","author":[{"family":"Hunt","given":"Roger"},{"family":"Seal","given":"Marion"},{"family":"Owen","given":"Liz"}],"issued":{"date-parts":[["2013"]]}}}],"schema":"https://github.com/citation-style-language/schema/raw/master/csl-citation.json"} </w:instrText>
            </w:r>
            <w:r w:rsidR="00FC1B7E">
              <w:rPr>
                <w:sz w:val="20"/>
                <w:szCs w:val="20"/>
              </w:rPr>
              <w:fldChar w:fldCharType="separate"/>
            </w:r>
            <w:r w:rsidR="004A2EE9" w:rsidRPr="004A2EE9">
              <w:rPr>
                <w:rFonts w:cs="Times New Roman"/>
                <w:sz w:val="20"/>
              </w:rPr>
              <w:t>[24]</w:t>
            </w:r>
            <w:r w:rsidR="00FC1B7E">
              <w:rPr>
                <w:sz w:val="20"/>
                <w:szCs w:val="20"/>
              </w:rPr>
              <w:fldChar w:fldCharType="end"/>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206"/>
              <w:rPr>
                <w:sz w:val="20"/>
                <w:szCs w:val="20"/>
              </w:rPr>
            </w:pPr>
            <w:r w:rsidRPr="00F63C1B">
              <w:rPr>
                <w:sz w:val="20"/>
                <w:szCs w:val="20"/>
              </w:rPr>
              <w:t xml:space="preserve">With ACP </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0.150</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 xml:space="preserve">Hunt et al </w:t>
            </w:r>
            <w:r>
              <w:rPr>
                <w:sz w:val="20"/>
                <w:szCs w:val="20"/>
              </w:rPr>
              <w:t xml:space="preserve">2013 </w:t>
            </w:r>
            <w:r w:rsidR="00FC1B7E">
              <w:rPr>
                <w:sz w:val="20"/>
                <w:szCs w:val="20"/>
              </w:rPr>
              <w:fldChar w:fldCharType="begin"/>
            </w:r>
            <w:r w:rsidR="004A2EE9">
              <w:rPr>
                <w:sz w:val="20"/>
                <w:szCs w:val="20"/>
              </w:rPr>
              <w:instrText xml:space="preserve"> ADDIN ZOTERO_ITEM CSL_CITATION {"citationID":"1snv8u2glt","properties":{"formattedCitation":"[24]","plainCitation":"[24]"},"citationItems":[{"id":1468,"uris":["http://zotero.org/users/2597874/items/MI2KCXSS"],"uri":["http://zotero.org/users/2597874/items/MI2KCXSS"],"itemData":{"id":1468,"type":"speech","title":"Estimating impact of ACP activity on hospital admission, OBD and acute care savings","publisher-place":"Melbourne","event":"ACPEL Conference","event-place":"Melbourne","author":[{"family":"Hunt","given":"Roger"},{"family":"Seal","given":"Marion"},{"family":"Owen","given":"Liz"}],"issued":{"date-parts":[["2013"]]}}}],"schema":"https://github.com/citation-style-language/schema/raw/master/csl-citation.json"} </w:instrText>
            </w:r>
            <w:r w:rsidR="00FC1B7E">
              <w:rPr>
                <w:sz w:val="20"/>
                <w:szCs w:val="20"/>
              </w:rPr>
              <w:fldChar w:fldCharType="separate"/>
            </w:r>
            <w:r w:rsidR="004A2EE9" w:rsidRPr="004A2EE9">
              <w:rPr>
                <w:rFonts w:cs="Times New Roman"/>
                <w:sz w:val="20"/>
              </w:rPr>
              <w:t>[24]</w:t>
            </w:r>
            <w:r w:rsidR="00FC1B7E">
              <w:rPr>
                <w:sz w:val="20"/>
                <w:szCs w:val="20"/>
              </w:rPr>
              <w:fldChar w:fldCharType="end"/>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rPr>
                <w:sz w:val="20"/>
                <w:szCs w:val="20"/>
              </w:rPr>
            </w:pPr>
            <w:r w:rsidRPr="00F63C1B">
              <w:rPr>
                <w:sz w:val="20"/>
                <w:szCs w:val="20"/>
              </w:rPr>
              <w:t>End</w:t>
            </w:r>
            <w:r>
              <w:rPr>
                <w:sz w:val="20"/>
                <w:szCs w:val="20"/>
              </w:rPr>
              <w:t>-</w:t>
            </w:r>
            <w:r w:rsidRPr="00F63C1B">
              <w:rPr>
                <w:sz w:val="20"/>
                <w:szCs w:val="20"/>
              </w:rPr>
              <w:t>of</w:t>
            </w:r>
            <w:r>
              <w:rPr>
                <w:sz w:val="20"/>
                <w:szCs w:val="20"/>
              </w:rPr>
              <w:t>-</w:t>
            </w:r>
            <w:r w:rsidRPr="00F63C1B">
              <w:rPr>
                <w:sz w:val="20"/>
                <w:szCs w:val="20"/>
              </w:rPr>
              <w:t>life preference and wish being respected</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jc w:val="right"/>
              <w:rPr>
                <w:sz w:val="20"/>
                <w:szCs w:val="20"/>
              </w:rPr>
            </w:pP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206"/>
              <w:rPr>
                <w:sz w:val="20"/>
                <w:szCs w:val="20"/>
              </w:rPr>
            </w:pPr>
            <w:r w:rsidRPr="00F63C1B">
              <w:rPr>
                <w:sz w:val="20"/>
                <w:szCs w:val="20"/>
              </w:rPr>
              <w:t xml:space="preserve">Without ACP </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0.296</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Detering et al 2010</w:t>
            </w:r>
            <w:r>
              <w:rPr>
                <w:sz w:val="20"/>
                <w:szCs w:val="20"/>
              </w:rPr>
              <w:t xml:space="preserve"> </w:t>
            </w:r>
            <w:r w:rsidR="00FC1B7E">
              <w:rPr>
                <w:sz w:val="20"/>
                <w:szCs w:val="20"/>
              </w:rPr>
              <w:fldChar w:fldCharType="begin"/>
            </w:r>
            <w:r w:rsidR="004A2EE9">
              <w:rPr>
                <w:sz w:val="20"/>
                <w:szCs w:val="20"/>
              </w:rPr>
              <w:instrText xml:space="preserve"> ADDIN ZOTERO_ITEM CSL_CITATION {"citationID":"lor2av62o","properties":{"formattedCitation":"[25]","plainCitation":"[25]"},"citationItems":[{"id":1299,"uris":["http://zotero.org/users/2597874/items/E69GH8BU"],"uri":["http://zotero.org/users/2597874/items/E69GH8BU"],"itemData":{"id":1299,"type":"article-journal","title":"The impact of advance care planning on end of life care in elderly patients: randomised controlled trial","container-title":"BMJ","page":"c1345-c1345","volume":"340","issue":"mar23 1","source":"CrossRef","DOI":"10.1136/bmj.c1345","ISSN":"0959-8138, 1468-5833","shortTitle":"The impact of advance care planning on end of life care in elderly patients","language":"en","author":[{"family":"Detering","given":"K. M"},{"family":"Hancock","given":"A. D"},{"family":"Reade","given":"M. C"},{"family":"Silvester","given":"W."}],"issued":{"date-parts":[["2010",3,23]]}}}],"schema":"https://github.com/citation-style-language/schema/raw/master/csl-citation.json"} </w:instrText>
            </w:r>
            <w:r w:rsidR="00FC1B7E">
              <w:rPr>
                <w:sz w:val="20"/>
                <w:szCs w:val="20"/>
              </w:rPr>
              <w:fldChar w:fldCharType="separate"/>
            </w:r>
            <w:r w:rsidR="004A2EE9" w:rsidRPr="004A2EE9">
              <w:rPr>
                <w:rFonts w:cs="Times New Roman"/>
                <w:sz w:val="20"/>
              </w:rPr>
              <w:t>[25]</w:t>
            </w:r>
            <w:r w:rsidR="00FC1B7E">
              <w:rPr>
                <w:sz w:val="20"/>
                <w:szCs w:val="20"/>
              </w:rPr>
              <w:fldChar w:fldCharType="end"/>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206"/>
              <w:rPr>
                <w:sz w:val="20"/>
                <w:szCs w:val="20"/>
              </w:rPr>
            </w:pPr>
            <w:r w:rsidRPr="00F63C1B">
              <w:rPr>
                <w:sz w:val="20"/>
                <w:szCs w:val="20"/>
              </w:rPr>
              <w:t xml:space="preserve">With ACP </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0.862</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Detering et al 2010</w:t>
            </w:r>
            <w:r>
              <w:rPr>
                <w:sz w:val="20"/>
                <w:szCs w:val="20"/>
              </w:rPr>
              <w:t xml:space="preserve"> </w:t>
            </w:r>
            <w:r w:rsidR="00FC1B7E">
              <w:rPr>
                <w:sz w:val="20"/>
                <w:szCs w:val="20"/>
              </w:rPr>
              <w:fldChar w:fldCharType="begin"/>
            </w:r>
            <w:r w:rsidR="004A2EE9">
              <w:rPr>
                <w:sz w:val="20"/>
                <w:szCs w:val="20"/>
              </w:rPr>
              <w:instrText xml:space="preserve"> ADDIN ZOTERO_ITEM CSL_CITATION {"citationID":"dqIgTqmw","properties":{"formattedCitation":"[25]","plainCitation":"[25]"},"citationItems":[{"id":1299,"uris":["http://zotero.org/users/2597874/items/E69GH8BU"],"uri":["http://zotero.org/users/2597874/items/E69GH8BU"],"itemData":{"id":1299,"type":"article-journal","title":"The impact of advance care planning on end of life care in elderly patients: randomised controlled trial","container-title":"BMJ","page":"c1345-c1345","volume":"340","issue":"mar23 1","source":"CrossRef","DOI":"10.1136/bmj.c1345","ISSN":"0959-8138, 1468-5833","shortTitle":"The impact of advance care planning on end of life care in elderly patients","language":"en","author":[{"family":"Detering","given":"K. M"},{"family":"Hancock","given":"A. D"},{"family":"Reade","given":"M. C"},{"family":"Silvester","given":"W."}],"issued":{"date-parts":[["2010",3,23]]}}}],"schema":"https://github.com/citation-style-language/schema/raw/master/csl-citation.json"} </w:instrText>
            </w:r>
            <w:r w:rsidR="00FC1B7E">
              <w:rPr>
                <w:sz w:val="20"/>
                <w:szCs w:val="20"/>
              </w:rPr>
              <w:fldChar w:fldCharType="separate"/>
            </w:r>
            <w:r w:rsidR="004A2EE9" w:rsidRPr="004A2EE9">
              <w:rPr>
                <w:rFonts w:cs="Times New Roman"/>
                <w:sz w:val="20"/>
              </w:rPr>
              <w:t>[25]</w:t>
            </w:r>
            <w:r w:rsidR="00FC1B7E">
              <w:rPr>
                <w:sz w:val="20"/>
                <w:szCs w:val="20"/>
              </w:rPr>
              <w:fldChar w:fldCharType="end"/>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rPr>
                <w:sz w:val="20"/>
                <w:szCs w:val="20"/>
              </w:rPr>
            </w:pPr>
            <w:r w:rsidRPr="00F63C1B">
              <w:rPr>
                <w:sz w:val="20"/>
                <w:szCs w:val="20"/>
              </w:rPr>
              <w:t xml:space="preserve">Mortality risk </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Age dependent</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Australia life table</w:t>
            </w:r>
            <w:r>
              <w:rPr>
                <w:sz w:val="20"/>
                <w:szCs w:val="20"/>
              </w:rPr>
              <w:t>s</w:t>
            </w:r>
            <w:r w:rsidRPr="00F63C1B">
              <w:rPr>
                <w:sz w:val="20"/>
                <w:szCs w:val="20"/>
              </w:rPr>
              <w:t xml:space="preserve">, see Table </w:t>
            </w:r>
            <w:r w:rsidR="000846DF">
              <w:rPr>
                <w:sz w:val="20"/>
                <w:szCs w:val="20"/>
              </w:rPr>
              <w:t>A</w:t>
            </w:r>
            <w:r w:rsidRPr="00F63C1B">
              <w:rPr>
                <w:sz w:val="20"/>
                <w:szCs w:val="20"/>
              </w:rPr>
              <w:t>2</w:t>
            </w:r>
            <w:r>
              <w:rPr>
                <w:sz w:val="20"/>
                <w:szCs w:val="20"/>
              </w:rPr>
              <w:t xml:space="preserve"> </w:t>
            </w:r>
            <w:r w:rsidR="000846DF">
              <w:rPr>
                <w:sz w:val="20"/>
                <w:szCs w:val="20"/>
              </w:rPr>
              <w:t>below</w:t>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rPr>
                <w:sz w:val="20"/>
                <w:szCs w:val="20"/>
              </w:rPr>
            </w:pPr>
            <w:r>
              <w:rPr>
                <w:sz w:val="20"/>
                <w:szCs w:val="20"/>
              </w:rPr>
              <w:t xml:space="preserve">Prevalence </w:t>
            </w:r>
            <w:r w:rsidRPr="00F63C1B">
              <w:rPr>
                <w:sz w:val="20"/>
                <w:szCs w:val="20"/>
              </w:rPr>
              <w:t xml:space="preserve">rate </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Age dependent</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Estimated from Clemen et al</w:t>
            </w:r>
            <w:r>
              <w:rPr>
                <w:sz w:val="20"/>
                <w:szCs w:val="20"/>
              </w:rPr>
              <w:t xml:space="preserve"> </w:t>
            </w:r>
            <w:r w:rsidR="00FC1B7E">
              <w:rPr>
                <w:sz w:val="20"/>
                <w:szCs w:val="20"/>
              </w:rPr>
              <w:fldChar w:fldCharType="begin"/>
            </w:r>
            <w:r w:rsidR="004A2EE9">
              <w:rPr>
                <w:sz w:val="20"/>
                <w:szCs w:val="20"/>
              </w:rPr>
              <w:instrText xml:space="preserve"> ADDIN ZOTERO_ITEM CSL_CITATION {"citationID":"vs91722ld","properties":{"formattedCitation":"[18]","plainCitation":"[18]"},"citationItems":[{"id":1415,"uris":["http://zotero.org/users/2597874/items/JC32R27Q"],"uri":["http://zotero.org/users/2597874/items/JC32R27Q"],"itemData":{"id":1415,"type":"article-journal","title":"A comparison of EQ-5D-3L population norms in Queensland, Australia, estimated using utility value sets from Australia, the UK and USA","container-title":"Quality of Life Research","page":"2375-2381","volume":"23","issue":"8","source":"CrossRef","DOI":"10.1007/s11136-014-0676-x","ISSN":"0962-9343, 1573-2649","language":"en","author":[{"family":"Clemens","given":"Susan"},{"family":"Begum","given":"Nelufa"},{"family":"Harper","given":"Catherine"},{"family":"Whitty","given":"Jennifer A."},{"family":"Scuffham","given":"Paul A."}],"issued":{"date-parts":[["2014",10]]}}}],"schema":"https://github.com/citation-style-language/schema/raw/master/csl-citation.json"} </w:instrText>
            </w:r>
            <w:r w:rsidR="00FC1B7E">
              <w:rPr>
                <w:sz w:val="20"/>
                <w:szCs w:val="20"/>
              </w:rPr>
              <w:fldChar w:fldCharType="separate"/>
            </w:r>
            <w:r w:rsidR="004A2EE9" w:rsidRPr="004A2EE9">
              <w:rPr>
                <w:rFonts w:cs="Times New Roman"/>
                <w:sz w:val="20"/>
              </w:rPr>
              <w:t>[18]</w:t>
            </w:r>
            <w:r w:rsidR="00FC1B7E">
              <w:rPr>
                <w:sz w:val="20"/>
                <w:szCs w:val="20"/>
              </w:rPr>
              <w:fldChar w:fldCharType="end"/>
            </w:r>
            <w:r w:rsidRPr="00F63C1B">
              <w:rPr>
                <w:sz w:val="20"/>
                <w:szCs w:val="20"/>
              </w:rPr>
              <w:t xml:space="preserve">, Access Economics </w:t>
            </w:r>
            <w:r w:rsidR="00FC1B7E">
              <w:rPr>
                <w:sz w:val="20"/>
                <w:szCs w:val="20"/>
              </w:rPr>
              <w:fldChar w:fldCharType="begin"/>
            </w:r>
            <w:r w:rsidR="004A2EE9">
              <w:rPr>
                <w:sz w:val="20"/>
                <w:szCs w:val="20"/>
              </w:rPr>
              <w:instrText xml:space="preserve"> ADDIN ZOTERO_ITEM CSL_CITATION {"citationID":"1j6p4o008n","properties":{"formattedCitation":"[26]","plainCitation":"[26]"},"citationItems":[{"id":1325,"uris":["http://zotero.org/users/2597874/items/FBJJUZTM"],"uri":["http://zotero.org/users/2597874/items/FBJJUZTM"],"itemData":{"id":1325,"type":"report","title":"Dementia Across Australia 2011-2050.pdf","publisher":"Deloitte Access Economics Pty Ltd","author":[{"family":"Access Economics","given":""}],"issued":{"date-parts":[["2011"]]}}}],"schema":"https://github.com/citation-style-language/schema/raw/master/csl-citation.json"} </w:instrText>
            </w:r>
            <w:r w:rsidR="00FC1B7E">
              <w:rPr>
                <w:sz w:val="20"/>
                <w:szCs w:val="20"/>
              </w:rPr>
              <w:fldChar w:fldCharType="separate"/>
            </w:r>
            <w:r w:rsidR="004A2EE9" w:rsidRPr="004A2EE9">
              <w:rPr>
                <w:rFonts w:cs="Times New Roman"/>
                <w:sz w:val="20"/>
              </w:rPr>
              <w:t>[26]</w:t>
            </w:r>
            <w:r w:rsidR="00FC1B7E">
              <w:rPr>
                <w:sz w:val="20"/>
                <w:szCs w:val="20"/>
              </w:rPr>
              <w:fldChar w:fldCharType="end"/>
            </w:r>
            <w:r w:rsidRPr="00F63C1B">
              <w:rPr>
                <w:sz w:val="20"/>
                <w:szCs w:val="20"/>
              </w:rPr>
              <w:t xml:space="preserve">, see Table </w:t>
            </w:r>
            <w:r w:rsidR="000846DF">
              <w:rPr>
                <w:sz w:val="20"/>
                <w:szCs w:val="20"/>
              </w:rPr>
              <w:t>A</w:t>
            </w:r>
            <w:r w:rsidRPr="00F63C1B">
              <w:rPr>
                <w:sz w:val="20"/>
                <w:szCs w:val="20"/>
              </w:rPr>
              <w:t>2</w:t>
            </w:r>
            <w:r>
              <w:rPr>
                <w:sz w:val="20"/>
                <w:szCs w:val="20"/>
              </w:rPr>
              <w:t xml:space="preserve"> </w:t>
            </w:r>
            <w:r w:rsidR="00DC7981">
              <w:rPr>
                <w:sz w:val="20"/>
                <w:szCs w:val="20"/>
              </w:rPr>
              <w:t xml:space="preserve">below </w:t>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rPr>
                <w:b/>
                <w:sz w:val="20"/>
                <w:szCs w:val="20"/>
              </w:rPr>
            </w:pPr>
            <w:r w:rsidRPr="00F63C1B">
              <w:rPr>
                <w:b/>
                <w:sz w:val="20"/>
                <w:szCs w:val="20"/>
              </w:rPr>
              <w:t xml:space="preserve">Costs </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b/>
                <w:sz w:val="20"/>
                <w:szCs w:val="20"/>
              </w:rPr>
            </w:pP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jc w:val="right"/>
              <w:rPr>
                <w:b/>
                <w:sz w:val="20"/>
                <w:szCs w:val="20"/>
              </w:rPr>
            </w:pPr>
          </w:p>
        </w:tc>
      </w:tr>
      <w:tr w:rsidR="00B11E74" w:rsidRPr="00F63C1B" w:rsidTr="00B11E74">
        <w:trPr>
          <w:trHeight w:val="340"/>
        </w:trPr>
        <w:tc>
          <w:tcPr>
            <w:tcW w:w="3997" w:type="dxa"/>
            <w:tcMar>
              <w:left w:w="28" w:type="dxa"/>
              <w:right w:w="28" w:type="dxa"/>
            </w:tcMar>
            <w:vAlign w:val="center"/>
          </w:tcPr>
          <w:p w:rsidR="00B11E74" w:rsidRPr="00F63C1B" w:rsidRDefault="00B11E74" w:rsidP="00705DB6">
            <w:pPr>
              <w:keepNext/>
              <w:autoSpaceDE w:val="0"/>
              <w:autoSpaceDN w:val="0"/>
              <w:adjustRightInd w:val="0"/>
              <w:spacing w:before="0" w:line="240" w:lineRule="auto"/>
              <w:rPr>
                <w:sz w:val="20"/>
                <w:szCs w:val="20"/>
              </w:rPr>
            </w:pPr>
            <w:r w:rsidRPr="00F63C1B">
              <w:rPr>
                <w:sz w:val="20"/>
                <w:szCs w:val="20"/>
              </w:rPr>
              <w:t>Initial appointment</w:t>
            </w:r>
            <w:r w:rsidR="00AF3673">
              <w:rPr>
                <w:sz w:val="20"/>
                <w:szCs w:val="20"/>
              </w:rPr>
              <w:t>s</w:t>
            </w:r>
            <w:r w:rsidRPr="00F63C1B">
              <w:rPr>
                <w:sz w:val="20"/>
                <w:szCs w:val="20"/>
              </w:rPr>
              <w:t xml:space="preserve"> for ACP </w:t>
            </w:r>
            <w:r w:rsidR="00AF3673">
              <w:rPr>
                <w:sz w:val="20"/>
                <w:szCs w:val="20"/>
              </w:rPr>
              <w:t>(</w:t>
            </w:r>
            <w:r w:rsidR="00705DB6">
              <w:rPr>
                <w:sz w:val="20"/>
                <w:szCs w:val="20"/>
              </w:rPr>
              <w:t>1</w:t>
            </w:r>
            <w:r w:rsidR="00AF3673">
              <w:rPr>
                <w:sz w:val="20"/>
                <w:szCs w:val="20"/>
              </w:rPr>
              <w:t xml:space="preserve"> appointments)</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$452.65</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M</w:t>
            </w:r>
            <w:r>
              <w:rPr>
                <w:sz w:val="20"/>
                <w:szCs w:val="20"/>
              </w:rPr>
              <w:t xml:space="preserve">edical </w:t>
            </w:r>
            <w:r w:rsidRPr="00F63C1B">
              <w:rPr>
                <w:sz w:val="20"/>
                <w:szCs w:val="20"/>
              </w:rPr>
              <w:t>B</w:t>
            </w:r>
            <w:r>
              <w:rPr>
                <w:sz w:val="20"/>
                <w:szCs w:val="20"/>
              </w:rPr>
              <w:t xml:space="preserve">enefit </w:t>
            </w:r>
            <w:r w:rsidRPr="00F63C1B">
              <w:rPr>
                <w:sz w:val="20"/>
                <w:szCs w:val="20"/>
              </w:rPr>
              <w:t>S</w:t>
            </w:r>
            <w:r>
              <w:rPr>
                <w:sz w:val="20"/>
                <w:szCs w:val="20"/>
              </w:rPr>
              <w:t>cheme</w:t>
            </w:r>
            <w:r w:rsidRPr="00F63C1B">
              <w:rPr>
                <w:sz w:val="20"/>
                <w:szCs w:val="20"/>
              </w:rPr>
              <w:t xml:space="preserve"> item 141</w:t>
            </w:r>
            <w:r>
              <w:rPr>
                <w:sz w:val="20"/>
                <w:szCs w:val="20"/>
              </w:rPr>
              <w:t xml:space="preserve"> </w:t>
            </w:r>
          </w:p>
        </w:tc>
      </w:tr>
      <w:tr w:rsidR="00B11E74" w:rsidRPr="00F63C1B" w:rsidTr="00B11E74">
        <w:trPr>
          <w:trHeight w:val="340"/>
        </w:trPr>
        <w:tc>
          <w:tcPr>
            <w:tcW w:w="3997" w:type="dxa"/>
            <w:tcMar>
              <w:left w:w="28" w:type="dxa"/>
              <w:right w:w="28" w:type="dxa"/>
            </w:tcMar>
            <w:vAlign w:val="center"/>
          </w:tcPr>
          <w:p w:rsidR="00B11E74" w:rsidRPr="00F63C1B" w:rsidRDefault="00B11E74" w:rsidP="00705DB6">
            <w:pPr>
              <w:keepNext/>
              <w:autoSpaceDE w:val="0"/>
              <w:autoSpaceDN w:val="0"/>
              <w:adjustRightInd w:val="0"/>
              <w:spacing w:before="0" w:line="240" w:lineRule="auto"/>
              <w:rPr>
                <w:sz w:val="20"/>
                <w:szCs w:val="20"/>
              </w:rPr>
            </w:pPr>
            <w:r w:rsidRPr="00F63C1B">
              <w:rPr>
                <w:sz w:val="20"/>
                <w:szCs w:val="20"/>
              </w:rPr>
              <w:t xml:space="preserve">Follow up appointment </w:t>
            </w:r>
            <w:r w:rsidR="00AF3673">
              <w:rPr>
                <w:sz w:val="20"/>
                <w:szCs w:val="20"/>
              </w:rPr>
              <w:t>(</w:t>
            </w:r>
            <w:r w:rsidR="00705DB6">
              <w:rPr>
                <w:sz w:val="20"/>
                <w:szCs w:val="20"/>
              </w:rPr>
              <w:t>3</w:t>
            </w:r>
            <w:r w:rsidR="00AF3673">
              <w:rPr>
                <w:sz w:val="20"/>
                <w:szCs w:val="20"/>
              </w:rPr>
              <w:t xml:space="preserve"> appointments) and revision </w:t>
            </w:r>
            <w:r w:rsidRPr="00F63C1B">
              <w:rPr>
                <w:sz w:val="20"/>
                <w:szCs w:val="20"/>
              </w:rPr>
              <w:t xml:space="preserve">for ACP </w:t>
            </w:r>
            <w:r w:rsidR="00AF3673">
              <w:rPr>
                <w:sz w:val="20"/>
                <w:szCs w:val="20"/>
              </w:rPr>
              <w:t xml:space="preserve">(2 revisions allowed) </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$72.05</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M</w:t>
            </w:r>
            <w:r>
              <w:rPr>
                <w:sz w:val="20"/>
                <w:szCs w:val="20"/>
              </w:rPr>
              <w:t xml:space="preserve">edical </w:t>
            </w:r>
            <w:r w:rsidRPr="00F63C1B">
              <w:rPr>
                <w:sz w:val="20"/>
                <w:szCs w:val="20"/>
              </w:rPr>
              <w:t>B</w:t>
            </w:r>
            <w:r>
              <w:rPr>
                <w:sz w:val="20"/>
                <w:szCs w:val="20"/>
              </w:rPr>
              <w:t xml:space="preserve">enefit </w:t>
            </w:r>
            <w:r w:rsidRPr="00F63C1B">
              <w:rPr>
                <w:sz w:val="20"/>
                <w:szCs w:val="20"/>
              </w:rPr>
              <w:t>S</w:t>
            </w:r>
            <w:r>
              <w:rPr>
                <w:sz w:val="20"/>
                <w:szCs w:val="20"/>
              </w:rPr>
              <w:t>cheme</w:t>
            </w:r>
            <w:r w:rsidRPr="00F63C1B">
              <w:rPr>
                <w:sz w:val="20"/>
                <w:szCs w:val="20"/>
              </w:rPr>
              <w:t xml:space="preserve"> item 732</w:t>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rPr>
                <w:sz w:val="20"/>
                <w:szCs w:val="20"/>
              </w:rPr>
            </w:pPr>
            <w:r>
              <w:rPr>
                <w:sz w:val="20"/>
                <w:szCs w:val="20"/>
              </w:rPr>
              <w:t>End-of-life</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jc w:val="right"/>
              <w:rPr>
                <w:sz w:val="20"/>
                <w:szCs w:val="20"/>
              </w:rPr>
            </w:pP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206"/>
              <w:rPr>
                <w:sz w:val="20"/>
                <w:szCs w:val="20"/>
              </w:rPr>
            </w:pPr>
            <w:r w:rsidRPr="00F63C1B">
              <w:rPr>
                <w:sz w:val="20"/>
                <w:szCs w:val="20"/>
              </w:rPr>
              <w:t>In hospital</w:t>
            </w:r>
          </w:p>
        </w:tc>
        <w:tc>
          <w:tcPr>
            <w:tcW w:w="1418" w:type="dxa"/>
            <w:tcMar>
              <w:left w:w="28" w:type="dxa"/>
              <w:right w:w="28" w:type="dxa"/>
            </w:tcMar>
            <w:vAlign w:val="center"/>
          </w:tcPr>
          <w:p w:rsidR="00B11E74" w:rsidRPr="00F63C1B" w:rsidRDefault="00B11E74" w:rsidP="00B11E74">
            <w:pPr>
              <w:keepNext/>
              <w:autoSpaceDE w:val="0"/>
              <w:autoSpaceDN w:val="0"/>
              <w:adjustRightInd w:val="0"/>
              <w:spacing w:before="0" w:line="240" w:lineRule="auto"/>
              <w:jc w:val="center"/>
              <w:rPr>
                <w:sz w:val="20"/>
                <w:szCs w:val="20"/>
              </w:rPr>
            </w:pPr>
            <w:r w:rsidRPr="00F63C1B">
              <w:rPr>
                <w:sz w:val="20"/>
                <w:szCs w:val="20"/>
              </w:rPr>
              <w:t>Age dependent</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Estimated from Kardamanidis et al 2007</w:t>
            </w:r>
            <w:r>
              <w:rPr>
                <w:sz w:val="20"/>
                <w:szCs w:val="20"/>
              </w:rPr>
              <w:t xml:space="preserve"> </w:t>
            </w:r>
            <w:r w:rsidR="00FC1B7E">
              <w:rPr>
                <w:sz w:val="20"/>
                <w:szCs w:val="20"/>
              </w:rPr>
              <w:fldChar w:fldCharType="begin"/>
            </w:r>
            <w:r w:rsidR="004A2EE9">
              <w:rPr>
                <w:sz w:val="20"/>
                <w:szCs w:val="20"/>
              </w:rPr>
              <w:instrText xml:space="preserve"> ADDIN ZOTERO_ITEM CSL_CITATION {"citationID":"ilfd73h77","properties":{"formattedCitation":"[10]","plainCitation":"[10]"},"citationItems":[{"id":1340,"uris":["http://zotero.org/users/2597874/items/FXN8RRTD"],"uri":["http://zotero.org/users/2597874/items/FXN8RRTD"],"itemData":{"id":1340,"type":"article-journal","title":"Hospital costs of older people in New South Wales in the last year of life","container-title":"Medical Journal of Australia","page":"383","volume":"187","issue":"7","source":"Google Scholar","author":[{"family":"Kardamanidis","given":"Katina"},{"family":"Lim","given":"Kim"},{"family":"Da Cunha","given":"Cristalyn"},{"family":"Taylor","given":"Lee K."},{"family":"Jorm","given":"Louisa R."}],"issued":{"date-parts":[["2007"]]}}}],"schema":"https://github.com/citation-style-language/schema/raw/master/csl-citation.json"} </w:instrText>
            </w:r>
            <w:r w:rsidR="00FC1B7E">
              <w:rPr>
                <w:sz w:val="20"/>
                <w:szCs w:val="20"/>
              </w:rPr>
              <w:fldChar w:fldCharType="separate"/>
            </w:r>
            <w:r w:rsidR="003022D2" w:rsidRPr="003022D2">
              <w:rPr>
                <w:rFonts w:cs="Times New Roman"/>
                <w:sz w:val="20"/>
              </w:rPr>
              <w:t>[10]</w:t>
            </w:r>
            <w:r w:rsidR="00FC1B7E">
              <w:rPr>
                <w:sz w:val="20"/>
                <w:szCs w:val="20"/>
              </w:rPr>
              <w:fldChar w:fldCharType="end"/>
            </w:r>
            <w:r w:rsidRPr="00F63C1B">
              <w:rPr>
                <w:sz w:val="20"/>
                <w:szCs w:val="20"/>
              </w:rPr>
              <w:t xml:space="preserve">, see Table </w:t>
            </w:r>
            <w:r w:rsidR="000846DF">
              <w:rPr>
                <w:sz w:val="20"/>
                <w:szCs w:val="20"/>
              </w:rPr>
              <w:t>A</w:t>
            </w:r>
            <w:r w:rsidRPr="00F63C1B">
              <w:rPr>
                <w:sz w:val="20"/>
                <w:szCs w:val="20"/>
              </w:rPr>
              <w:t>2</w:t>
            </w:r>
            <w:r>
              <w:rPr>
                <w:sz w:val="20"/>
                <w:szCs w:val="20"/>
              </w:rPr>
              <w:t xml:space="preserve"> </w:t>
            </w:r>
            <w:r w:rsidR="00A0527A">
              <w:rPr>
                <w:sz w:val="20"/>
                <w:szCs w:val="20"/>
              </w:rPr>
              <w:t xml:space="preserve">below </w:t>
            </w:r>
          </w:p>
        </w:tc>
      </w:tr>
      <w:tr w:rsidR="00B11E74" w:rsidRPr="00F63C1B" w:rsidTr="00B11E74">
        <w:trPr>
          <w:trHeight w:val="340"/>
        </w:trPr>
        <w:tc>
          <w:tcPr>
            <w:tcW w:w="3997"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206"/>
              <w:rPr>
                <w:sz w:val="20"/>
                <w:szCs w:val="20"/>
              </w:rPr>
            </w:pPr>
            <w:r w:rsidRPr="00F63C1B">
              <w:rPr>
                <w:sz w:val="20"/>
                <w:szCs w:val="20"/>
              </w:rPr>
              <w:t>Outside hospital, percentage of in hospital</w:t>
            </w:r>
          </w:p>
        </w:tc>
        <w:tc>
          <w:tcPr>
            <w:tcW w:w="1418" w:type="dxa"/>
            <w:tcMar>
              <w:left w:w="28" w:type="dxa"/>
              <w:right w:w="28" w:type="dxa"/>
            </w:tcMar>
            <w:vAlign w:val="center"/>
          </w:tcPr>
          <w:p w:rsidR="00B11E74" w:rsidRPr="00F63C1B" w:rsidRDefault="00B11E74" w:rsidP="000779BC">
            <w:pPr>
              <w:keepNext/>
              <w:autoSpaceDE w:val="0"/>
              <w:autoSpaceDN w:val="0"/>
              <w:adjustRightInd w:val="0"/>
              <w:spacing w:before="0" w:line="240" w:lineRule="auto"/>
              <w:jc w:val="center"/>
              <w:rPr>
                <w:sz w:val="20"/>
                <w:szCs w:val="20"/>
              </w:rPr>
            </w:pPr>
            <w:r w:rsidRPr="00F63C1B">
              <w:rPr>
                <w:sz w:val="20"/>
                <w:szCs w:val="20"/>
              </w:rPr>
              <w:t>63%</w:t>
            </w:r>
            <w:r w:rsidR="000779BC">
              <w:rPr>
                <w:sz w:val="20"/>
                <w:szCs w:val="20"/>
              </w:rPr>
              <w:t xml:space="preserve">, age dependent </w:t>
            </w:r>
          </w:p>
        </w:tc>
        <w:tc>
          <w:tcPr>
            <w:tcW w:w="3969" w:type="dxa"/>
            <w:tcMar>
              <w:left w:w="28" w:type="dxa"/>
              <w:right w:w="28" w:type="dxa"/>
            </w:tcMar>
            <w:vAlign w:val="center"/>
          </w:tcPr>
          <w:p w:rsidR="00B11E74" w:rsidRPr="00F63C1B" w:rsidRDefault="00B11E74" w:rsidP="00B11E74">
            <w:pPr>
              <w:keepNext/>
              <w:autoSpaceDE w:val="0"/>
              <w:autoSpaceDN w:val="0"/>
              <w:adjustRightInd w:val="0"/>
              <w:spacing w:before="0" w:line="240" w:lineRule="auto"/>
              <w:ind w:left="59"/>
              <w:rPr>
                <w:sz w:val="20"/>
                <w:szCs w:val="20"/>
              </w:rPr>
            </w:pPr>
            <w:r w:rsidRPr="00F63C1B">
              <w:rPr>
                <w:sz w:val="20"/>
                <w:szCs w:val="20"/>
              </w:rPr>
              <w:t>Assumption, based on Brumley et at</w:t>
            </w:r>
            <w:r>
              <w:rPr>
                <w:sz w:val="20"/>
                <w:szCs w:val="20"/>
              </w:rPr>
              <w:t xml:space="preserve"> 2007 </w:t>
            </w:r>
            <w:r w:rsidR="00FC1B7E">
              <w:rPr>
                <w:sz w:val="20"/>
                <w:szCs w:val="20"/>
              </w:rPr>
              <w:fldChar w:fldCharType="begin"/>
            </w:r>
            <w:r w:rsidR="004A2EE9">
              <w:rPr>
                <w:sz w:val="20"/>
                <w:szCs w:val="20"/>
              </w:rPr>
              <w:instrText xml:space="preserve"> ADDIN ZOTERO_ITEM CSL_CITATION {"citationID":"2elk1to68i","properties":{"formattedCitation":"[14]","plainCitation":"[14]"},"citationItems":[{"id":264,"uris":["http://zotero.org/groups/390476/items/IJVHD6Q5"],"uri":["http://zotero.org/groups/390476/items/IJVHD6Q5"],"itemData":{"id":264,"type":"article-journal","title":"Increased Satisfaction with Care and Lower Costs: Results of a Randomized Trial of In-Home Palliative Care","container-title":"Journal of the American Geriatrics Society","page":"993-1000","volume":"55","issue":"7","source":"Wiley Online Library","abstract":"OBJECTIVES: To determine whether an in-home palliative care intervention for terminally ill patients can improve patient satisfaction, reduce medical care costs, and increase the proportion of patients dying at home. DESIGN: A randomized, controlled trial. SETTING: Two health maintenance organizations in two states. PARTICIPANTS: Homebound, terminally ill patients (N=298) with a prognosis of approximately 1 year or less to live plus one or more hospital or emergency department visits in the previous 12 months. INTERVENTION: Usual versus in-home palliative care plus usual care delivered by an interdisciplinary team providing pain and symptom relief, patient and family education and training, and an array of medical and social support services. MEASUREMENTS: Measured outcomes were satisfaction with care, use of medical services, site of death, and costs of care. RESULTS: Patients randomized to in-home palliative care reported greater improvement in satisfaction with care at 30 and 90 days after enrollment (P&lt;.05) and were more likely to die at home than those receiving usual care (P&lt;.001). In addition, in-home palliative care subjects were less likely to visit the emergency department (P=.01) or be admitted to the hospital than those receiving usual care (P&lt;.001), resulting in significantly lower costs of care for intervention patients (P=.03). CONCLUSION: In-home palliative care significantly increased patient satisfaction while reducing use of medical services and costs of medical care at the end of life. This study, although modest in scope, presents strong evidence for reforming end-of-life care.","DOI":"10.1111/j.1532-5415.2007.01234.x","ISSN":"1532-5415","shortTitle":"Increased Satisfaction with Care and Lower Costs","language":"en","author":[{"family":"Brumley","given":"Richard"},{"family":"Enguidanos","given":"Susan"},{"family":"Jamison","given":"Paula"},{"family":"Seitz","given":"Rae"},{"family":"Morgenstern","given":"Nora"},{"family":"Saito","given":"Sherry"},{"family":"McIlwane","given":"Jan"},{"family":"Hillary","given":"Kristine"},{"family":"Gonzalez","given":"Jorge"}],"issued":{"date-parts":[["2007",7,1]]}}}],"schema":"https://github.com/citation-style-language/schema/raw/master/csl-citation.json"} </w:instrText>
            </w:r>
            <w:r w:rsidR="00FC1B7E">
              <w:rPr>
                <w:sz w:val="20"/>
                <w:szCs w:val="20"/>
              </w:rPr>
              <w:fldChar w:fldCharType="separate"/>
            </w:r>
            <w:r w:rsidR="004A2EE9" w:rsidRPr="004A2EE9">
              <w:rPr>
                <w:rFonts w:cs="Times New Roman"/>
                <w:sz w:val="20"/>
              </w:rPr>
              <w:t>[14]</w:t>
            </w:r>
            <w:r w:rsidR="00FC1B7E">
              <w:rPr>
                <w:sz w:val="20"/>
                <w:szCs w:val="20"/>
              </w:rPr>
              <w:fldChar w:fldCharType="end"/>
            </w:r>
            <w:r w:rsidRPr="00F63C1B">
              <w:rPr>
                <w:sz w:val="20"/>
                <w:szCs w:val="20"/>
              </w:rPr>
              <w:t>, Shnoor et al</w:t>
            </w:r>
            <w:r>
              <w:rPr>
                <w:sz w:val="20"/>
                <w:szCs w:val="20"/>
              </w:rPr>
              <w:t xml:space="preserve"> 2007 </w:t>
            </w:r>
            <w:r w:rsidR="00FC1B7E">
              <w:rPr>
                <w:sz w:val="20"/>
                <w:szCs w:val="20"/>
              </w:rPr>
              <w:fldChar w:fldCharType="begin"/>
            </w:r>
            <w:r w:rsidR="004A2EE9">
              <w:rPr>
                <w:sz w:val="20"/>
                <w:szCs w:val="20"/>
              </w:rPr>
              <w:instrText xml:space="preserve"> ADDIN ZOTERO_ITEM CSL_CITATION {"citationID":"24eg5gic5r","properties":{"formattedCitation":"[13]","plainCitation":"[13]"},"citationItems":[{"id":265,"uris":["http://zotero.org/groups/390476/items/D9V4REJT"],"uri":["http://zotero.org/groups/390476/items/D9V4REJT"],"itemData":{"id":265,"type":"article-journal","title":"The Cost of Home Hospice Care for Terminal Patients in Israel","container-title":"American Journal of Hospice and Palliative Medicine","page":"284-290","volume":"24","issue":"4","source":"ajh.sagepub.com","abstract":"This study examined and compared the cost of care provided to terminal metastatic cancer patients by home hospices and by conventional health services. The study population included 146 patients with metastatic cancer. Half received home hospice services, and the other half received conventional services. The average overall per-patient cost of care was, respectively, $4761 (operating costs included) and $12 434. On average, the costs were lower for older patients. A multiple regression analysis revealed that treatment units per patient, care framework, and patient age significantly contributed to explaining the cost variance. The findings suggest a financial advantage for home hospice care for terminal patients. This should be investigated further, as should the cost of informal caregivers and patient and caregiver satisfaction with the quality of care in both frameworks.","DOI":"10.1177/1049909107300212","ISSN":"1049-9091, 1938-2715","note":"PMID: 17601831","journalAbbreviation":"AM J HOSP PALLIAT CARE","language":"en","author":[{"family":"Shnoor","given":"Yitschak"},{"family":"Szlaifer","given":"Mali"},{"family":"Aoberman","given":"Amitai S."},{"family":"Bentur","given":"Netta"}],"issued":{"date-parts":[["2007",8,1]]}}}],"schema":"https://github.com/citation-style-language/schema/raw/master/csl-citation.json"} </w:instrText>
            </w:r>
            <w:r w:rsidR="00FC1B7E">
              <w:rPr>
                <w:sz w:val="20"/>
                <w:szCs w:val="20"/>
              </w:rPr>
              <w:fldChar w:fldCharType="separate"/>
            </w:r>
            <w:r w:rsidR="004A2EE9" w:rsidRPr="004A2EE9">
              <w:rPr>
                <w:rFonts w:cs="Times New Roman"/>
                <w:sz w:val="20"/>
              </w:rPr>
              <w:t>[13]</w:t>
            </w:r>
            <w:r w:rsidR="00FC1B7E">
              <w:rPr>
                <w:sz w:val="20"/>
                <w:szCs w:val="20"/>
              </w:rPr>
              <w:fldChar w:fldCharType="end"/>
            </w:r>
            <w:r w:rsidRPr="00F63C1B">
              <w:rPr>
                <w:sz w:val="20"/>
                <w:szCs w:val="20"/>
              </w:rPr>
              <w:t>, Caplan et al</w:t>
            </w:r>
            <w:r>
              <w:rPr>
                <w:sz w:val="20"/>
                <w:szCs w:val="20"/>
              </w:rPr>
              <w:t xml:space="preserve"> 2006 </w:t>
            </w:r>
            <w:r w:rsidR="00FC1B7E">
              <w:rPr>
                <w:sz w:val="20"/>
                <w:szCs w:val="20"/>
              </w:rPr>
              <w:fldChar w:fldCharType="begin"/>
            </w:r>
            <w:r w:rsidR="004A2EE9">
              <w:rPr>
                <w:sz w:val="20"/>
                <w:szCs w:val="20"/>
              </w:rPr>
              <w:instrText xml:space="preserve"> ADDIN ZOTERO_ITEM CSL_CITATION {"citationID":"1p6rl832hb","properties":{"formattedCitation":"[12]","plainCitation":"[12]"},"citationItems":[{"id":1227,"uris":["http://zotero.org/users/2597874/items/AVQQJ57K"],"uri":["http://zotero.org/users/2597874/items/AVQQJ57K"],"itemData":{"id":1227,"type":"article-journal","title":"Advance care planning and hospital in the nursing home","container-title":"Age and Ageing","page":"581-585","volume":"35","author":[{"family":"Caplan","given":"G A"},{"family":"Meller","given":"Anne"},{"family":"Squires","given":"B"},{"family":"Chan","given":"Stella"},{"family":"Willett","given":"Wendy"}],"issued":{"date-parts":[["2006"]]}}}],"schema":"https://github.com/citation-style-language/schema/raw/master/csl-citation.json"} </w:instrText>
            </w:r>
            <w:r w:rsidR="00FC1B7E">
              <w:rPr>
                <w:sz w:val="20"/>
                <w:szCs w:val="20"/>
              </w:rPr>
              <w:fldChar w:fldCharType="separate"/>
            </w:r>
            <w:r w:rsidR="004A2EE9" w:rsidRPr="004A2EE9">
              <w:rPr>
                <w:rFonts w:cs="Times New Roman"/>
                <w:sz w:val="20"/>
              </w:rPr>
              <w:t>[12]</w:t>
            </w:r>
            <w:r w:rsidR="00FC1B7E">
              <w:rPr>
                <w:sz w:val="20"/>
                <w:szCs w:val="20"/>
              </w:rPr>
              <w:fldChar w:fldCharType="end"/>
            </w:r>
            <w:r w:rsidRPr="00F63C1B">
              <w:rPr>
                <w:sz w:val="20"/>
                <w:szCs w:val="20"/>
              </w:rPr>
              <w:t xml:space="preserve"> </w:t>
            </w:r>
          </w:p>
        </w:tc>
      </w:tr>
    </w:tbl>
    <w:p w:rsidR="00B11E74" w:rsidRPr="00C67F12" w:rsidRDefault="00B11E74" w:rsidP="00B11E74">
      <w:pPr>
        <w:pStyle w:val="NoSpacing"/>
        <w:keepNext/>
        <w:keepLines/>
        <w:spacing w:line="480" w:lineRule="auto"/>
        <w:rPr>
          <w:sz w:val="20"/>
          <w:szCs w:val="20"/>
        </w:rPr>
      </w:pPr>
    </w:p>
    <w:p w:rsidR="003022D2" w:rsidRDefault="003022D2">
      <w:pPr>
        <w:spacing w:before="0" w:line="240" w:lineRule="auto"/>
        <w:rPr>
          <w:b/>
        </w:rPr>
      </w:pPr>
    </w:p>
    <w:p w:rsidR="00A87E22" w:rsidRDefault="00A87E22">
      <w:pPr>
        <w:spacing w:before="0" w:line="240" w:lineRule="auto"/>
        <w:rPr>
          <w:b/>
        </w:rPr>
      </w:pPr>
    </w:p>
    <w:p w:rsidR="009D4901" w:rsidRDefault="009D4901">
      <w:pPr>
        <w:spacing w:before="0" w:line="240" w:lineRule="auto"/>
        <w:rPr>
          <w:b/>
        </w:rPr>
      </w:pPr>
      <w:r>
        <w:rPr>
          <w:b/>
        </w:rPr>
        <w:br w:type="page"/>
      </w:r>
    </w:p>
    <w:p w:rsidR="00B11E74" w:rsidRPr="00F63C1B" w:rsidRDefault="00B11E74" w:rsidP="00B11E74">
      <w:pPr>
        <w:keepNext/>
        <w:spacing w:before="0" w:after="0" w:line="240" w:lineRule="auto"/>
        <w:rPr>
          <w:b/>
        </w:rPr>
      </w:pPr>
      <w:r w:rsidRPr="00F63C1B">
        <w:rPr>
          <w:b/>
        </w:rPr>
        <w:t xml:space="preserve">Table </w:t>
      </w:r>
      <w:r w:rsidR="00A80CA1">
        <w:rPr>
          <w:b/>
        </w:rPr>
        <w:t>S</w:t>
      </w:r>
      <w:r w:rsidRPr="00F63C1B">
        <w:rPr>
          <w:b/>
        </w:rPr>
        <w:t>2:</w:t>
      </w:r>
      <w:r>
        <w:rPr>
          <w:b/>
        </w:rPr>
        <w:t xml:space="preserve"> A</w:t>
      </w:r>
      <w:r w:rsidRPr="00F63C1B">
        <w:rPr>
          <w:b/>
        </w:rPr>
        <w:t>ge-dependent transition utilities</w:t>
      </w:r>
      <w:r>
        <w:rPr>
          <w:b/>
        </w:rPr>
        <w:t>,</w:t>
      </w:r>
      <w:r w:rsidRPr="00F63C1B">
        <w:rPr>
          <w:b/>
        </w:rPr>
        <w:t xml:space="preserve"> probabilities and costs</w:t>
      </w:r>
    </w:p>
    <w:tbl>
      <w:tblPr>
        <w:tblStyle w:val="LightList"/>
        <w:tblW w:w="91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tblPr>
      <w:tblGrid>
        <w:gridCol w:w="568"/>
        <w:gridCol w:w="904"/>
        <w:gridCol w:w="852"/>
        <w:gridCol w:w="1031"/>
        <w:gridCol w:w="829"/>
        <w:gridCol w:w="1117"/>
        <w:gridCol w:w="1134"/>
        <w:gridCol w:w="1134"/>
        <w:gridCol w:w="1560"/>
      </w:tblGrid>
      <w:tr w:rsidR="00B11E74" w:rsidRPr="00F63C1B" w:rsidTr="001469DC">
        <w:trPr>
          <w:cantSplit/>
          <w:trHeight w:val="202"/>
          <w:tblHeader/>
        </w:trPr>
        <w:tc>
          <w:tcPr>
            <w:cnfStyle w:val="000010000000"/>
            <w:tcW w:w="56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11E74" w:rsidRPr="00F63C1B" w:rsidRDefault="00B11E74" w:rsidP="00B11E74">
            <w:pPr>
              <w:keepNext/>
              <w:spacing w:before="0" w:line="240" w:lineRule="auto"/>
              <w:contextualSpacing/>
              <w:rPr>
                <w:sz w:val="20"/>
                <w:szCs w:val="20"/>
              </w:rPr>
            </w:pPr>
          </w:p>
        </w:tc>
        <w:tc>
          <w:tcPr>
            <w:tcW w:w="4733" w:type="dxa"/>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11E74" w:rsidRPr="00F63C1B" w:rsidRDefault="00B11E74" w:rsidP="00B11E74">
            <w:pPr>
              <w:keepNext/>
              <w:spacing w:before="0" w:line="240" w:lineRule="auto"/>
              <w:contextualSpacing/>
              <w:jc w:val="center"/>
              <w:cnfStyle w:val="000000000000"/>
              <w:rPr>
                <w:b/>
                <w:bCs/>
                <w:sz w:val="20"/>
                <w:szCs w:val="20"/>
              </w:rPr>
            </w:pPr>
            <w:r w:rsidRPr="00F63C1B">
              <w:rPr>
                <w:b/>
                <w:bCs/>
                <w:sz w:val="20"/>
                <w:szCs w:val="20"/>
              </w:rPr>
              <w:t>Utility weights</w:t>
            </w:r>
          </w:p>
        </w:tc>
        <w:tc>
          <w:tcPr>
            <w:cnfStyle w:val="000010000000"/>
            <w:tcW w:w="226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11E74" w:rsidRPr="00F63C1B" w:rsidRDefault="00B11E74" w:rsidP="00B11E74">
            <w:pPr>
              <w:keepNext/>
              <w:spacing w:before="0" w:line="240" w:lineRule="auto"/>
              <w:contextualSpacing/>
              <w:jc w:val="center"/>
              <w:rPr>
                <w:b/>
                <w:bCs/>
                <w:sz w:val="20"/>
                <w:szCs w:val="20"/>
              </w:rPr>
            </w:pPr>
            <w:r>
              <w:rPr>
                <w:b/>
                <w:bCs/>
                <w:sz w:val="20"/>
                <w:szCs w:val="20"/>
              </w:rPr>
              <w:t>Probabilities</w:t>
            </w:r>
          </w:p>
        </w:tc>
        <w:tc>
          <w:tcPr>
            <w:tcW w:w="1560" w:type="dxa"/>
            <w:tcBorders>
              <w:top w:val="single" w:sz="4" w:space="0" w:color="auto"/>
              <w:left w:val="single" w:sz="4" w:space="0" w:color="auto"/>
              <w:bottom w:val="single" w:sz="4" w:space="0" w:color="auto"/>
              <w:right w:val="single" w:sz="4" w:space="0" w:color="auto"/>
            </w:tcBorders>
            <w:vAlign w:val="center"/>
          </w:tcPr>
          <w:p w:rsidR="00B11E74" w:rsidRPr="00F63C1B" w:rsidRDefault="00B11E74" w:rsidP="00B11E74">
            <w:pPr>
              <w:keepNext/>
              <w:spacing w:before="0" w:line="240" w:lineRule="auto"/>
              <w:contextualSpacing/>
              <w:jc w:val="center"/>
              <w:cnfStyle w:val="000000000000"/>
              <w:rPr>
                <w:b/>
                <w:bCs/>
                <w:sz w:val="20"/>
                <w:szCs w:val="20"/>
              </w:rPr>
            </w:pPr>
            <w:r>
              <w:rPr>
                <w:b/>
                <w:bCs/>
                <w:sz w:val="20"/>
                <w:szCs w:val="20"/>
              </w:rPr>
              <w:t>Costs</w:t>
            </w:r>
          </w:p>
        </w:tc>
      </w:tr>
      <w:tr w:rsidR="00387C02" w:rsidRPr="00F63C1B" w:rsidTr="00DC7981">
        <w:trPr>
          <w:cantSplit/>
          <w:trHeight w:val="317"/>
          <w:tblHeader/>
        </w:trPr>
        <w:tc>
          <w:tcPr>
            <w:cnfStyle w:val="000010000000"/>
            <w:tcW w:w="569" w:type="dxa"/>
            <w:tcBorders>
              <w:top w:val="single" w:sz="4" w:space="0" w:color="auto"/>
            </w:tcBorders>
            <w:tcMar>
              <w:left w:w="28" w:type="dxa"/>
              <w:right w:w="28" w:type="dxa"/>
            </w:tcMar>
            <w:vAlign w:val="center"/>
          </w:tcPr>
          <w:p w:rsidR="00B11E74" w:rsidRPr="00F63C1B" w:rsidRDefault="00B11E74" w:rsidP="00B11E74">
            <w:pPr>
              <w:keepNext/>
              <w:spacing w:before="0" w:line="240" w:lineRule="auto"/>
              <w:contextualSpacing/>
              <w:jc w:val="center"/>
              <w:rPr>
                <w:b/>
                <w:bCs/>
                <w:sz w:val="20"/>
                <w:szCs w:val="20"/>
              </w:rPr>
            </w:pPr>
            <w:r w:rsidRPr="00F63C1B">
              <w:rPr>
                <w:b/>
                <w:bCs/>
                <w:sz w:val="20"/>
                <w:szCs w:val="20"/>
              </w:rPr>
              <w:t>Age</w:t>
            </w:r>
          </w:p>
        </w:tc>
        <w:tc>
          <w:tcPr>
            <w:tcW w:w="904" w:type="dxa"/>
            <w:tcBorders>
              <w:top w:val="single" w:sz="4" w:space="0" w:color="auto"/>
            </w:tcBorders>
            <w:tcMar>
              <w:left w:w="28" w:type="dxa"/>
              <w:right w:w="28" w:type="dxa"/>
            </w:tcMar>
            <w:vAlign w:val="center"/>
          </w:tcPr>
          <w:p w:rsidR="00B11E74" w:rsidRPr="00F63C1B" w:rsidRDefault="00B11E74" w:rsidP="00B11E74">
            <w:pPr>
              <w:keepNext/>
              <w:spacing w:before="0" w:line="240" w:lineRule="auto"/>
              <w:contextualSpacing/>
              <w:jc w:val="center"/>
              <w:cnfStyle w:val="000000000000"/>
              <w:rPr>
                <w:b/>
                <w:bCs/>
                <w:sz w:val="20"/>
                <w:szCs w:val="20"/>
              </w:rPr>
            </w:pPr>
            <w:r w:rsidRPr="00F63C1B">
              <w:rPr>
                <w:b/>
                <w:bCs/>
                <w:sz w:val="20"/>
                <w:szCs w:val="20"/>
              </w:rPr>
              <w:t>Normal</w:t>
            </w:r>
          </w:p>
        </w:tc>
        <w:tc>
          <w:tcPr>
            <w:cnfStyle w:val="000010000000"/>
            <w:tcW w:w="852" w:type="dxa"/>
            <w:tcBorders>
              <w:top w:val="single" w:sz="4" w:space="0" w:color="auto"/>
            </w:tcBorders>
            <w:tcMar>
              <w:left w:w="28" w:type="dxa"/>
              <w:right w:w="28" w:type="dxa"/>
            </w:tcMar>
            <w:vAlign w:val="center"/>
          </w:tcPr>
          <w:p w:rsidR="00B11E74" w:rsidRPr="00F63C1B" w:rsidRDefault="00B11E74" w:rsidP="00B11E74">
            <w:pPr>
              <w:keepNext/>
              <w:spacing w:before="0" w:line="240" w:lineRule="auto"/>
              <w:contextualSpacing/>
              <w:jc w:val="center"/>
              <w:rPr>
                <w:b/>
                <w:bCs/>
                <w:sz w:val="20"/>
                <w:szCs w:val="20"/>
              </w:rPr>
            </w:pPr>
            <w:r w:rsidRPr="00F63C1B">
              <w:rPr>
                <w:b/>
                <w:bCs/>
                <w:sz w:val="20"/>
                <w:szCs w:val="20"/>
              </w:rPr>
              <w:t>Mild</w:t>
            </w:r>
          </w:p>
        </w:tc>
        <w:tc>
          <w:tcPr>
            <w:tcW w:w="1031" w:type="dxa"/>
            <w:tcBorders>
              <w:top w:val="single" w:sz="4" w:space="0" w:color="auto"/>
            </w:tcBorders>
            <w:tcMar>
              <w:left w:w="28" w:type="dxa"/>
              <w:right w:w="28" w:type="dxa"/>
            </w:tcMar>
            <w:vAlign w:val="center"/>
          </w:tcPr>
          <w:p w:rsidR="00B11E74" w:rsidRPr="00F63C1B" w:rsidRDefault="00B11E74" w:rsidP="00B11E74">
            <w:pPr>
              <w:keepNext/>
              <w:spacing w:before="0" w:line="240" w:lineRule="auto"/>
              <w:contextualSpacing/>
              <w:jc w:val="center"/>
              <w:cnfStyle w:val="000000000000"/>
              <w:rPr>
                <w:b/>
                <w:bCs/>
                <w:sz w:val="20"/>
                <w:szCs w:val="20"/>
              </w:rPr>
            </w:pPr>
            <w:r w:rsidRPr="00F63C1B">
              <w:rPr>
                <w:b/>
                <w:bCs/>
                <w:sz w:val="20"/>
                <w:szCs w:val="20"/>
              </w:rPr>
              <w:t>Moderate</w:t>
            </w:r>
          </w:p>
        </w:tc>
        <w:tc>
          <w:tcPr>
            <w:cnfStyle w:val="000010000000"/>
            <w:tcW w:w="829" w:type="dxa"/>
            <w:tcBorders>
              <w:top w:val="single" w:sz="4" w:space="0" w:color="auto"/>
            </w:tcBorders>
            <w:tcMar>
              <w:left w:w="28" w:type="dxa"/>
              <w:right w:w="28" w:type="dxa"/>
            </w:tcMar>
            <w:vAlign w:val="center"/>
          </w:tcPr>
          <w:p w:rsidR="00B11E74" w:rsidRPr="00F63C1B" w:rsidRDefault="00B11E74" w:rsidP="00B11E74">
            <w:pPr>
              <w:keepNext/>
              <w:spacing w:before="0" w:line="240" w:lineRule="auto"/>
              <w:contextualSpacing/>
              <w:jc w:val="center"/>
              <w:rPr>
                <w:b/>
                <w:bCs/>
                <w:sz w:val="20"/>
                <w:szCs w:val="20"/>
              </w:rPr>
            </w:pPr>
            <w:r w:rsidRPr="00F63C1B">
              <w:rPr>
                <w:b/>
                <w:bCs/>
                <w:sz w:val="20"/>
                <w:szCs w:val="20"/>
              </w:rPr>
              <w:t>Severe</w:t>
            </w:r>
          </w:p>
        </w:tc>
        <w:tc>
          <w:tcPr>
            <w:tcW w:w="1117" w:type="dxa"/>
            <w:tcBorders>
              <w:top w:val="single" w:sz="4" w:space="0" w:color="auto"/>
            </w:tcBorders>
            <w:tcMar>
              <w:left w:w="28" w:type="dxa"/>
              <w:right w:w="28" w:type="dxa"/>
            </w:tcMar>
            <w:vAlign w:val="center"/>
          </w:tcPr>
          <w:p w:rsidR="00B11E74" w:rsidRPr="00F63C1B" w:rsidRDefault="00B11E74" w:rsidP="00B11E74">
            <w:pPr>
              <w:keepNext/>
              <w:spacing w:before="0" w:line="240" w:lineRule="auto"/>
              <w:contextualSpacing/>
              <w:jc w:val="center"/>
              <w:cnfStyle w:val="000000000000"/>
              <w:rPr>
                <w:b/>
                <w:bCs/>
                <w:sz w:val="20"/>
                <w:szCs w:val="20"/>
              </w:rPr>
            </w:pPr>
            <w:r>
              <w:rPr>
                <w:b/>
                <w:bCs/>
                <w:sz w:val="20"/>
                <w:szCs w:val="20"/>
              </w:rPr>
              <w:t>End-of-life</w:t>
            </w:r>
          </w:p>
        </w:tc>
        <w:tc>
          <w:tcPr>
            <w:cnfStyle w:val="000010000000"/>
            <w:tcW w:w="1134" w:type="dxa"/>
            <w:tcBorders>
              <w:top w:val="single" w:sz="4" w:space="0" w:color="auto"/>
            </w:tcBorders>
            <w:tcMar>
              <w:left w:w="28" w:type="dxa"/>
              <w:right w:w="28" w:type="dxa"/>
            </w:tcMar>
            <w:vAlign w:val="center"/>
          </w:tcPr>
          <w:p w:rsidR="00B11E74" w:rsidRPr="00F63C1B" w:rsidRDefault="00B11E74" w:rsidP="00B11E74">
            <w:pPr>
              <w:keepNext/>
              <w:spacing w:before="0" w:line="240" w:lineRule="auto"/>
              <w:contextualSpacing/>
              <w:jc w:val="center"/>
              <w:rPr>
                <w:b/>
                <w:bCs/>
                <w:sz w:val="20"/>
                <w:szCs w:val="20"/>
              </w:rPr>
            </w:pPr>
            <w:r>
              <w:rPr>
                <w:b/>
                <w:bCs/>
                <w:sz w:val="20"/>
                <w:szCs w:val="20"/>
              </w:rPr>
              <w:t>Dementia Incidence</w:t>
            </w:r>
          </w:p>
        </w:tc>
        <w:tc>
          <w:tcPr>
            <w:tcW w:w="1134" w:type="dxa"/>
            <w:tcBorders>
              <w:top w:val="single" w:sz="4" w:space="0" w:color="auto"/>
              <w:right w:val="single" w:sz="4" w:space="0" w:color="auto"/>
            </w:tcBorders>
            <w:tcMar>
              <w:left w:w="28" w:type="dxa"/>
              <w:right w:w="28" w:type="dxa"/>
            </w:tcMar>
            <w:vAlign w:val="center"/>
          </w:tcPr>
          <w:p w:rsidR="00B11E74" w:rsidRPr="00F63C1B" w:rsidRDefault="00B11E74" w:rsidP="00B11E74">
            <w:pPr>
              <w:keepNext/>
              <w:spacing w:before="0" w:line="240" w:lineRule="auto"/>
              <w:contextualSpacing/>
              <w:jc w:val="center"/>
              <w:cnfStyle w:val="000000000000"/>
              <w:rPr>
                <w:b/>
                <w:bCs/>
                <w:sz w:val="20"/>
                <w:szCs w:val="20"/>
              </w:rPr>
            </w:pPr>
            <w:r w:rsidRPr="00F63C1B">
              <w:rPr>
                <w:b/>
                <w:bCs/>
                <w:sz w:val="20"/>
                <w:szCs w:val="20"/>
              </w:rPr>
              <w:t>Mortality</w:t>
            </w:r>
          </w:p>
        </w:tc>
        <w:tc>
          <w:tcPr>
            <w:cnfStyle w:val="000010000000"/>
            <w:tcW w:w="1559" w:type="dxa"/>
            <w:tcBorders>
              <w:top w:val="single" w:sz="4" w:space="0" w:color="auto"/>
              <w:left w:val="single" w:sz="4" w:space="0" w:color="auto"/>
            </w:tcBorders>
            <w:tcMar>
              <w:left w:w="28" w:type="dxa"/>
              <w:right w:w="28" w:type="dxa"/>
            </w:tcMar>
            <w:vAlign w:val="center"/>
          </w:tcPr>
          <w:p w:rsidR="00B11E74" w:rsidRPr="00F63C1B" w:rsidRDefault="00B11E74" w:rsidP="00B11E74">
            <w:pPr>
              <w:keepNext/>
              <w:spacing w:before="0" w:line="240" w:lineRule="auto"/>
              <w:contextualSpacing/>
              <w:jc w:val="center"/>
              <w:rPr>
                <w:b/>
                <w:bCs/>
                <w:sz w:val="20"/>
                <w:szCs w:val="20"/>
              </w:rPr>
            </w:pPr>
            <w:r w:rsidRPr="00F63C1B">
              <w:rPr>
                <w:b/>
                <w:bCs/>
                <w:sz w:val="20"/>
                <w:szCs w:val="20"/>
              </w:rPr>
              <w:t>Hospital cost ($)</w:t>
            </w:r>
          </w:p>
        </w:tc>
      </w:tr>
      <w:tr w:rsidR="00B11E74" w:rsidRPr="00F63C1B" w:rsidTr="005E39F3">
        <w:trPr>
          <w:cnfStyle w:val="000000100000"/>
          <w:trHeight w:val="302"/>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60</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0.83240</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0.58690</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0.50950</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0.28550</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0.03090</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0.00464</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0.00542</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23,760</w:t>
            </w:r>
          </w:p>
        </w:tc>
      </w:tr>
      <w:tr w:rsidR="00B11E74" w:rsidRPr="00F63C1B" w:rsidTr="005E39F3">
        <w:trPr>
          <w:trHeight w:val="302"/>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61</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0.83031</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0.58481</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0.50741</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0.28341</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0.02881</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0.00542</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0.00591</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23,189</w:t>
            </w:r>
          </w:p>
        </w:tc>
      </w:tr>
      <w:tr w:rsidR="00B11E74" w:rsidRPr="00F63C1B" w:rsidTr="005E39F3">
        <w:trPr>
          <w:cnfStyle w:val="000000100000"/>
          <w:trHeight w:val="302"/>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62</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0.82824</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0.58274</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0.50534</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0.28134</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0.02674</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0.00631</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0.00644</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22,627</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63</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0.82619</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0.58069</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0.50329</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0.27929</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0.02469</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0.00733</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0.00702</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22,074</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64</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0.82416</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0.57866</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0.50126</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0.27726</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0.02266</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0.00849</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0.00767</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21,529</w:t>
            </w:r>
          </w:p>
        </w:tc>
      </w:tr>
      <w:tr w:rsidR="00B11E74" w:rsidRPr="00F63C1B" w:rsidTr="005E39F3">
        <w:trPr>
          <w:trHeight w:val="302"/>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65</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0.82215</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0.57665</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0.49925</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0.27525</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0.02065</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0.00982</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0.00837</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20,993</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66</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0.82016</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0.57466</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0.49726</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0.27326</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0.01866</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0.01133</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0.00916</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20,465</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67</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0.81819</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0.57269</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0.49529</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0.27129</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0.01669</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0.01305</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0.01004</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19,946</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68</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0.81624</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0.57074</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0.49334</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0.26934</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0.01474</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0.01499</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0.01103</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19,433</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69</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0.81431</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0.56881</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0.49141</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0.26741</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0.01281</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0.01719</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0.01214</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18,929</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70</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0.81240</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0.56690</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0.48950</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0.26550</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0.01090</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0.01968</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0.01341</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18,431</w:t>
            </w:r>
          </w:p>
        </w:tc>
      </w:tr>
      <w:tr w:rsidR="00B11E74" w:rsidRPr="00F63C1B" w:rsidTr="005E39F3">
        <w:trPr>
          <w:trHeight w:val="302"/>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71</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0.81051</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0.56501</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0.48761</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0.26361</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0.00901</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0.02247</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0.01485</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17,941</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72</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0.80864</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0.56314</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0.48574</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0.26174</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0.00714</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0.02562</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0.01651</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17,457</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73</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0.80679</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0.56129</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0.48389</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0.25989</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0.00529</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0.02916</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0.01840</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16,981</w:t>
            </w:r>
          </w:p>
        </w:tc>
      </w:tr>
      <w:tr w:rsidR="00B11E74" w:rsidRPr="00F63C1B" w:rsidTr="005E39F3">
        <w:trPr>
          <w:cnfStyle w:val="000000100000"/>
          <w:trHeight w:val="302"/>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74</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0.80496</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0.55946</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0.48206</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0.25806</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0.00346</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0.03312</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0.02053</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16,510</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75</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0.80315</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0.55765</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0.48025</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0.25625</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0.00165</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0.03756</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0.02292</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16,046</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76</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0.80136</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0.55586</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0.47846</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0.25446</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-0.00014</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0.04253</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0.02563</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15,588</w:t>
            </w:r>
          </w:p>
        </w:tc>
      </w:tr>
      <w:tr w:rsidR="00B11E74" w:rsidRPr="00F63C1B" w:rsidTr="005E39F3">
        <w:trPr>
          <w:trHeight w:val="302"/>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77</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0.79959</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0.55409</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0.47669</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0.25269</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-0.00191</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0.04807</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0.02873</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15,136</w:t>
            </w:r>
          </w:p>
        </w:tc>
      </w:tr>
      <w:tr w:rsidR="00B11E74" w:rsidRPr="00F63C1B" w:rsidTr="005E39F3">
        <w:trPr>
          <w:cnfStyle w:val="000000100000"/>
          <w:trHeight w:val="317"/>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78</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0.79784</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0.55234</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0.47494</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0.25094</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-0.00366</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0.05425</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0.03229</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14,690</w:t>
            </w:r>
          </w:p>
        </w:tc>
      </w:tr>
      <w:tr w:rsidR="00B11E74" w:rsidRPr="00F63C1B" w:rsidTr="005E39F3">
        <w:trPr>
          <w:trHeight w:val="302"/>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79</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0.79611</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0.55061</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0.47321</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0.24921</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-0.00539</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0.06113</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0.03638</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14,250</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80</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0.79440</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0.54890</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0.47150</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0.24750</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-0.00710</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0.06878</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0.04106</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13,815</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81</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0.79271</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0.54721</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0.46981</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0.24581</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-0.00879</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0.07728</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0.04646</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13,385</w:t>
            </w:r>
          </w:p>
        </w:tc>
      </w:tr>
      <w:tr w:rsidR="00B11E74" w:rsidRPr="00F63C1B" w:rsidTr="005E39F3">
        <w:trPr>
          <w:cnfStyle w:val="000000100000"/>
          <w:trHeight w:val="302"/>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82</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0.79104</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0.54554</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0.46814</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0.24414</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-0.01046</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0.08669</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0.05266</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12,961</w:t>
            </w:r>
          </w:p>
        </w:tc>
      </w:tr>
      <w:tr w:rsidR="00B11E74" w:rsidRPr="00F63C1B" w:rsidTr="005E39F3">
        <w:trPr>
          <w:trHeight w:val="302"/>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83</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0.78939</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0.54389</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0.46649</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0.24249</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-0.01211</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0.09712</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0.05975</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12,542</w:t>
            </w:r>
          </w:p>
        </w:tc>
      </w:tr>
      <w:tr w:rsidR="00B11E74" w:rsidRPr="00F63C1B" w:rsidTr="005E39F3">
        <w:trPr>
          <w:cnfStyle w:val="000000100000"/>
          <w:trHeight w:val="302"/>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84</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0.78776</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0.54226</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0.46486</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0.24086</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-0.01374</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0.10866</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0.06783</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12,128</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85</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0.78615</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0.54065</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0.46325</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0.23925</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-0.01535</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0.12141</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0.07698</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11,719</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86</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0.78456</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0.53906</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0.46166</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0.23766</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-0.01694</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0.13548</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0.08726</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11,315</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87</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0.78299</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0.53749</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0.46009</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0.23609</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-0.01851</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0.15098</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0.09874</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10,915</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88</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0.78144</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0.53594</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0.45854</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0.23454</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-0.02006</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0.16805</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0.11148</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10,520</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89</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0.77991</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0.53441</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0.45701</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0.23301</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-0.02159</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0.18683</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0.12551</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10,129</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90</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0.77840</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0.53290</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0.45550</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0.23150</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-0.02310</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0.20745</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0.14048</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9,743</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91</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0.77691</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0.53141</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0.45401</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0.23001</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-0.02459</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0.23009</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0.15506</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9,361</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92</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0.77544</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0.52994</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0.45254</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0.22854</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-0.02606</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0.25491</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0.17050</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8,983</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93</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0.77399</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0.52849</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0.45109</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0.22709</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-0.02751</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0.28209</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0.19004</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8,610</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94</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0.77256</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0.52706</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0.44966</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0.22566</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-0.02894</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0.31184</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0.21229</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8,240</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95</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0.77115</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0.52565</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0.44825</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0.22425</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-0.03035</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0.34435</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0.23486</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7,874</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96</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0.76976</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0.52426</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0.44686</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0.22286</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-0.03174</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0.37987</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0.25570</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7,512</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97</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0.76839</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0.52289</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0.44549</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0.22149</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-0.03311</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0.41861</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0.27052</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7,154</w:t>
            </w:r>
          </w:p>
        </w:tc>
      </w:tr>
      <w:tr w:rsidR="00B11E74" w:rsidRPr="00F63C1B" w:rsidTr="005E39F3">
        <w:trPr>
          <w:cnfStyle w:val="000000100000"/>
          <w:trHeight w:val="290"/>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98</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0.76704</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0.52154</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0.44414</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0.22014</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-0.03446</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0.46085</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0.28541</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6,799</w:t>
            </w:r>
          </w:p>
        </w:tc>
      </w:tr>
      <w:tr w:rsidR="00B11E74" w:rsidRPr="00F63C1B" w:rsidTr="005E39F3">
        <w:trPr>
          <w:trHeight w:val="290"/>
        </w:trPr>
        <w:tc>
          <w:tcPr>
            <w:cnfStyle w:val="000010000000"/>
            <w:tcW w:w="56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99</w:t>
            </w:r>
          </w:p>
        </w:tc>
        <w:tc>
          <w:tcPr>
            <w:tcW w:w="90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0.76571</w:t>
            </w:r>
          </w:p>
        </w:tc>
        <w:tc>
          <w:tcPr>
            <w:cnfStyle w:val="000010000000"/>
            <w:tcW w:w="852"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0.52021</w:t>
            </w:r>
          </w:p>
        </w:tc>
        <w:tc>
          <w:tcPr>
            <w:tcW w:w="1031"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0.44281</w:t>
            </w:r>
          </w:p>
        </w:tc>
        <w:tc>
          <w:tcPr>
            <w:cnfStyle w:val="000010000000"/>
            <w:tcW w:w="82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0.21881</w:t>
            </w:r>
          </w:p>
        </w:tc>
        <w:tc>
          <w:tcPr>
            <w:tcW w:w="1117"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-0.03579</w:t>
            </w:r>
          </w:p>
        </w:tc>
        <w:tc>
          <w:tcPr>
            <w:cnfStyle w:val="000010000000"/>
            <w:tcW w:w="1134"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0.50686</w:t>
            </w:r>
          </w:p>
        </w:tc>
        <w:tc>
          <w:tcPr>
            <w:tcW w:w="1134" w:type="dxa"/>
            <w:tcMar>
              <w:left w:w="28" w:type="dxa"/>
              <w:right w:w="28" w:type="dxa"/>
            </w:tcMar>
            <w:vAlign w:val="center"/>
          </w:tcPr>
          <w:p w:rsidR="00B11E74" w:rsidRPr="00F63C1B" w:rsidRDefault="00B11E74" w:rsidP="00B11E74">
            <w:pPr>
              <w:spacing w:before="0" w:line="240" w:lineRule="auto"/>
              <w:contextualSpacing/>
              <w:jc w:val="center"/>
              <w:cnfStyle w:val="000000000000"/>
              <w:rPr>
                <w:sz w:val="20"/>
                <w:szCs w:val="20"/>
              </w:rPr>
            </w:pPr>
            <w:r w:rsidRPr="00F63C1B">
              <w:rPr>
                <w:sz w:val="20"/>
                <w:szCs w:val="20"/>
              </w:rPr>
              <w:t>0.30035</w:t>
            </w:r>
          </w:p>
        </w:tc>
        <w:tc>
          <w:tcPr>
            <w:cnfStyle w:val="000010000000"/>
            <w:tcW w:w="1559" w:type="dxa"/>
            <w:tcBorders>
              <w:left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6,448</w:t>
            </w:r>
          </w:p>
        </w:tc>
      </w:tr>
      <w:tr w:rsidR="00B11E74" w:rsidRPr="00F63C1B" w:rsidTr="005E39F3">
        <w:trPr>
          <w:cnfStyle w:val="000000100000"/>
          <w:trHeight w:val="302"/>
        </w:trPr>
        <w:tc>
          <w:tcPr>
            <w:cnfStyle w:val="000010000000"/>
            <w:tcW w:w="56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100+</w:t>
            </w:r>
          </w:p>
        </w:tc>
        <w:tc>
          <w:tcPr>
            <w:tcW w:w="90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0.76440</w:t>
            </w:r>
          </w:p>
        </w:tc>
        <w:tc>
          <w:tcPr>
            <w:cnfStyle w:val="000010000000"/>
            <w:tcW w:w="852"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0.51890</w:t>
            </w:r>
          </w:p>
        </w:tc>
        <w:tc>
          <w:tcPr>
            <w:tcW w:w="1031"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0.44150</w:t>
            </w:r>
          </w:p>
        </w:tc>
        <w:tc>
          <w:tcPr>
            <w:cnfStyle w:val="000010000000"/>
            <w:tcW w:w="82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0.21750</w:t>
            </w:r>
          </w:p>
        </w:tc>
        <w:tc>
          <w:tcPr>
            <w:tcW w:w="1117"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-0.03710</w:t>
            </w:r>
          </w:p>
        </w:tc>
        <w:tc>
          <w:tcPr>
            <w:cnfStyle w:val="000010000000"/>
            <w:tcW w:w="1134"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0.55693</w:t>
            </w:r>
          </w:p>
        </w:tc>
        <w:tc>
          <w:tcPr>
            <w:tcW w:w="1134" w:type="dxa"/>
            <w:tcBorders>
              <w:top w:val="none" w:sz="0" w:space="0" w:color="auto"/>
              <w:bottom w:val="none" w:sz="0" w:space="0" w:color="auto"/>
            </w:tcBorders>
            <w:tcMar>
              <w:left w:w="28" w:type="dxa"/>
              <w:right w:w="28" w:type="dxa"/>
            </w:tcMar>
            <w:vAlign w:val="center"/>
          </w:tcPr>
          <w:p w:rsidR="00B11E74" w:rsidRPr="00F63C1B" w:rsidRDefault="00B11E74" w:rsidP="00B11E74">
            <w:pPr>
              <w:spacing w:before="0" w:line="240" w:lineRule="auto"/>
              <w:contextualSpacing/>
              <w:jc w:val="center"/>
              <w:cnfStyle w:val="000000100000"/>
              <w:rPr>
                <w:sz w:val="20"/>
                <w:szCs w:val="20"/>
              </w:rPr>
            </w:pPr>
            <w:r w:rsidRPr="00F63C1B">
              <w:rPr>
                <w:sz w:val="20"/>
                <w:szCs w:val="20"/>
              </w:rPr>
              <w:t>0.31497</w:t>
            </w:r>
          </w:p>
        </w:tc>
        <w:tc>
          <w:tcPr>
            <w:cnfStyle w:val="000010000000"/>
            <w:tcW w:w="1559" w:type="dxa"/>
            <w:tcBorders>
              <w:top w:val="none" w:sz="0" w:space="0" w:color="auto"/>
              <w:left w:val="none" w:sz="0" w:space="0" w:color="auto"/>
              <w:bottom w:val="none" w:sz="0" w:space="0" w:color="auto"/>
              <w:right w:val="none" w:sz="0" w:space="0" w:color="auto"/>
            </w:tcBorders>
            <w:tcMar>
              <w:left w:w="28" w:type="dxa"/>
              <w:right w:w="28" w:type="dxa"/>
            </w:tcMar>
            <w:vAlign w:val="center"/>
          </w:tcPr>
          <w:p w:rsidR="00B11E74" w:rsidRPr="00F63C1B" w:rsidRDefault="00B11E74" w:rsidP="00B11E74">
            <w:pPr>
              <w:spacing w:before="0" w:line="240" w:lineRule="auto"/>
              <w:contextualSpacing/>
              <w:jc w:val="center"/>
              <w:rPr>
                <w:sz w:val="20"/>
                <w:szCs w:val="20"/>
              </w:rPr>
            </w:pPr>
            <w:r w:rsidRPr="00F63C1B">
              <w:rPr>
                <w:sz w:val="20"/>
                <w:szCs w:val="20"/>
              </w:rPr>
              <w:t>6,101</w:t>
            </w:r>
          </w:p>
        </w:tc>
      </w:tr>
    </w:tbl>
    <w:p w:rsidR="005F5235" w:rsidRPr="00121945" w:rsidRDefault="005F5235" w:rsidP="00B11E74">
      <w:pPr>
        <w:spacing w:before="0" w:after="0" w:line="240" w:lineRule="auto"/>
        <w:rPr>
          <w:rFonts w:cs="Times New Roman"/>
          <w:sz w:val="22"/>
          <w:szCs w:val="24"/>
        </w:rPr>
      </w:pPr>
    </w:p>
    <w:p w:rsidR="00590483" w:rsidRPr="00121945" w:rsidRDefault="00590483" w:rsidP="00937196">
      <w:pPr>
        <w:spacing w:line="480" w:lineRule="auto"/>
        <w:rPr>
          <w:rFonts w:cs="Times New Roman"/>
          <w:sz w:val="22"/>
          <w:szCs w:val="24"/>
        </w:rPr>
      </w:pPr>
    </w:p>
    <w:p w:rsidR="00CD1FC9" w:rsidRPr="00121945" w:rsidRDefault="00136F89" w:rsidP="00937196">
      <w:pPr>
        <w:spacing w:line="480" w:lineRule="auto"/>
        <w:rPr>
          <w:rFonts w:cs="Times New Roman"/>
          <w:b/>
          <w:sz w:val="28"/>
          <w:szCs w:val="26"/>
        </w:rPr>
      </w:pPr>
      <w:r w:rsidRPr="00121945">
        <w:rPr>
          <w:rFonts w:cs="Times New Roman"/>
          <w:b/>
          <w:sz w:val="28"/>
          <w:szCs w:val="26"/>
        </w:rPr>
        <w:t>References</w:t>
      </w:r>
    </w:p>
    <w:p w:rsidR="004A2EE9" w:rsidRPr="004A2EE9" w:rsidRDefault="00FC1B7E" w:rsidP="004A2EE9">
      <w:pPr>
        <w:pStyle w:val="Bibliography"/>
        <w:rPr>
          <w:rFonts w:cs="Times New Roman"/>
          <w:sz w:val="22"/>
        </w:rPr>
      </w:pPr>
      <w:r w:rsidRPr="00FC1B7E">
        <w:rPr>
          <w:sz w:val="22"/>
        </w:rPr>
        <w:fldChar w:fldCharType="begin"/>
      </w:r>
      <w:r w:rsidR="004A2EE9">
        <w:rPr>
          <w:sz w:val="22"/>
        </w:rPr>
        <w:instrText xml:space="preserve"> ADDIN ZOTERO_BIBL {"custom":[]} CSL_BIBLIOGRAPHY </w:instrText>
      </w:r>
      <w:r w:rsidRPr="00FC1B7E">
        <w:rPr>
          <w:sz w:val="22"/>
        </w:rPr>
        <w:fldChar w:fldCharType="separate"/>
      </w:r>
      <w:r w:rsidR="004A2EE9" w:rsidRPr="004A2EE9">
        <w:rPr>
          <w:rFonts w:cs="Times New Roman"/>
          <w:sz w:val="22"/>
        </w:rPr>
        <w:t>[1]</w:t>
      </w:r>
      <w:r w:rsidR="004A2EE9" w:rsidRPr="004A2EE9">
        <w:rPr>
          <w:rFonts w:cs="Times New Roman"/>
          <w:sz w:val="22"/>
        </w:rPr>
        <w:tab/>
        <w:t xml:space="preserve">C. Green, J. Picot, E. Loveman, A. Takeda, J. Kirby, and A. Clegg, ‘Modelling the cost effectiveness of cholinesterase inhibitors in the management of mild to moderately severe Alzheimer’s disease’, </w:t>
      </w:r>
      <w:r w:rsidR="004A2EE9" w:rsidRPr="004A2EE9">
        <w:rPr>
          <w:rFonts w:cs="Times New Roman"/>
          <w:i/>
          <w:iCs/>
          <w:sz w:val="22"/>
        </w:rPr>
        <w:t>Pharmacoeconomics</w:t>
      </w:r>
      <w:r w:rsidR="004A2EE9" w:rsidRPr="004A2EE9">
        <w:rPr>
          <w:rFonts w:cs="Times New Roman"/>
          <w:sz w:val="22"/>
        </w:rPr>
        <w:t>, vol. 23, no. 12, pp. 1271–1282, 2005.</w:t>
      </w:r>
    </w:p>
    <w:p w:rsidR="004A2EE9" w:rsidRPr="004A2EE9" w:rsidRDefault="004A2EE9" w:rsidP="004A2EE9">
      <w:pPr>
        <w:pStyle w:val="Bibliography"/>
        <w:rPr>
          <w:rFonts w:cs="Times New Roman"/>
          <w:sz w:val="22"/>
        </w:rPr>
      </w:pPr>
      <w:r w:rsidRPr="004A2EE9">
        <w:rPr>
          <w:rFonts w:cs="Times New Roman"/>
          <w:sz w:val="22"/>
        </w:rPr>
        <w:t>[2]</w:t>
      </w:r>
      <w:r w:rsidRPr="004A2EE9">
        <w:rPr>
          <w:rFonts w:cs="Times New Roman"/>
          <w:sz w:val="22"/>
        </w:rPr>
        <w:tab/>
        <w:t xml:space="preserve">C. Green, J. Shearer, C. W. Ritchie, and J. P. Zajicek, ‘Model-Based Economic Evaluation in Alzheimer’s Disease: A Review of the Methods Available to Model Alzheimer’s Disease Progression’, </w:t>
      </w:r>
      <w:r w:rsidRPr="004A2EE9">
        <w:rPr>
          <w:rFonts w:cs="Times New Roman"/>
          <w:i/>
          <w:iCs/>
          <w:sz w:val="22"/>
        </w:rPr>
        <w:t>Value Health</w:t>
      </w:r>
      <w:r w:rsidRPr="004A2EE9">
        <w:rPr>
          <w:rFonts w:cs="Times New Roman"/>
          <w:sz w:val="22"/>
        </w:rPr>
        <w:t>, vol. 14, no. 5, pp. 621–630, Jul. 2011.</w:t>
      </w:r>
    </w:p>
    <w:p w:rsidR="004A2EE9" w:rsidRPr="004A2EE9" w:rsidRDefault="004A2EE9" w:rsidP="004A2EE9">
      <w:pPr>
        <w:pStyle w:val="Bibliography"/>
        <w:rPr>
          <w:rFonts w:cs="Times New Roman"/>
          <w:sz w:val="22"/>
        </w:rPr>
      </w:pPr>
      <w:r w:rsidRPr="004A2EE9">
        <w:rPr>
          <w:rFonts w:cs="Times New Roman"/>
          <w:sz w:val="22"/>
        </w:rPr>
        <w:t>[3]</w:t>
      </w:r>
      <w:r w:rsidRPr="004A2EE9">
        <w:rPr>
          <w:rFonts w:cs="Times New Roman"/>
          <w:sz w:val="22"/>
        </w:rPr>
        <w:tab/>
        <w:t xml:space="preserve">A. Wimo </w:t>
      </w:r>
      <w:r w:rsidRPr="004A2EE9">
        <w:rPr>
          <w:rFonts w:cs="Times New Roman"/>
          <w:i/>
          <w:iCs/>
          <w:sz w:val="22"/>
        </w:rPr>
        <w:t>et al.</w:t>
      </w:r>
      <w:r w:rsidRPr="004A2EE9">
        <w:rPr>
          <w:rFonts w:cs="Times New Roman"/>
          <w:sz w:val="22"/>
        </w:rPr>
        <w:t xml:space="preserve">, ‘Health economic evaluation of treatments for Alzheimer′s disease: impact of new diagnostic criteria’, </w:t>
      </w:r>
      <w:r w:rsidRPr="004A2EE9">
        <w:rPr>
          <w:rFonts w:cs="Times New Roman"/>
          <w:i/>
          <w:iCs/>
          <w:sz w:val="22"/>
        </w:rPr>
        <w:t>J. Intern. Med.</w:t>
      </w:r>
      <w:r w:rsidRPr="004A2EE9">
        <w:rPr>
          <w:rFonts w:cs="Times New Roman"/>
          <w:sz w:val="22"/>
        </w:rPr>
        <w:t>, vol. 275, no. 3, pp. 304–316, Mar. 2014.</w:t>
      </w:r>
    </w:p>
    <w:p w:rsidR="004A2EE9" w:rsidRPr="004A2EE9" w:rsidRDefault="004A2EE9" w:rsidP="004A2EE9">
      <w:pPr>
        <w:pStyle w:val="Bibliography"/>
        <w:rPr>
          <w:rFonts w:cs="Times New Roman"/>
          <w:sz w:val="22"/>
        </w:rPr>
      </w:pPr>
      <w:r w:rsidRPr="004A2EE9">
        <w:rPr>
          <w:rFonts w:cs="Times New Roman"/>
          <w:sz w:val="22"/>
        </w:rPr>
        <w:t>[4]</w:t>
      </w:r>
      <w:r w:rsidRPr="004A2EE9">
        <w:rPr>
          <w:rFonts w:cs="Times New Roman"/>
          <w:sz w:val="22"/>
        </w:rPr>
        <w:tab/>
        <w:t xml:space="preserve">P. J. Neumann </w:t>
      </w:r>
      <w:r w:rsidRPr="004A2EE9">
        <w:rPr>
          <w:rFonts w:cs="Times New Roman"/>
          <w:i/>
          <w:iCs/>
          <w:sz w:val="22"/>
        </w:rPr>
        <w:t>et al.</w:t>
      </w:r>
      <w:r w:rsidRPr="004A2EE9">
        <w:rPr>
          <w:rFonts w:cs="Times New Roman"/>
          <w:sz w:val="22"/>
        </w:rPr>
        <w:t xml:space="preserve">, ‘Measuring Alzheimer’s disease progression with transition probabilities Estimates from CERAD’, </w:t>
      </w:r>
      <w:r w:rsidRPr="004A2EE9">
        <w:rPr>
          <w:rFonts w:cs="Times New Roman"/>
          <w:i/>
          <w:iCs/>
          <w:sz w:val="22"/>
        </w:rPr>
        <w:t>Neurology</w:t>
      </w:r>
      <w:r w:rsidRPr="004A2EE9">
        <w:rPr>
          <w:rFonts w:cs="Times New Roman"/>
          <w:sz w:val="22"/>
        </w:rPr>
        <w:t>, vol. 57, no. 6, pp. 957–964, 2001.</w:t>
      </w:r>
    </w:p>
    <w:p w:rsidR="004A2EE9" w:rsidRPr="004A2EE9" w:rsidRDefault="004A2EE9" w:rsidP="004A2EE9">
      <w:pPr>
        <w:pStyle w:val="Bibliography"/>
        <w:rPr>
          <w:rFonts w:cs="Times New Roman"/>
          <w:sz w:val="22"/>
        </w:rPr>
      </w:pPr>
      <w:r w:rsidRPr="004A2EE9">
        <w:rPr>
          <w:rFonts w:cs="Times New Roman"/>
          <w:sz w:val="22"/>
        </w:rPr>
        <w:t>[5]</w:t>
      </w:r>
      <w:r w:rsidRPr="004A2EE9">
        <w:rPr>
          <w:rFonts w:cs="Times New Roman"/>
          <w:sz w:val="22"/>
        </w:rPr>
        <w:tab/>
        <w:t xml:space="preserve">K. M. Detering, A. D. Hancock, M. C. Reade, and W. Silvester, ‘The impact of advance care planning on end of life care in elderly patients: randomised controlled trial.’, </w:t>
      </w:r>
      <w:r w:rsidRPr="004A2EE9">
        <w:rPr>
          <w:rFonts w:cs="Times New Roman"/>
          <w:i/>
          <w:iCs/>
          <w:sz w:val="22"/>
        </w:rPr>
        <w:t>BMJ</w:t>
      </w:r>
      <w:r w:rsidRPr="004A2EE9">
        <w:rPr>
          <w:rFonts w:cs="Times New Roman"/>
          <w:sz w:val="22"/>
        </w:rPr>
        <w:t>, vol. 340, p. c1345, 2010.</w:t>
      </w:r>
    </w:p>
    <w:p w:rsidR="004A2EE9" w:rsidRPr="004A2EE9" w:rsidRDefault="004A2EE9" w:rsidP="004A2EE9">
      <w:pPr>
        <w:pStyle w:val="Bibliography"/>
        <w:rPr>
          <w:rFonts w:cs="Times New Roman"/>
          <w:sz w:val="22"/>
        </w:rPr>
      </w:pPr>
      <w:r w:rsidRPr="004A2EE9">
        <w:rPr>
          <w:rFonts w:cs="Times New Roman"/>
          <w:sz w:val="22"/>
        </w:rPr>
        <w:t>[6]</w:t>
      </w:r>
      <w:r w:rsidRPr="004A2EE9">
        <w:rPr>
          <w:rFonts w:cs="Times New Roman"/>
          <w:sz w:val="22"/>
        </w:rPr>
        <w:tab/>
        <w:t xml:space="preserve">B. White </w:t>
      </w:r>
      <w:r w:rsidRPr="004A2EE9">
        <w:rPr>
          <w:rFonts w:cs="Times New Roman"/>
          <w:i/>
          <w:iCs/>
          <w:sz w:val="22"/>
        </w:rPr>
        <w:t>et al.</w:t>
      </w:r>
      <w:r w:rsidRPr="004A2EE9">
        <w:rPr>
          <w:rFonts w:cs="Times New Roman"/>
          <w:sz w:val="22"/>
        </w:rPr>
        <w:t xml:space="preserve">, ‘Prevalence and predictors of advance directives in Australia’, </w:t>
      </w:r>
      <w:r w:rsidRPr="004A2EE9">
        <w:rPr>
          <w:rFonts w:cs="Times New Roman"/>
          <w:i/>
          <w:iCs/>
          <w:sz w:val="22"/>
        </w:rPr>
        <w:t>Intern. Med. J.</w:t>
      </w:r>
      <w:r w:rsidRPr="004A2EE9">
        <w:rPr>
          <w:rFonts w:cs="Times New Roman"/>
          <w:sz w:val="22"/>
        </w:rPr>
        <w:t>, vol. 44, no. 10, pp. 975–980, 2014.</w:t>
      </w:r>
    </w:p>
    <w:p w:rsidR="004A2EE9" w:rsidRPr="004A2EE9" w:rsidRDefault="004A2EE9" w:rsidP="004A2EE9">
      <w:pPr>
        <w:pStyle w:val="Bibliography"/>
        <w:rPr>
          <w:rFonts w:cs="Times New Roman"/>
          <w:sz w:val="22"/>
        </w:rPr>
      </w:pPr>
      <w:r w:rsidRPr="004A2EE9">
        <w:rPr>
          <w:rFonts w:cs="Times New Roman"/>
          <w:sz w:val="22"/>
        </w:rPr>
        <w:t>[7]</w:t>
      </w:r>
      <w:r w:rsidRPr="004A2EE9">
        <w:rPr>
          <w:rFonts w:cs="Times New Roman"/>
          <w:sz w:val="22"/>
        </w:rPr>
        <w:tab/>
        <w:t xml:space="preserve">S. L. Bradley, R. J. Woodman, J. J. Tieman, and P. a Phillips, ‘Use of advance directives by South Australians: results from the Health Omnibus Survey Spring 2012’, </w:t>
      </w:r>
      <w:r w:rsidRPr="004A2EE9">
        <w:rPr>
          <w:rFonts w:cs="Times New Roman"/>
          <w:i/>
          <w:iCs/>
          <w:sz w:val="22"/>
        </w:rPr>
        <w:t>Med. J. Aust.</w:t>
      </w:r>
      <w:r w:rsidRPr="004A2EE9">
        <w:rPr>
          <w:rFonts w:cs="Times New Roman"/>
          <w:sz w:val="22"/>
        </w:rPr>
        <w:t>, vol. 201, no. 8, pp. 467–469, 2014.</w:t>
      </w:r>
    </w:p>
    <w:p w:rsidR="004A2EE9" w:rsidRPr="004A2EE9" w:rsidRDefault="004A2EE9" w:rsidP="004A2EE9">
      <w:pPr>
        <w:pStyle w:val="Bibliography"/>
        <w:rPr>
          <w:rFonts w:cs="Times New Roman"/>
          <w:sz w:val="22"/>
        </w:rPr>
      </w:pPr>
      <w:r w:rsidRPr="004A2EE9">
        <w:rPr>
          <w:rFonts w:cs="Times New Roman"/>
          <w:sz w:val="22"/>
        </w:rPr>
        <w:t>[8]</w:t>
      </w:r>
      <w:r w:rsidRPr="004A2EE9">
        <w:rPr>
          <w:rFonts w:cs="Times New Roman"/>
          <w:sz w:val="22"/>
        </w:rPr>
        <w:tab/>
        <w:t xml:space="preserve">C. H. M. Houben, M. a. Spruit, M. T. J. Groenen, E. F. M. Wouters, and D. J. a Janssen, ‘Efficacy of advance care planning: A systematic review and meta-analysis’, </w:t>
      </w:r>
      <w:r w:rsidRPr="004A2EE9">
        <w:rPr>
          <w:rFonts w:cs="Times New Roman"/>
          <w:i/>
          <w:iCs/>
          <w:sz w:val="22"/>
        </w:rPr>
        <w:t>J. Am. Med. Dir. Assoc.</w:t>
      </w:r>
      <w:r w:rsidRPr="004A2EE9">
        <w:rPr>
          <w:rFonts w:cs="Times New Roman"/>
          <w:sz w:val="22"/>
        </w:rPr>
        <w:t>, vol. 15, no. 7, pp. 477–489, 2014.</w:t>
      </w:r>
    </w:p>
    <w:p w:rsidR="004A2EE9" w:rsidRPr="004A2EE9" w:rsidRDefault="004A2EE9" w:rsidP="004A2EE9">
      <w:pPr>
        <w:pStyle w:val="Bibliography"/>
        <w:rPr>
          <w:rFonts w:cs="Times New Roman"/>
          <w:sz w:val="22"/>
        </w:rPr>
      </w:pPr>
      <w:r w:rsidRPr="004A2EE9">
        <w:rPr>
          <w:rFonts w:cs="Times New Roman"/>
          <w:sz w:val="22"/>
        </w:rPr>
        <w:t>[9]</w:t>
      </w:r>
      <w:r w:rsidRPr="004A2EE9">
        <w:rPr>
          <w:rFonts w:cs="Times New Roman"/>
          <w:sz w:val="22"/>
        </w:rPr>
        <w:tab/>
        <w:t xml:space="preserve">E. Ratner, L. Norlander, and K. McSteen, ‘Death at Home Following a Targeted Advance-Care Planning Process at Home: The Kitchen Table Discussion’, </w:t>
      </w:r>
      <w:r w:rsidRPr="004A2EE9">
        <w:rPr>
          <w:rFonts w:cs="Times New Roman"/>
          <w:i/>
          <w:iCs/>
          <w:sz w:val="22"/>
        </w:rPr>
        <w:t>J. Am. Geriatr. Soc.</w:t>
      </w:r>
      <w:r w:rsidRPr="004A2EE9">
        <w:rPr>
          <w:rFonts w:cs="Times New Roman"/>
          <w:sz w:val="22"/>
        </w:rPr>
        <w:t>, vol. 49, no. 6, pp. 778–781, 2001.</w:t>
      </w:r>
    </w:p>
    <w:p w:rsidR="004A2EE9" w:rsidRPr="004A2EE9" w:rsidRDefault="004A2EE9" w:rsidP="004A2EE9">
      <w:pPr>
        <w:pStyle w:val="Bibliography"/>
        <w:rPr>
          <w:rFonts w:cs="Times New Roman"/>
          <w:sz w:val="22"/>
        </w:rPr>
      </w:pPr>
      <w:r w:rsidRPr="004A2EE9">
        <w:rPr>
          <w:rFonts w:cs="Times New Roman"/>
          <w:sz w:val="22"/>
        </w:rPr>
        <w:t>[10]</w:t>
      </w:r>
      <w:r w:rsidRPr="004A2EE9">
        <w:rPr>
          <w:rFonts w:cs="Times New Roman"/>
          <w:sz w:val="22"/>
        </w:rPr>
        <w:tab/>
        <w:t xml:space="preserve">K. Kardamanidis, K. Lim, C. Da Cunha, L. K. Taylor, and L. R. Jorm, ‘Hospital costs of older people in New South Wales in the last year of life’, </w:t>
      </w:r>
      <w:r w:rsidRPr="004A2EE9">
        <w:rPr>
          <w:rFonts w:cs="Times New Roman"/>
          <w:i/>
          <w:iCs/>
          <w:sz w:val="22"/>
        </w:rPr>
        <w:t>Med. J. Aust.</w:t>
      </w:r>
      <w:r w:rsidRPr="004A2EE9">
        <w:rPr>
          <w:rFonts w:cs="Times New Roman"/>
          <w:sz w:val="22"/>
        </w:rPr>
        <w:t>, vol. 187, no. 7, p. 383, 2007.</w:t>
      </w:r>
    </w:p>
    <w:p w:rsidR="004A2EE9" w:rsidRPr="004A2EE9" w:rsidRDefault="004A2EE9" w:rsidP="004A2EE9">
      <w:pPr>
        <w:pStyle w:val="Bibliography"/>
        <w:rPr>
          <w:rFonts w:cs="Times New Roman"/>
          <w:sz w:val="22"/>
        </w:rPr>
      </w:pPr>
      <w:r w:rsidRPr="004A2EE9">
        <w:rPr>
          <w:rFonts w:cs="Times New Roman"/>
          <w:sz w:val="22"/>
        </w:rPr>
        <w:t>[11]</w:t>
      </w:r>
      <w:r w:rsidRPr="004A2EE9">
        <w:rPr>
          <w:rFonts w:cs="Times New Roman"/>
          <w:sz w:val="22"/>
        </w:rPr>
        <w:tab/>
        <w:t>Aged Care Financing Authority, ‘Fifth report on the Funding and Financing of the Aged Care Sector’, Australian Government, Canberra, Australia, Government Report, 2017.</w:t>
      </w:r>
    </w:p>
    <w:p w:rsidR="004A2EE9" w:rsidRPr="004A2EE9" w:rsidRDefault="004A2EE9" w:rsidP="004A2EE9">
      <w:pPr>
        <w:pStyle w:val="Bibliography"/>
        <w:rPr>
          <w:rFonts w:cs="Times New Roman"/>
          <w:sz w:val="22"/>
        </w:rPr>
      </w:pPr>
      <w:r w:rsidRPr="004A2EE9">
        <w:rPr>
          <w:rFonts w:cs="Times New Roman"/>
          <w:sz w:val="22"/>
        </w:rPr>
        <w:t>[12]</w:t>
      </w:r>
      <w:r w:rsidRPr="004A2EE9">
        <w:rPr>
          <w:rFonts w:cs="Times New Roman"/>
          <w:sz w:val="22"/>
        </w:rPr>
        <w:tab/>
        <w:t xml:space="preserve">G. A. Caplan, A. Meller, B. Squires, S. Chan, and W. Willett, ‘Advance care planning and hospital in the nursing home’, </w:t>
      </w:r>
      <w:r w:rsidRPr="004A2EE9">
        <w:rPr>
          <w:rFonts w:cs="Times New Roman"/>
          <w:i/>
          <w:iCs/>
          <w:sz w:val="22"/>
        </w:rPr>
        <w:t>Age Ageing</w:t>
      </w:r>
      <w:r w:rsidRPr="004A2EE9">
        <w:rPr>
          <w:rFonts w:cs="Times New Roman"/>
          <w:sz w:val="22"/>
        </w:rPr>
        <w:t>, vol. 35, pp. 581–585, 2006.</w:t>
      </w:r>
    </w:p>
    <w:p w:rsidR="004A2EE9" w:rsidRPr="004A2EE9" w:rsidRDefault="004A2EE9" w:rsidP="004A2EE9">
      <w:pPr>
        <w:pStyle w:val="Bibliography"/>
        <w:rPr>
          <w:rFonts w:cs="Times New Roman"/>
          <w:sz w:val="22"/>
        </w:rPr>
      </w:pPr>
      <w:r w:rsidRPr="004A2EE9">
        <w:rPr>
          <w:rFonts w:cs="Times New Roman"/>
          <w:sz w:val="22"/>
        </w:rPr>
        <w:t>[13]</w:t>
      </w:r>
      <w:r w:rsidRPr="004A2EE9">
        <w:rPr>
          <w:rFonts w:cs="Times New Roman"/>
          <w:sz w:val="22"/>
        </w:rPr>
        <w:tab/>
        <w:t xml:space="preserve">Y. Shnoor, M. Szlaifer, A. S. Aoberman, and N. Bentur, ‘The Cost of Home Hospice Care for Terminal Patients in Israel’, </w:t>
      </w:r>
      <w:r w:rsidRPr="004A2EE9">
        <w:rPr>
          <w:rFonts w:cs="Times New Roman"/>
          <w:i/>
          <w:iCs/>
          <w:sz w:val="22"/>
        </w:rPr>
        <w:t>Am. J. Hosp. Palliat. Med.</w:t>
      </w:r>
      <w:r w:rsidRPr="004A2EE9">
        <w:rPr>
          <w:rFonts w:cs="Times New Roman"/>
          <w:sz w:val="22"/>
        </w:rPr>
        <w:t>, vol. 24, no. 4, pp. 284–290, Aug. 2007.</w:t>
      </w:r>
    </w:p>
    <w:p w:rsidR="004A2EE9" w:rsidRPr="004A2EE9" w:rsidRDefault="004A2EE9" w:rsidP="004A2EE9">
      <w:pPr>
        <w:pStyle w:val="Bibliography"/>
        <w:rPr>
          <w:rFonts w:cs="Times New Roman"/>
          <w:sz w:val="22"/>
        </w:rPr>
      </w:pPr>
      <w:r w:rsidRPr="004A2EE9">
        <w:rPr>
          <w:rFonts w:cs="Times New Roman"/>
          <w:sz w:val="22"/>
        </w:rPr>
        <w:t>[14]</w:t>
      </w:r>
      <w:r w:rsidRPr="004A2EE9">
        <w:rPr>
          <w:rFonts w:cs="Times New Roman"/>
          <w:sz w:val="22"/>
        </w:rPr>
        <w:tab/>
        <w:t xml:space="preserve">R. Brumley </w:t>
      </w:r>
      <w:r w:rsidRPr="004A2EE9">
        <w:rPr>
          <w:rFonts w:cs="Times New Roman"/>
          <w:i/>
          <w:iCs/>
          <w:sz w:val="22"/>
        </w:rPr>
        <w:t>et al.</w:t>
      </w:r>
      <w:r w:rsidRPr="004A2EE9">
        <w:rPr>
          <w:rFonts w:cs="Times New Roman"/>
          <w:sz w:val="22"/>
        </w:rPr>
        <w:t xml:space="preserve">, ‘Increased Satisfaction with Care and Lower Costs: Results of a Randomized Trial of In-Home Palliative Care’, </w:t>
      </w:r>
      <w:r w:rsidRPr="004A2EE9">
        <w:rPr>
          <w:rFonts w:cs="Times New Roman"/>
          <w:i/>
          <w:iCs/>
          <w:sz w:val="22"/>
        </w:rPr>
        <w:t>J. Am. Geriatr. Soc.</w:t>
      </w:r>
      <w:r w:rsidRPr="004A2EE9">
        <w:rPr>
          <w:rFonts w:cs="Times New Roman"/>
          <w:sz w:val="22"/>
        </w:rPr>
        <w:t>, vol. 55, no. 7, pp. 993–1000, Jul. 2007.</w:t>
      </w:r>
    </w:p>
    <w:p w:rsidR="004A2EE9" w:rsidRPr="004A2EE9" w:rsidRDefault="004A2EE9" w:rsidP="004A2EE9">
      <w:pPr>
        <w:pStyle w:val="Bibliography"/>
        <w:rPr>
          <w:rFonts w:cs="Times New Roman"/>
          <w:sz w:val="22"/>
        </w:rPr>
      </w:pPr>
      <w:r w:rsidRPr="004A2EE9">
        <w:rPr>
          <w:rFonts w:cs="Times New Roman"/>
          <w:sz w:val="22"/>
        </w:rPr>
        <w:t>[15]</w:t>
      </w:r>
      <w:r w:rsidRPr="004A2EE9">
        <w:rPr>
          <w:rFonts w:cs="Times New Roman"/>
          <w:sz w:val="22"/>
        </w:rPr>
        <w:tab/>
        <w:t xml:space="preserve">K. S. Boockvar, A. L. Gruber-Baldini, L. Burton, S. Zimmerman, C. May, and J. Magaziner, ‘Outcomes of Infection in Nursing Home Residents with and without Early Hospital Transfer’, </w:t>
      </w:r>
      <w:r w:rsidRPr="004A2EE9">
        <w:rPr>
          <w:rFonts w:cs="Times New Roman"/>
          <w:i/>
          <w:iCs/>
          <w:sz w:val="22"/>
        </w:rPr>
        <w:t>J. Am. Geriatr. Soc.</w:t>
      </w:r>
      <w:r w:rsidRPr="004A2EE9">
        <w:rPr>
          <w:rFonts w:cs="Times New Roman"/>
          <w:sz w:val="22"/>
        </w:rPr>
        <w:t>, vol. 53, no. 4, pp. 590–596, Apr. 2005.</w:t>
      </w:r>
    </w:p>
    <w:p w:rsidR="004A2EE9" w:rsidRPr="004A2EE9" w:rsidRDefault="004A2EE9" w:rsidP="004A2EE9">
      <w:pPr>
        <w:pStyle w:val="Bibliography"/>
        <w:rPr>
          <w:rFonts w:cs="Times New Roman"/>
          <w:sz w:val="22"/>
        </w:rPr>
      </w:pPr>
      <w:r w:rsidRPr="004A2EE9">
        <w:rPr>
          <w:rFonts w:cs="Times New Roman"/>
          <w:sz w:val="22"/>
        </w:rPr>
        <w:t>[16]</w:t>
      </w:r>
      <w:r w:rsidRPr="004A2EE9">
        <w:rPr>
          <w:rFonts w:cs="Times New Roman"/>
          <w:sz w:val="22"/>
        </w:rPr>
        <w:tab/>
        <w:t xml:space="preserve">T. R. Fried, M. R. Gillick, and L. A. Lipsitz, ‘Short-Term Functional Outcomes of Long-Term Care Residents with Pneumonia Treated with and without Hospital Transfer’, </w:t>
      </w:r>
      <w:r w:rsidRPr="004A2EE9">
        <w:rPr>
          <w:rFonts w:cs="Times New Roman"/>
          <w:i/>
          <w:iCs/>
          <w:sz w:val="22"/>
        </w:rPr>
        <w:t>J. Am. Geriatr. Soc.</w:t>
      </w:r>
      <w:r w:rsidRPr="004A2EE9">
        <w:rPr>
          <w:rFonts w:cs="Times New Roman"/>
          <w:sz w:val="22"/>
        </w:rPr>
        <w:t>, vol. 45, no. 3, pp. 302–306, Mar. 1997.</w:t>
      </w:r>
    </w:p>
    <w:p w:rsidR="004A2EE9" w:rsidRPr="004A2EE9" w:rsidRDefault="004A2EE9" w:rsidP="004A2EE9">
      <w:pPr>
        <w:pStyle w:val="Bibliography"/>
        <w:rPr>
          <w:rFonts w:cs="Times New Roman"/>
          <w:sz w:val="22"/>
        </w:rPr>
      </w:pPr>
      <w:r w:rsidRPr="004A2EE9">
        <w:rPr>
          <w:rFonts w:cs="Times New Roman"/>
          <w:sz w:val="22"/>
        </w:rPr>
        <w:t>[17]</w:t>
      </w:r>
      <w:r w:rsidRPr="004A2EE9">
        <w:rPr>
          <w:rFonts w:cs="Times New Roman"/>
          <w:sz w:val="22"/>
        </w:rPr>
        <w:tab/>
        <w:t xml:space="preserve">M. M. Garrido, T. A. Balboni, P. K. Maciejewski, Y. Bao, and H. G. Prigerson, ‘Quality of Life and Cost of Care at the End of Life: The Role of Advance Directives’, </w:t>
      </w:r>
      <w:r w:rsidRPr="004A2EE9">
        <w:rPr>
          <w:rFonts w:cs="Times New Roman"/>
          <w:i/>
          <w:iCs/>
          <w:sz w:val="22"/>
        </w:rPr>
        <w:t>J. Pain Symptom Manage.</w:t>
      </w:r>
      <w:r w:rsidRPr="004A2EE9">
        <w:rPr>
          <w:rFonts w:cs="Times New Roman"/>
          <w:sz w:val="22"/>
        </w:rPr>
        <w:t>, vol. 49, no. 5, pp. 828–835, May 2015.</w:t>
      </w:r>
    </w:p>
    <w:p w:rsidR="004A2EE9" w:rsidRPr="004A2EE9" w:rsidRDefault="004A2EE9" w:rsidP="004A2EE9">
      <w:pPr>
        <w:pStyle w:val="Bibliography"/>
        <w:rPr>
          <w:rFonts w:cs="Times New Roman"/>
          <w:sz w:val="22"/>
        </w:rPr>
      </w:pPr>
      <w:r w:rsidRPr="004A2EE9">
        <w:rPr>
          <w:rFonts w:cs="Times New Roman"/>
          <w:sz w:val="22"/>
        </w:rPr>
        <w:t>[18]</w:t>
      </w:r>
      <w:r w:rsidRPr="004A2EE9">
        <w:rPr>
          <w:rFonts w:cs="Times New Roman"/>
          <w:sz w:val="22"/>
        </w:rPr>
        <w:tab/>
        <w:t xml:space="preserve">S. Clemens, N. Begum, C. Harper, J. A. Whitty, and P. A. Scuffham, ‘A comparison of EQ-5D-3L population norms in Queensland, Australia, estimated using utility value sets from Australia, the UK and USA’, </w:t>
      </w:r>
      <w:r w:rsidRPr="004A2EE9">
        <w:rPr>
          <w:rFonts w:cs="Times New Roman"/>
          <w:i/>
          <w:iCs/>
          <w:sz w:val="22"/>
        </w:rPr>
        <w:t>Qual. Life Res.</w:t>
      </w:r>
      <w:r w:rsidRPr="004A2EE9">
        <w:rPr>
          <w:rFonts w:cs="Times New Roman"/>
          <w:sz w:val="22"/>
        </w:rPr>
        <w:t>, vol. 23, no. 8, pp. 2375–2381, Oct. 2014.</w:t>
      </w:r>
    </w:p>
    <w:p w:rsidR="004A2EE9" w:rsidRPr="004A2EE9" w:rsidRDefault="004A2EE9" w:rsidP="004A2EE9">
      <w:pPr>
        <w:pStyle w:val="Bibliography"/>
        <w:rPr>
          <w:rFonts w:cs="Times New Roman"/>
          <w:sz w:val="22"/>
        </w:rPr>
      </w:pPr>
      <w:r w:rsidRPr="004A2EE9">
        <w:rPr>
          <w:rFonts w:cs="Times New Roman"/>
          <w:sz w:val="22"/>
        </w:rPr>
        <w:t>[19]</w:t>
      </w:r>
      <w:r w:rsidRPr="004A2EE9">
        <w:rPr>
          <w:rFonts w:cs="Times New Roman"/>
          <w:sz w:val="22"/>
        </w:rPr>
        <w:tab/>
        <w:t xml:space="preserve">P. M. McMahon, S. S. Araki, E. A. Sandberg, P. J. Neumann, and G. S. Gazelle, ‘Cost-Effectiveness of PET in the Diagnosis of Alzheimer Disease’, </w:t>
      </w:r>
      <w:r w:rsidRPr="004A2EE9">
        <w:rPr>
          <w:rFonts w:cs="Times New Roman"/>
          <w:i/>
          <w:iCs/>
          <w:sz w:val="22"/>
        </w:rPr>
        <w:t>Radiology</w:t>
      </w:r>
      <w:r w:rsidRPr="004A2EE9">
        <w:rPr>
          <w:rFonts w:cs="Times New Roman"/>
          <w:sz w:val="22"/>
        </w:rPr>
        <w:t>, vol. 228, no. 2, pp. 515–522, Aug. 2003.</w:t>
      </w:r>
    </w:p>
    <w:p w:rsidR="004A2EE9" w:rsidRPr="004A2EE9" w:rsidRDefault="004A2EE9" w:rsidP="004A2EE9">
      <w:pPr>
        <w:pStyle w:val="Bibliography"/>
        <w:rPr>
          <w:rFonts w:cs="Times New Roman"/>
          <w:sz w:val="22"/>
        </w:rPr>
      </w:pPr>
      <w:r w:rsidRPr="004A2EE9">
        <w:rPr>
          <w:rFonts w:cs="Times New Roman"/>
          <w:sz w:val="22"/>
        </w:rPr>
        <w:t>[20]</w:t>
      </w:r>
      <w:r w:rsidRPr="004A2EE9">
        <w:rPr>
          <w:rFonts w:cs="Times New Roman"/>
          <w:sz w:val="22"/>
        </w:rPr>
        <w:tab/>
        <w:t xml:space="preserve">A. Wimo, B. Mattson, I. Krakau, T. Eriksson, A. Nelvig, and G. Karlsson, ‘Cost-utility analysis of group living in dementia care’, </w:t>
      </w:r>
      <w:r w:rsidRPr="004A2EE9">
        <w:rPr>
          <w:rFonts w:cs="Times New Roman"/>
          <w:i/>
          <w:iCs/>
          <w:sz w:val="22"/>
        </w:rPr>
        <w:t>Int. J. Technol. Assess. Health Care</w:t>
      </w:r>
      <w:r w:rsidRPr="004A2EE9">
        <w:rPr>
          <w:rFonts w:cs="Times New Roman"/>
          <w:sz w:val="22"/>
        </w:rPr>
        <w:t>, vol. 11, no. 1, pp. 49–65, 1995.</w:t>
      </w:r>
    </w:p>
    <w:p w:rsidR="004A2EE9" w:rsidRPr="004A2EE9" w:rsidRDefault="004A2EE9" w:rsidP="004A2EE9">
      <w:pPr>
        <w:pStyle w:val="Bibliography"/>
        <w:rPr>
          <w:rFonts w:cs="Times New Roman"/>
          <w:sz w:val="22"/>
        </w:rPr>
      </w:pPr>
      <w:r w:rsidRPr="004A2EE9">
        <w:rPr>
          <w:rFonts w:cs="Times New Roman"/>
          <w:sz w:val="22"/>
        </w:rPr>
        <w:t>[21]</w:t>
      </w:r>
      <w:r w:rsidRPr="004A2EE9">
        <w:rPr>
          <w:rFonts w:cs="Times New Roman"/>
          <w:sz w:val="22"/>
        </w:rPr>
        <w:tab/>
        <w:t xml:space="preserve">A. R. Willan, R. Goeree, E. M. Pullenayegum, C. McBurney, and G. Blackhouse, ‘Economic Evaluation of Rivastigmine in Patients with Parkinson’s Disease Dementia’, </w:t>
      </w:r>
      <w:r w:rsidRPr="004A2EE9">
        <w:rPr>
          <w:rFonts w:cs="Times New Roman"/>
          <w:i/>
          <w:iCs/>
          <w:sz w:val="22"/>
        </w:rPr>
        <w:t>Pharmacoeconomics</w:t>
      </w:r>
      <w:r w:rsidRPr="004A2EE9">
        <w:rPr>
          <w:rFonts w:cs="Times New Roman"/>
          <w:sz w:val="22"/>
        </w:rPr>
        <w:t>, vol. 24, no. 1, pp. 93–106, 2006.</w:t>
      </w:r>
    </w:p>
    <w:p w:rsidR="004A2EE9" w:rsidRPr="004A2EE9" w:rsidRDefault="004A2EE9" w:rsidP="004A2EE9">
      <w:pPr>
        <w:pStyle w:val="Bibliography"/>
        <w:rPr>
          <w:rFonts w:cs="Times New Roman"/>
          <w:sz w:val="22"/>
        </w:rPr>
      </w:pPr>
      <w:r w:rsidRPr="004A2EE9">
        <w:rPr>
          <w:rFonts w:cs="Times New Roman"/>
          <w:sz w:val="22"/>
        </w:rPr>
        <w:t>[22]</w:t>
      </w:r>
      <w:r w:rsidRPr="004A2EE9">
        <w:rPr>
          <w:rFonts w:cs="Times New Roman"/>
          <w:sz w:val="22"/>
        </w:rPr>
        <w:tab/>
        <w:t xml:space="preserve">P. A. Scuffham and M. J. Taylor, ‘Economics and decisions to end life: van Acht and Stooker revisited’, </w:t>
      </w:r>
      <w:r w:rsidRPr="004A2EE9">
        <w:rPr>
          <w:rFonts w:cs="Times New Roman"/>
          <w:i/>
          <w:iCs/>
          <w:sz w:val="22"/>
        </w:rPr>
        <w:t>Appl. Health Econ. Health Policy.</w:t>
      </w:r>
      <w:r w:rsidRPr="004A2EE9">
        <w:rPr>
          <w:rFonts w:cs="Times New Roman"/>
          <w:sz w:val="22"/>
        </w:rPr>
        <w:t>, vol. 1, no. 3, pp. 1–6, 2002.</w:t>
      </w:r>
    </w:p>
    <w:p w:rsidR="004A2EE9" w:rsidRPr="004A2EE9" w:rsidRDefault="004A2EE9" w:rsidP="004A2EE9">
      <w:pPr>
        <w:pStyle w:val="Bibliography"/>
        <w:rPr>
          <w:rFonts w:cs="Times New Roman"/>
          <w:sz w:val="22"/>
        </w:rPr>
      </w:pPr>
      <w:r w:rsidRPr="004A2EE9">
        <w:rPr>
          <w:rFonts w:cs="Times New Roman"/>
          <w:sz w:val="22"/>
        </w:rPr>
        <w:t>[23]</w:t>
      </w:r>
      <w:r w:rsidRPr="004A2EE9">
        <w:rPr>
          <w:rFonts w:cs="Times New Roman"/>
          <w:sz w:val="22"/>
        </w:rPr>
        <w:tab/>
        <w:t xml:space="preserve">B. White </w:t>
      </w:r>
      <w:r w:rsidRPr="004A2EE9">
        <w:rPr>
          <w:rFonts w:cs="Times New Roman"/>
          <w:i/>
          <w:iCs/>
          <w:sz w:val="22"/>
        </w:rPr>
        <w:t>et al.</w:t>
      </w:r>
      <w:r w:rsidRPr="004A2EE9">
        <w:rPr>
          <w:rFonts w:cs="Times New Roman"/>
          <w:sz w:val="22"/>
        </w:rPr>
        <w:t xml:space="preserve">, ‘Prevalence and predictors of advance directives in Australia: Advance directives in Australia’, </w:t>
      </w:r>
      <w:r w:rsidRPr="004A2EE9">
        <w:rPr>
          <w:rFonts w:cs="Times New Roman"/>
          <w:i/>
          <w:iCs/>
          <w:sz w:val="22"/>
        </w:rPr>
        <w:t>Intern. Med. J.</w:t>
      </w:r>
      <w:r w:rsidRPr="004A2EE9">
        <w:rPr>
          <w:rFonts w:cs="Times New Roman"/>
          <w:sz w:val="22"/>
        </w:rPr>
        <w:t>, vol. 44, no. 10, pp. 975–980, Oct. 2014.</w:t>
      </w:r>
    </w:p>
    <w:p w:rsidR="004A2EE9" w:rsidRPr="004A2EE9" w:rsidRDefault="004A2EE9" w:rsidP="004A2EE9">
      <w:pPr>
        <w:pStyle w:val="Bibliography"/>
        <w:rPr>
          <w:rFonts w:cs="Times New Roman"/>
          <w:sz w:val="22"/>
        </w:rPr>
      </w:pPr>
      <w:r w:rsidRPr="004A2EE9">
        <w:rPr>
          <w:rFonts w:cs="Times New Roman"/>
          <w:sz w:val="22"/>
        </w:rPr>
        <w:t>[24]</w:t>
      </w:r>
      <w:r w:rsidRPr="004A2EE9">
        <w:rPr>
          <w:rFonts w:cs="Times New Roman"/>
          <w:sz w:val="22"/>
        </w:rPr>
        <w:tab/>
        <w:t>R. Hunt, M. Seal, and L. Owen, ‘Estimating impact of ACP activity on hospital admission, OBD and acute care savings’, presented at the ACPEL Conference, Melbourne, 2013.</w:t>
      </w:r>
    </w:p>
    <w:p w:rsidR="004A2EE9" w:rsidRPr="004A2EE9" w:rsidRDefault="004A2EE9" w:rsidP="004A2EE9">
      <w:pPr>
        <w:pStyle w:val="Bibliography"/>
        <w:rPr>
          <w:rFonts w:cs="Times New Roman"/>
          <w:sz w:val="22"/>
        </w:rPr>
      </w:pPr>
      <w:r w:rsidRPr="004A2EE9">
        <w:rPr>
          <w:rFonts w:cs="Times New Roman"/>
          <w:sz w:val="22"/>
        </w:rPr>
        <w:t>[25]</w:t>
      </w:r>
      <w:r w:rsidRPr="004A2EE9">
        <w:rPr>
          <w:rFonts w:cs="Times New Roman"/>
          <w:sz w:val="22"/>
        </w:rPr>
        <w:tab/>
        <w:t xml:space="preserve">K. M. Detering, A. D. Hancock, M. C. Reade, and W. Silvester, ‘The impact of advance care planning on end of life care in elderly patients: randomised controlled trial’, </w:t>
      </w:r>
      <w:r w:rsidRPr="004A2EE9">
        <w:rPr>
          <w:rFonts w:cs="Times New Roman"/>
          <w:i/>
          <w:iCs/>
          <w:sz w:val="22"/>
        </w:rPr>
        <w:t>BMJ</w:t>
      </w:r>
      <w:r w:rsidRPr="004A2EE9">
        <w:rPr>
          <w:rFonts w:cs="Times New Roman"/>
          <w:sz w:val="22"/>
        </w:rPr>
        <w:t>, vol. 340, no. mar23 1, pp. c1345–c1345, Mar. 2010.</w:t>
      </w:r>
    </w:p>
    <w:p w:rsidR="004A2EE9" w:rsidRPr="004A2EE9" w:rsidRDefault="004A2EE9" w:rsidP="004A2EE9">
      <w:pPr>
        <w:pStyle w:val="Bibliography"/>
        <w:rPr>
          <w:rFonts w:cs="Times New Roman"/>
          <w:sz w:val="22"/>
        </w:rPr>
      </w:pPr>
      <w:r w:rsidRPr="004A2EE9">
        <w:rPr>
          <w:rFonts w:cs="Times New Roman"/>
          <w:sz w:val="22"/>
        </w:rPr>
        <w:t>[26]</w:t>
      </w:r>
      <w:r w:rsidRPr="004A2EE9">
        <w:rPr>
          <w:rFonts w:cs="Times New Roman"/>
          <w:sz w:val="22"/>
        </w:rPr>
        <w:tab/>
        <w:t>Access Economics, ‘Dementia Across Australia 2011-2050.pdf’, Deloitte Access Economics Pty Ltd, 2011.</w:t>
      </w:r>
    </w:p>
    <w:p w:rsidR="009850F9" w:rsidRPr="00121945" w:rsidRDefault="00FC1B7E" w:rsidP="003022D2">
      <w:pPr>
        <w:pStyle w:val="Bibliography"/>
        <w:ind w:left="505" w:hanging="505"/>
        <w:rPr>
          <w:rFonts w:cs="Times New Roman"/>
        </w:rPr>
      </w:pPr>
      <w:r>
        <w:rPr>
          <w:rFonts w:cs="Times New Roman"/>
          <w:sz w:val="22"/>
        </w:rPr>
        <w:fldChar w:fldCharType="end"/>
      </w:r>
      <w:r w:rsidR="009850F9" w:rsidRPr="007E0F6A">
        <w:rPr>
          <w:rFonts w:cs="Times New Roman"/>
          <w:sz w:val="22"/>
        </w:rPr>
        <w:t xml:space="preserve"> </w:t>
      </w:r>
    </w:p>
    <w:p w:rsidR="00136F89" w:rsidRPr="00121945" w:rsidRDefault="00136F89" w:rsidP="00937196">
      <w:pPr>
        <w:spacing w:line="480" w:lineRule="auto"/>
      </w:pPr>
    </w:p>
    <w:sectPr w:rsidR="00136F89" w:rsidRPr="00121945" w:rsidSect="004A2EE9">
      <w:pgSz w:w="11906" w:h="16838"/>
      <w:pgMar w:top="1440" w:right="1416" w:bottom="127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567"/>
  <w:characterSpacingControl w:val="doNotCompress"/>
  <w:compat/>
  <w:docVars>
    <w:docVar w:name="Total_Editing_Time" w:val="0"/>
  </w:docVars>
  <w:rsids>
    <w:rsidRoot w:val="00C31CF0"/>
    <w:rsid w:val="00021D27"/>
    <w:rsid w:val="00027990"/>
    <w:rsid w:val="00037796"/>
    <w:rsid w:val="00046C0C"/>
    <w:rsid w:val="00055A6C"/>
    <w:rsid w:val="00066D30"/>
    <w:rsid w:val="000779BC"/>
    <w:rsid w:val="000846DF"/>
    <w:rsid w:val="000C677E"/>
    <w:rsid w:val="000F33B9"/>
    <w:rsid w:val="00121945"/>
    <w:rsid w:val="00125F19"/>
    <w:rsid w:val="00136F89"/>
    <w:rsid w:val="001469DC"/>
    <w:rsid w:val="0017177B"/>
    <w:rsid w:val="00185C29"/>
    <w:rsid w:val="001F3C15"/>
    <w:rsid w:val="00200077"/>
    <w:rsid w:val="00230384"/>
    <w:rsid w:val="0023171E"/>
    <w:rsid w:val="002462D2"/>
    <w:rsid w:val="0025512B"/>
    <w:rsid w:val="00282150"/>
    <w:rsid w:val="002C4EE9"/>
    <w:rsid w:val="002D622B"/>
    <w:rsid w:val="002E14B0"/>
    <w:rsid w:val="002F4C79"/>
    <w:rsid w:val="003022D2"/>
    <w:rsid w:val="00313231"/>
    <w:rsid w:val="003354A1"/>
    <w:rsid w:val="0034722B"/>
    <w:rsid w:val="00363A4C"/>
    <w:rsid w:val="00387C02"/>
    <w:rsid w:val="003B4800"/>
    <w:rsid w:val="003C5E56"/>
    <w:rsid w:val="003D5231"/>
    <w:rsid w:val="003E66A6"/>
    <w:rsid w:val="00404D51"/>
    <w:rsid w:val="0042385B"/>
    <w:rsid w:val="00454757"/>
    <w:rsid w:val="00480532"/>
    <w:rsid w:val="00496020"/>
    <w:rsid w:val="004A19E9"/>
    <w:rsid w:val="004A2EE9"/>
    <w:rsid w:val="004F070E"/>
    <w:rsid w:val="00517ECE"/>
    <w:rsid w:val="00584C03"/>
    <w:rsid w:val="00590483"/>
    <w:rsid w:val="005A0013"/>
    <w:rsid w:val="005E39F3"/>
    <w:rsid w:val="005F5235"/>
    <w:rsid w:val="00634E77"/>
    <w:rsid w:val="006476B6"/>
    <w:rsid w:val="00705DB6"/>
    <w:rsid w:val="00792B06"/>
    <w:rsid w:val="007A78F5"/>
    <w:rsid w:val="007B38FC"/>
    <w:rsid w:val="007E0F6A"/>
    <w:rsid w:val="0082727A"/>
    <w:rsid w:val="0083615C"/>
    <w:rsid w:val="00861129"/>
    <w:rsid w:val="008A01D3"/>
    <w:rsid w:val="008A0982"/>
    <w:rsid w:val="008B5631"/>
    <w:rsid w:val="008C2CE7"/>
    <w:rsid w:val="00924020"/>
    <w:rsid w:val="009272F6"/>
    <w:rsid w:val="00937196"/>
    <w:rsid w:val="009612F8"/>
    <w:rsid w:val="00973650"/>
    <w:rsid w:val="009745AB"/>
    <w:rsid w:val="009850F9"/>
    <w:rsid w:val="009A40A8"/>
    <w:rsid w:val="009D45BF"/>
    <w:rsid w:val="009D4901"/>
    <w:rsid w:val="009D55EE"/>
    <w:rsid w:val="00A0527A"/>
    <w:rsid w:val="00A07402"/>
    <w:rsid w:val="00A45049"/>
    <w:rsid w:val="00A62239"/>
    <w:rsid w:val="00A77244"/>
    <w:rsid w:val="00A80CA1"/>
    <w:rsid w:val="00A87E22"/>
    <w:rsid w:val="00AA270F"/>
    <w:rsid w:val="00AB0B67"/>
    <w:rsid w:val="00AF3673"/>
    <w:rsid w:val="00B11E74"/>
    <w:rsid w:val="00B7657E"/>
    <w:rsid w:val="00B80023"/>
    <w:rsid w:val="00B835B1"/>
    <w:rsid w:val="00C31CF0"/>
    <w:rsid w:val="00C547E6"/>
    <w:rsid w:val="00C87E94"/>
    <w:rsid w:val="00CA3329"/>
    <w:rsid w:val="00CD1FC9"/>
    <w:rsid w:val="00CF7DA5"/>
    <w:rsid w:val="00D16D92"/>
    <w:rsid w:val="00D22FCC"/>
    <w:rsid w:val="00D436B3"/>
    <w:rsid w:val="00D451FA"/>
    <w:rsid w:val="00D6089F"/>
    <w:rsid w:val="00D70A25"/>
    <w:rsid w:val="00DC7559"/>
    <w:rsid w:val="00DC7981"/>
    <w:rsid w:val="00DF3B3B"/>
    <w:rsid w:val="00E22F1B"/>
    <w:rsid w:val="00E32FC8"/>
    <w:rsid w:val="00E4116F"/>
    <w:rsid w:val="00E96814"/>
    <w:rsid w:val="00EA0CA9"/>
    <w:rsid w:val="00ED1CCD"/>
    <w:rsid w:val="00F21CFA"/>
    <w:rsid w:val="00F2463B"/>
    <w:rsid w:val="00F34ED6"/>
    <w:rsid w:val="00F36603"/>
    <w:rsid w:val="00F7629D"/>
    <w:rsid w:val="00FC1B7E"/>
    <w:rsid w:val="00FF5748"/>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C03"/>
    <w:pPr>
      <w:spacing w:before="120" w:line="360" w:lineRule="auto"/>
    </w:pPr>
    <w:rPr>
      <w:rFonts w:ascii="Times New Roman" w:eastAsiaTheme="minorEastAsia" w:hAnsi="Times New Roman"/>
      <w:sz w:val="24"/>
    </w:rPr>
  </w:style>
  <w:style w:type="paragraph" w:styleId="Heading1">
    <w:name w:val="heading 1"/>
    <w:basedOn w:val="Normal"/>
    <w:next w:val="Normal"/>
    <w:link w:val="Heading1Char"/>
    <w:uiPriority w:val="9"/>
    <w:qFormat/>
    <w:rsid w:val="00C87E94"/>
    <w:pPr>
      <w:spacing w:before="600" w:after="0"/>
      <w:outlineLvl w:val="0"/>
    </w:pPr>
    <w:rPr>
      <w:rFonts w:asciiTheme="majorHAnsi" w:eastAsiaTheme="majorEastAsia" w:hAnsiTheme="majorHAnsi" w:cstheme="majorBidi"/>
      <w:b/>
      <w:bCs/>
      <w:iCs/>
      <w:sz w:val="40"/>
      <w:szCs w:val="32"/>
    </w:rPr>
  </w:style>
  <w:style w:type="paragraph" w:styleId="Heading2">
    <w:name w:val="heading 2"/>
    <w:basedOn w:val="Normal"/>
    <w:next w:val="Normal"/>
    <w:link w:val="Heading2Char"/>
    <w:uiPriority w:val="9"/>
    <w:unhideWhenUsed/>
    <w:qFormat/>
    <w:rsid w:val="00C87E94"/>
    <w:pPr>
      <w:spacing w:before="0"/>
      <w:outlineLvl w:val="1"/>
    </w:pPr>
    <w:rPr>
      <w:rFonts w:asciiTheme="majorHAnsi" w:eastAsiaTheme="majorEastAsia" w:hAnsiTheme="majorHAnsi" w:cstheme="majorBidi"/>
      <w:b/>
      <w:bCs/>
      <w:iCs/>
      <w:sz w:val="28"/>
      <w:szCs w:val="28"/>
    </w:rPr>
  </w:style>
  <w:style w:type="paragraph" w:styleId="Heading3">
    <w:name w:val="heading 3"/>
    <w:basedOn w:val="Normal"/>
    <w:next w:val="Normal"/>
    <w:link w:val="Heading3Char"/>
    <w:uiPriority w:val="9"/>
    <w:unhideWhenUsed/>
    <w:qFormat/>
    <w:rsid w:val="00454757"/>
    <w:pPr>
      <w:spacing w:before="320" w:after="0" w:line="240" w:lineRule="auto"/>
      <w:outlineLvl w:val="2"/>
    </w:pPr>
    <w:rPr>
      <w:rFonts w:asciiTheme="majorHAnsi" w:eastAsiaTheme="majorEastAsia" w:hAnsiTheme="majorHAnsi" w:cstheme="majorBidi"/>
      <w:b/>
      <w:bCs/>
      <w:iCs/>
      <w:sz w:val="26"/>
      <w:szCs w:val="26"/>
    </w:rPr>
  </w:style>
  <w:style w:type="paragraph" w:styleId="Heading4">
    <w:name w:val="heading 4"/>
    <w:basedOn w:val="Normal"/>
    <w:next w:val="Normal"/>
    <w:link w:val="Heading4Char"/>
    <w:uiPriority w:val="9"/>
    <w:unhideWhenUsed/>
    <w:qFormat/>
    <w:rsid w:val="00454757"/>
    <w:pPr>
      <w:spacing w:before="280" w:after="0" w:line="240" w:lineRule="auto"/>
      <w:outlineLvl w:val="3"/>
    </w:pPr>
    <w:rPr>
      <w:rFonts w:asciiTheme="majorHAnsi" w:eastAsiaTheme="majorEastAsia" w:hAnsiTheme="majorHAnsi" w:cstheme="majorBidi"/>
      <w:b/>
      <w:bCs/>
      <w:i/>
      <w:iCs/>
      <w:szCs w:val="24"/>
    </w:rPr>
  </w:style>
  <w:style w:type="paragraph" w:styleId="Heading5">
    <w:name w:val="heading 5"/>
    <w:basedOn w:val="Normal"/>
    <w:next w:val="Normal"/>
    <w:link w:val="Heading5Char"/>
    <w:uiPriority w:val="9"/>
    <w:semiHidden/>
    <w:unhideWhenUsed/>
    <w:qFormat/>
    <w:rsid w:val="00454757"/>
    <w:pPr>
      <w:spacing w:before="280" w:after="0" w:line="240" w:lineRule="auto"/>
      <w:outlineLvl w:val="4"/>
    </w:pPr>
    <w:rPr>
      <w:rFonts w:asciiTheme="majorHAnsi" w:eastAsiaTheme="majorEastAsia" w:hAnsiTheme="majorHAnsi" w:cstheme="majorBidi"/>
      <w:b/>
      <w:bCs/>
      <w:i/>
      <w:iCs/>
      <w:szCs w:val="24"/>
    </w:rPr>
  </w:style>
  <w:style w:type="paragraph" w:styleId="Heading6">
    <w:name w:val="heading 6"/>
    <w:basedOn w:val="Normal"/>
    <w:next w:val="Normal"/>
    <w:link w:val="Heading6Char"/>
    <w:uiPriority w:val="9"/>
    <w:semiHidden/>
    <w:unhideWhenUsed/>
    <w:qFormat/>
    <w:rsid w:val="00454757"/>
    <w:pPr>
      <w:spacing w:before="280" w:after="80" w:line="240" w:lineRule="auto"/>
      <w:outlineLvl w:val="5"/>
    </w:pPr>
    <w:rPr>
      <w:rFonts w:asciiTheme="majorHAnsi" w:eastAsiaTheme="majorEastAsia" w:hAnsiTheme="majorHAnsi" w:cstheme="majorBidi"/>
      <w:b/>
      <w:bCs/>
      <w:i/>
      <w:iCs/>
      <w:szCs w:val="24"/>
    </w:rPr>
  </w:style>
  <w:style w:type="paragraph" w:styleId="Heading7">
    <w:name w:val="heading 7"/>
    <w:basedOn w:val="Normal"/>
    <w:next w:val="Normal"/>
    <w:link w:val="Heading7Char"/>
    <w:uiPriority w:val="9"/>
    <w:semiHidden/>
    <w:unhideWhenUsed/>
    <w:qFormat/>
    <w:rsid w:val="00454757"/>
    <w:pPr>
      <w:spacing w:before="280" w:after="0" w:line="240" w:lineRule="auto"/>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454757"/>
    <w:pPr>
      <w:spacing w:before="280" w:after="0" w:line="24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454757"/>
    <w:pPr>
      <w:spacing w:before="280" w:after="0" w:line="24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HEreporttablestyle">
    <w:name w:val="CAHE report table style"/>
    <w:basedOn w:val="TableList1"/>
    <w:uiPriority w:val="99"/>
    <w:rsid w:val="007B38FC"/>
    <w:pPr>
      <w:spacing w:after="0"/>
      <w:jc w:val="center"/>
    </w:pPr>
    <w:rPr>
      <w:rFonts w:ascii="Arial" w:hAnsi="Arial"/>
      <w:sz w:val="20"/>
      <w:szCs w:val="20"/>
      <w:lang w:val="en-US" w:eastAsia="en-AU"/>
    </w:rPr>
    <w:tblPr>
      <w:tblStyleRowBandSize w:val="1"/>
      <w:tblInd w:w="0" w:type="dxa"/>
      <w:tblBorders>
        <w:top w:val="single" w:sz="6" w:space="0" w:color="auto"/>
        <w:left w:val="single" w:sz="6" w:space="0" w:color="auto"/>
        <w:bottom w:val="single" w:sz="6" w:space="0" w:color="auto"/>
        <w:right w:val="single" w:sz="6" w:space="0" w:color="auto"/>
      </w:tblBorders>
      <w:tblCellMar>
        <w:top w:w="0" w:type="dxa"/>
        <w:left w:w="108" w:type="dxa"/>
        <w:bottom w:w="0" w:type="dxa"/>
        <w:right w:w="108" w:type="dxa"/>
      </w:tblCellMar>
    </w:tblPr>
    <w:tcPr>
      <w:vAlign w:val="center"/>
    </w:tcPr>
    <w:tblStylePr w:type="firstRow">
      <w:rPr>
        <w:rFonts w:ascii="Arial" w:hAnsi="Arial"/>
        <w:b/>
        <w:bCs/>
        <w:i w:val="0"/>
        <w:iCs/>
        <w:color w:val="800000"/>
        <w:sz w:val="22"/>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lastCol">
      <w:pPr>
        <w:jc w:val="right"/>
      </w:p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B38FC"/>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uiPriority w:val="9"/>
    <w:rsid w:val="00C87E94"/>
    <w:rPr>
      <w:rFonts w:asciiTheme="majorHAnsi" w:eastAsiaTheme="majorEastAsia" w:hAnsiTheme="majorHAnsi" w:cstheme="majorBidi"/>
      <w:b/>
      <w:bCs/>
      <w:iCs/>
      <w:sz w:val="40"/>
      <w:szCs w:val="32"/>
    </w:rPr>
  </w:style>
  <w:style w:type="character" w:customStyle="1" w:styleId="Heading2Char">
    <w:name w:val="Heading 2 Char"/>
    <w:basedOn w:val="DefaultParagraphFont"/>
    <w:link w:val="Heading2"/>
    <w:uiPriority w:val="9"/>
    <w:rsid w:val="00C87E94"/>
    <w:rPr>
      <w:rFonts w:asciiTheme="majorHAnsi" w:eastAsiaTheme="majorEastAsia" w:hAnsiTheme="majorHAnsi" w:cstheme="majorBidi"/>
      <w:b/>
      <w:bCs/>
      <w:iCs/>
      <w:sz w:val="28"/>
      <w:szCs w:val="28"/>
    </w:rPr>
  </w:style>
  <w:style w:type="character" w:customStyle="1" w:styleId="Heading3Char">
    <w:name w:val="Heading 3 Char"/>
    <w:basedOn w:val="DefaultParagraphFont"/>
    <w:link w:val="Heading3"/>
    <w:uiPriority w:val="9"/>
    <w:rsid w:val="00454757"/>
    <w:rPr>
      <w:rFonts w:asciiTheme="majorHAnsi" w:eastAsiaTheme="majorEastAsia" w:hAnsiTheme="majorHAnsi" w:cstheme="majorBidi"/>
      <w:b/>
      <w:bCs/>
      <w:iCs/>
      <w:sz w:val="26"/>
      <w:szCs w:val="26"/>
    </w:rPr>
  </w:style>
  <w:style w:type="character" w:customStyle="1" w:styleId="Heading4Char">
    <w:name w:val="Heading 4 Char"/>
    <w:basedOn w:val="DefaultParagraphFont"/>
    <w:link w:val="Heading4"/>
    <w:uiPriority w:val="9"/>
    <w:rsid w:val="00454757"/>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454757"/>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454757"/>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54757"/>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454757"/>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454757"/>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454757"/>
    <w:pPr>
      <w:spacing w:before="0" w:line="240" w:lineRule="auto"/>
    </w:pPr>
    <w:rPr>
      <w:rFonts w:ascii="Candara" w:hAnsi="Candara"/>
      <w:b/>
      <w:bCs/>
      <w:sz w:val="18"/>
      <w:szCs w:val="18"/>
    </w:rPr>
  </w:style>
  <w:style w:type="paragraph" w:styleId="Title">
    <w:name w:val="Title"/>
    <w:basedOn w:val="Normal"/>
    <w:next w:val="Normal"/>
    <w:link w:val="TitleChar"/>
    <w:uiPriority w:val="10"/>
    <w:qFormat/>
    <w:rsid w:val="003C5E56"/>
    <w:pPr>
      <w:spacing w:before="0" w:line="240" w:lineRule="auto"/>
    </w:pPr>
    <w:rPr>
      <w:rFonts w:asciiTheme="majorHAnsi" w:eastAsiaTheme="majorEastAsia" w:hAnsiTheme="majorHAnsi" w:cstheme="majorBidi"/>
      <w:b/>
      <w:bCs/>
      <w:i/>
      <w:iCs/>
      <w:spacing w:val="10"/>
      <w:sz w:val="40"/>
      <w:szCs w:val="40"/>
    </w:rPr>
  </w:style>
  <w:style w:type="character" w:customStyle="1" w:styleId="TitleChar">
    <w:name w:val="Title Char"/>
    <w:basedOn w:val="DefaultParagraphFont"/>
    <w:link w:val="Title"/>
    <w:uiPriority w:val="10"/>
    <w:rsid w:val="003C5E56"/>
    <w:rPr>
      <w:rFonts w:asciiTheme="majorHAnsi" w:eastAsiaTheme="majorEastAsia" w:hAnsiTheme="majorHAnsi" w:cstheme="majorBidi"/>
      <w:b/>
      <w:bCs/>
      <w:i/>
      <w:iCs/>
      <w:spacing w:val="10"/>
      <w:sz w:val="40"/>
      <w:szCs w:val="40"/>
    </w:rPr>
  </w:style>
  <w:style w:type="paragraph" w:styleId="Subtitle">
    <w:name w:val="Subtitle"/>
    <w:basedOn w:val="Normal"/>
    <w:next w:val="Normal"/>
    <w:link w:val="SubtitleChar"/>
    <w:uiPriority w:val="11"/>
    <w:qFormat/>
    <w:rsid w:val="00454757"/>
    <w:pPr>
      <w:spacing w:before="0" w:after="320" w:line="240" w:lineRule="auto"/>
      <w:jc w:val="right"/>
    </w:pPr>
    <w:rPr>
      <w:rFonts w:asciiTheme="minorHAnsi" w:hAnsiTheme="minorHAnsi"/>
      <w:i/>
      <w:iCs/>
      <w:color w:val="808080" w:themeColor="text1" w:themeTint="7F"/>
      <w:spacing w:val="10"/>
      <w:szCs w:val="24"/>
    </w:rPr>
  </w:style>
  <w:style w:type="character" w:customStyle="1" w:styleId="SubtitleChar">
    <w:name w:val="Subtitle Char"/>
    <w:basedOn w:val="DefaultParagraphFont"/>
    <w:link w:val="Subtitle"/>
    <w:uiPriority w:val="11"/>
    <w:rsid w:val="00454757"/>
    <w:rPr>
      <w:i/>
      <w:iCs/>
      <w:color w:val="808080" w:themeColor="text1" w:themeTint="7F"/>
      <w:spacing w:val="10"/>
      <w:sz w:val="24"/>
      <w:szCs w:val="24"/>
    </w:rPr>
  </w:style>
  <w:style w:type="character" w:styleId="Strong">
    <w:name w:val="Strong"/>
    <w:basedOn w:val="DefaultParagraphFont"/>
    <w:uiPriority w:val="22"/>
    <w:qFormat/>
    <w:rsid w:val="00454757"/>
    <w:rPr>
      <w:b/>
      <w:bCs/>
      <w:spacing w:val="0"/>
    </w:rPr>
  </w:style>
  <w:style w:type="character" w:styleId="Emphasis">
    <w:name w:val="Emphasis"/>
    <w:uiPriority w:val="20"/>
    <w:qFormat/>
    <w:rsid w:val="00454757"/>
    <w:rPr>
      <w:b/>
      <w:bCs/>
      <w:i/>
      <w:iCs/>
      <w:color w:val="auto"/>
    </w:rPr>
  </w:style>
  <w:style w:type="paragraph" w:styleId="NoSpacing">
    <w:name w:val="No Spacing"/>
    <w:basedOn w:val="Normal"/>
    <w:link w:val="NoSpacingChar"/>
    <w:uiPriority w:val="1"/>
    <w:qFormat/>
    <w:rsid w:val="00454757"/>
    <w:pPr>
      <w:spacing w:before="0" w:after="0" w:line="240" w:lineRule="auto"/>
    </w:pPr>
    <w:rPr>
      <w:rFonts w:asciiTheme="minorHAnsi" w:hAnsiTheme="minorHAnsi"/>
      <w:szCs w:val="24"/>
    </w:rPr>
  </w:style>
  <w:style w:type="character" w:customStyle="1" w:styleId="NoSpacingChar">
    <w:name w:val="No Spacing Char"/>
    <w:link w:val="NoSpacing"/>
    <w:uiPriority w:val="1"/>
    <w:rsid w:val="00454757"/>
  </w:style>
  <w:style w:type="paragraph" w:styleId="ListParagraph">
    <w:name w:val="List Paragraph"/>
    <w:basedOn w:val="Normal"/>
    <w:uiPriority w:val="34"/>
    <w:qFormat/>
    <w:rsid w:val="00454757"/>
    <w:pPr>
      <w:spacing w:before="0" w:line="240" w:lineRule="auto"/>
      <w:ind w:left="720"/>
      <w:contextualSpacing/>
    </w:pPr>
    <w:rPr>
      <w:rFonts w:ascii="Candara" w:hAnsi="Candara"/>
      <w:szCs w:val="24"/>
    </w:rPr>
  </w:style>
  <w:style w:type="paragraph" w:styleId="Quote">
    <w:name w:val="Quote"/>
    <w:basedOn w:val="Normal"/>
    <w:next w:val="Normal"/>
    <w:link w:val="QuoteChar"/>
    <w:uiPriority w:val="29"/>
    <w:qFormat/>
    <w:rsid w:val="00454757"/>
    <w:pPr>
      <w:spacing w:before="0" w:line="240" w:lineRule="auto"/>
    </w:pPr>
    <w:rPr>
      <w:rFonts w:asciiTheme="minorHAnsi" w:hAnsiTheme="minorHAnsi"/>
      <w:color w:val="5A5A5A" w:themeColor="text1" w:themeTint="A5"/>
      <w:szCs w:val="24"/>
    </w:rPr>
  </w:style>
  <w:style w:type="character" w:customStyle="1" w:styleId="QuoteChar">
    <w:name w:val="Quote Char"/>
    <w:basedOn w:val="DefaultParagraphFont"/>
    <w:link w:val="Quote"/>
    <w:uiPriority w:val="29"/>
    <w:rsid w:val="00454757"/>
    <w:rPr>
      <w:color w:val="5A5A5A" w:themeColor="text1" w:themeTint="A5"/>
    </w:rPr>
  </w:style>
  <w:style w:type="paragraph" w:styleId="IntenseQuote">
    <w:name w:val="Intense Quote"/>
    <w:basedOn w:val="Normal"/>
    <w:next w:val="Normal"/>
    <w:link w:val="IntenseQuoteChar"/>
    <w:uiPriority w:val="30"/>
    <w:qFormat/>
    <w:rsid w:val="00454757"/>
    <w:pPr>
      <w:spacing w:before="320" w:after="480" w:line="240" w:lineRule="auto"/>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454757"/>
    <w:rPr>
      <w:rFonts w:asciiTheme="majorHAnsi" w:eastAsiaTheme="majorEastAsia" w:hAnsiTheme="majorHAnsi" w:cstheme="majorBidi"/>
      <w:i/>
      <w:iCs/>
      <w:sz w:val="20"/>
      <w:szCs w:val="20"/>
    </w:rPr>
  </w:style>
  <w:style w:type="character" w:styleId="SubtleEmphasis">
    <w:name w:val="Subtle Emphasis"/>
    <w:uiPriority w:val="19"/>
    <w:qFormat/>
    <w:rsid w:val="00454757"/>
    <w:rPr>
      <w:i/>
      <w:iCs/>
      <w:color w:val="5A5A5A" w:themeColor="text1" w:themeTint="A5"/>
    </w:rPr>
  </w:style>
  <w:style w:type="character" w:styleId="IntenseEmphasis">
    <w:name w:val="Intense Emphasis"/>
    <w:uiPriority w:val="21"/>
    <w:qFormat/>
    <w:rsid w:val="00454757"/>
    <w:rPr>
      <w:b/>
      <w:bCs/>
      <w:i/>
      <w:iCs/>
      <w:color w:val="auto"/>
      <w:u w:val="single"/>
    </w:rPr>
  </w:style>
  <w:style w:type="character" w:styleId="SubtleReference">
    <w:name w:val="Subtle Reference"/>
    <w:uiPriority w:val="31"/>
    <w:qFormat/>
    <w:rsid w:val="00454757"/>
    <w:rPr>
      <w:smallCaps/>
    </w:rPr>
  </w:style>
  <w:style w:type="character" w:styleId="IntenseReference">
    <w:name w:val="Intense Reference"/>
    <w:uiPriority w:val="32"/>
    <w:qFormat/>
    <w:rsid w:val="00454757"/>
    <w:rPr>
      <w:b/>
      <w:bCs/>
      <w:smallCaps/>
      <w:color w:val="auto"/>
    </w:rPr>
  </w:style>
  <w:style w:type="character" w:styleId="BookTitle">
    <w:name w:val="Book Title"/>
    <w:uiPriority w:val="33"/>
    <w:qFormat/>
    <w:rsid w:val="00454757"/>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454757"/>
    <w:pPr>
      <w:outlineLvl w:val="9"/>
    </w:pPr>
    <w:rPr>
      <w:lang w:bidi="en-US"/>
    </w:rPr>
  </w:style>
  <w:style w:type="table" w:styleId="LightShading">
    <w:name w:val="Light Shading"/>
    <w:basedOn w:val="TableNormal"/>
    <w:uiPriority w:val="60"/>
    <w:rsid w:val="00D6089F"/>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136F89"/>
    <w:pPr>
      <w:tabs>
        <w:tab w:val="left" w:pos="504"/>
      </w:tabs>
      <w:spacing w:after="0" w:line="240" w:lineRule="auto"/>
      <w:ind w:left="504" w:hanging="504"/>
    </w:pPr>
  </w:style>
  <w:style w:type="table" w:styleId="LightList">
    <w:name w:val="Light List"/>
    <w:basedOn w:val="TableNormal"/>
    <w:uiPriority w:val="61"/>
    <w:rsid w:val="00046C0C"/>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82727A"/>
    <w:rPr>
      <w:sz w:val="16"/>
      <w:szCs w:val="16"/>
    </w:rPr>
  </w:style>
  <w:style w:type="paragraph" w:styleId="CommentText">
    <w:name w:val="annotation text"/>
    <w:basedOn w:val="Normal"/>
    <w:link w:val="CommentTextChar"/>
    <w:uiPriority w:val="99"/>
    <w:semiHidden/>
    <w:unhideWhenUsed/>
    <w:rsid w:val="0082727A"/>
    <w:pPr>
      <w:spacing w:line="240" w:lineRule="auto"/>
    </w:pPr>
    <w:rPr>
      <w:sz w:val="20"/>
      <w:szCs w:val="20"/>
    </w:rPr>
  </w:style>
  <w:style w:type="character" w:customStyle="1" w:styleId="CommentTextChar">
    <w:name w:val="Comment Text Char"/>
    <w:basedOn w:val="DefaultParagraphFont"/>
    <w:link w:val="CommentText"/>
    <w:uiPriority w:val="99"/>
    <w:semiHidden/>
    <w:rsid w:val="0082727A"/>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82727A"/>
    <w:rPr>
      <w:b/>
      <w:bCs/>
    </w:rPr>
  </w:style>
  <w:style w:type="character" w:customStyle="1" w:styleId="CommentSubjectChar">
    <w:name w:val="Comment Subject Char"/>
    <w:basedOn w:val="CommentTextChar"/>
    <w:link w:val="CommentSubject"/>
    <w:uiPriority w:val="99"/>
    <w:semiHidden/>
    <w:rsid w:val="0082727A"/>
    <w:rPr>
      <w:rFonts w:ascii="Times New Roman" w:eastAsiaTheme="minorEastAsia" w:hAnsi="Times New Roman"/>
      <w:b/>
      <w:bCs/>
      <w:sz w:val="20"/>
      <w:szCs w:val="20"/>
    </w:rPr>
  </w:style>
  <w:style w:type="paragraph" w:styleId="Revision">
    <w:name w:val="Revision"/>
    <w:hidden/>
    <w:uiPriority w:val="99"/>
    <w:semiHidden/>
    <w:rsid w:val="0082727A"/>
    <w:pPr>
      <w:spacing w:after="0"/>
    </w:pPr>
    <w:rPr>
      <w:rFonts w:ascii="Times New Roman" w:eastAsiaTheme="minorEastAsia" w:hAnsi="Times New Roman"/>
    </w:rPr>
  </w:style>
  <w:style w:type="paragraph" w:styleId="BalloonText">
    <w:name w:val="Balloon Text"/>
    <w:basedOn w:val="Normal"/>
    <w:link w:val="BalloonTextChar"/>
    <w:uiPriority w:val="99"/>
    <w:semiHidden/>
    <w:unhideWhenUsed/>
    <w:rsid w:val="0082727A"/>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27A"/>
    <w:rPr>
      <w:rFonts w:ascii="Tahoma" w:eastAsiaTheme="minorEastAsia" w:hAnsi="Tahoma" w:cs="Tahoma"/>
      <w:sz w:val="16"/>
      <w:szCs w:val="16"/>
    </w:rPr>
  </w:style>
  <w:style w:type="table" w:styleId="TableGrid">
    <w:name w:val="Table Grid"/>
    <w:basedOn w:val="TableNormal"/>
    <w:uiPriority w:val="59"/>
    <w:rsid w:val="00B11E74"/>
    <w:pPr>
      <w:spacing w:after="0" w:line="276"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960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C03"/>
    <w:pPr>
      <w:spacing w:before="120" w:line="360" w:lineRule="auto"/>
    </w:pPr>
    <w:rPr>
      <w:rFonts w:ascii="Times New Roman" w:eastAsiaTheme="minorEastAsia" w:hAnsi="Times New Roman"/>
      <w:sz w:val="24"/>
    </w:rPr>
  </w:style>
  <w:style w:type="paragraph" w:styleId="Heading1">
    <w:name w:val="heading 1"/>
    <w:basedOn w:val="Normal"/>
    <w:next w:val="Normal"/>
    <w:link w:val="Heading1Char"/>
    <w:uiPriority w:val="9"/>
    <w:qFormat/>
    <w:rsid w:val="00C87E94"/>
    <w:pPr>
      <w:spacing w:before="600" w:after="0"/>
      <w:outlineLvl w:val="0"/>
    </w:pPr>
    <w:rPr>
      <w:rFonts w:asciiTheme="majorHAnsi" w:eastAsiaTheme="majorEastAsia" w:hAnsiTheme="majorHAnsi" w:cstheme="majorBidi"/>
      <w:b/>
      <w:bCs/>
      <w:iCs/>
      <w:sz w:val="40"/>
      <w:szCs w:val="32"/>
    </w:rPr>
  </w:style>
  <w:style w:type="paragraph" w:styleId="Heading2">
    <w:name w:val="heading 2"/>
    <w:basedOn w:val="Normal"/>
    <w:next w:val="Normal"/>
    <w:link w:val="Heading2Char"/>
    <w:uiPriority w:val="9"/>
    <w:unhideWhenUsed/>
    <w:qFormat/>
    <w:rsid w:val="00C87E94"/>
    <w:pPr>
      <w:spacing w:before="0"/>
      <w:outlineLvl w:val="1"/>
    </w:pPr>
    <w:rPr>
      <w:rFonts w:asciiTheme="majorHAnsi" w:eastAsiaTheme="majorEastAsia" w:hAnsiTheme="majorHAnsi" w:cstheme="majorBidi"/>
      <w:b/>
      <w:bCs/>
      <w:iCs/>
      <w:sz w:val="28"/>
      <w:szCs w:val="28"/>
    </w:rPr>
  </w:style>
  <w:style w:type="paragraph" w:styleId="Heading3">
    <w:name w:val="heading 3"/>
    <w:basedOn w:val="Normal"/>
    <w:next w:val="Normal"/>
    <w:link w:val="Heading3Char"/>
    <w:uiPriority w:val="9"/>
    <w:unhideWhenUsed/>
    <w:qFormat/>
    <w:rsid w:val="00454757"/>
    <w:pPr>
      <w:spacing w:before="320" w:after="0" w:line="240" w:lineRule="auto"/>
      <w:outlineLvl w:val="2"/>
    </w:pPr>
    <w:rPr>
      <w:rFonts w:asciiTheme="majorHAnsi" w:eastAsiaTheme="majorEastAsia" w:hAnsiTheme="majorHAnsi" w:cstheme="majorBidi"/>
      <w:b/>
      <w:bCs/>
      <w:iCs/>
      <w:sz w:val="26"/>
      <w:szCs w:val="26"/>
    </w:rPr>
  </w:style>
  <w:style w:type="paragraph" w:styleId="Heading4">
    <w:name w:val="heading 4"/>
    <w:basedOn w:val="Normal"/>
    <w:next w:val="Normal"/>
    <w:link w:val="Heading4Char"/>
    <w:uiPriority w:val="9"/>
    <w:unhideWhenUsed/>
    <w:qFormat/>
    <w:rsid w:val="00454757"/>
    <w:pPr>
      <w:spacing w:before="280" w:after="0" w:line="240" w:lineRule="auto"/>
      <w:outlineLvl w:val="3"/>
    </w:pPr>
    <w:rPr>
      <w:rFonts w:asciiTheme="majorHAnsi" w:eastAsiaTheme="majorEastAsia" w:hAnsiTheme="majorHAnsi" w:cstheme="majorBidi"/>
      <w:b/>
      <w:bCs/>
      <w:i/>
      <w:iCs/>
      <w:szCs w:val="24"/>
    </w:rPr>
  </w:style>
  <w:style w:type="paragraph" w:styleId="Heading5">
    <w:name w:val="heading 5"/>
    <w:basedOn w:val="Normal"/>
    <w:next w:val="Normal"/>
    <w:link w:val="Heading5Char"/>
    <w:uiPriority w:val="9"/>
    <w:semiHidden/>
    <w:unhideWhenUsed/>
    <w:qFormat/>
    <w:rsid w:val="00454757"/>
    <w:pPr>
      <w:spacing w:before="280" w:after="0" w:line="240" w:lineRule="auto"/>
      <w:outlineLvl w:val="4"/>
    </w:pPr>
    <w:rPr>
      <w:rFonts w:asciiTheme="majorHAnsi" w:eastAsiaTheme="majorEastAsia" w:hAnsiTheme="majorHAnsi" w:cstheme="majorBidi"/>
      <w:b/>
      <w:bCs/>
      <w:i/>
      <w:iCs/>
      <w:szCs w:val="24"/>
    </w:rPr>
  </w:style>
  <w:style w:type="paragraph" w:styleId="Heading6">
    <w:name w:val="heading 6"/>
    <w:basedOn w:val="Normal"/>
    <w:next w:val="Normal"/>
    <w:link w:val="Heading6Char"/>
    <w:uiPriority w:val="9"/>
    <w:semiHidden/>
    <w:unhideWhenUsed/>
    <w:qFormat/>
    <w:rsid w:val="00454757"/>
    <w:pPr>
      <w:spacing w:before="280" w:after="80" w:line="240" w:lineRule="auto"/>
      <w:outlineLvl w:val="5"/>
    </w:pPr>
    <w:rPr>
      <w:rFonts w:asciiTheme="majorHAnsi" w:eastAsiaTheme="majorEastAsia" w:hAnsiTheme="majorHAnsi" w:cstheme="majorBidi"/>
      <w:b/>
      <w:bCs/>
      <w:i/>
      <w:iCs/>
      <w:szCs w:val="24"/>
    </w:rPr>
  </w:style>
  <w:style w:type="paragraph" w:styleId="Heading7">
    <w:name w:val="heading 7"/>
    <w:basedOn w:val="Normal"/>
    <w:next w:val="Normal"/>
    <w:link w:val="Heading7Char"/>
    <w:uiPriority w:val="9"/>
    <w:semiHidden/>
    <w:unhideWhenUsed/>
    <w:qFormat/>
    <w:rsid w:val="00454757"/>
    <w:pPr>
      <w:spacing w:before="280" w:after="0" w:line="240" w:lineRule="auto"/>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454757"/>
    <w:pPr>
      <w:spacing w:before="280" w:after="0" w:line="24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454757"/>
    <w:pPr>
      <w:spacing w:before="280" w:after="0" w:line="24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HEreporttablestyle">
    <w:name w:val="CAHE report table style"/>
    <w:basedOn w:val="TableList1"/>
    <w:uiPriority w:val="99"/>
    <w:rsid w:val="007B38FC"/>
    <w:pPr>
      <w:spacing w:after="0"/>
      <w:jc w:val="center"/>
    </w:pPr>
    <w:rPr>
      <w:rFonts w:ascii="Arial" w:hAnsi="Arial"/>
      <w:sz w:val="20"/>
      <w:szCs w:val="20"/>
      <w:lang w:eastAsia="en-AU"/>
    </w:rPr>
    <w:tblPr>
      <w:tblBorders>
        <w:top w:val="single" w:sz="6" w:space="0" w:color="auto"/>
        <w:left w:val="single" w:sz="6" w:space="0" w:color="auto"/>
        <w:bottom w:val="single" w:sz="6" w:space="0" w:color="auto"/>
        <w:right w:val="single" w:sz="6" w:space="0" w:color="auto"/>
      </w:tblBorders>
    </w:tblPr>
    <w:tcPr>
      <w:vAlign w:val="center"/>
    </w:tcPr>
    <w:tblStylePr w:type="firstRow">
      <w:rPr>
        <w:rFonts w:ascii="Arial" w:hAnsi="Arial"/>
        <w:b/>
        <w:bCs/>
        <w:i w:val="0"/>
        <w:iCs/>
        <w:color w:val="800000"/>
        <w:sz w:val="22"/>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lastCol">
      <w:pPr>
        <w:jc w:val="right"/>
      </w:p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B38F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uiPriority w:val="9"/>
    <w:rsid w:val="00C87E94"/>
    <w:rPr>
      <w:rFonts w:asciiTheme="majorHAnsi" w:eastAsiaTheme="majorEastAsia" w:hAnsiTheme="majorHAnsi" w:cstheme="majorBidi"/>
      <w:b/>
      <w:bCs/>
      <w:iCs/>
      <w:sz w:val="40"/>
      <w:szCs w:val="32"/>
    </w:rPr>
  </w:style>
  <w:style w:type="character" w:customStyle="1" w:styleId="Heading2Char">
    <w:name w:val="Heading 2 Char"/>
    <w:basedOn w:val="DefaultParagraphFont"/>
    <w:link w:val="Heading2"/>
    <w:uiPriority w:val="9"/>
    <w:rsid w:val="00C87E94"/>
    <w:rPr>
      <w:rFonts w:asciiTheme="majorHAnsi" w:eastAsiaTheme="majorEastAsia" w:hAnsiTheme="majorHAnsi" w:cstheme="majorBidi"/>
      <w:b/>
      <w:bCs/>
      <w:iCs/>
      <w:sz w:val="28"/>
      <w:szCs w:val="28"/>
    </w:rPr>
  </w:style>
  <w:style w:type="character" w:customStyle="1" w:styleId="Heading3Char">
    <w:name w:val="Heading 3 Char"/>
    <w:basedOn w:val="DefaultParagraphFont"/>
    <w:link w:val="Heading3"/>
    <w:uiPriority w:val="9"/>
    <w:rsid w:val="00454757"/>
    <w:rPr>
      <w:rFonts w:asciiTheme="majorHAnsi" w:eastAsiaTheme="majorEastAsia" w:hAnsiTheme="majorHAnsi" w:cstheme="majorBidi"/>
      <w:b/>
      <w:bCs/>
      <w:iCs/>
      <w:sz w:val="26"/>
      <w:szCs w:val="26"/>
    </w:rPr>
  </w:style>
  <w:style w:type="character" w:customStyle="1" w:styleId="Heading4Char">
    <w:name w:val="Heading 4 Char"/>
    <w:basedOn w:val="DefaultParagraphFont"/>
    <w:link w:val="Heading4"/>
    <w:uiPriority w:val="9"/>
    <w:rsid w:val="00454757"/>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454757"/>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454757"/>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54757"/>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454757"/>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454757"/>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454757"/>
    <w:pPr>
      <w:spacing w:before="0" w:line="240" w:lineRule="auto"/>
    </w:pPr>
    <w:rPr>
      <w:rFonts w:ascii="Candara" w:hAnsi="Candara"/>
      <w:b/>
      <w:bCs/>
      <w:sz w:val="18"/>
      <w:szCs w:val="18"/>
    </w:rPr>
  </w:style>
  <w:style w:type="paragraph" w:styleId="Title">
    <w:name w:val="Title"/>
    <w:basedOn w:val="Normal"/>
    <w:next w:val="Normal"/>
    <w:link w:val="TitleChar"/>
    <w:uiPriority w:val="10"/>
    <w:qFormat/>
    <w:rsid w:val="003C5E56"/>
    <w:pPr>
      <w:spacing w:before="0" w:line="240" w:lineRule="auto"/>
    </w:pPr>
    <w:rPr>
      <w:rFonts w:asciiTheme="majorHAnsi" w:eastAsiaTheme="majorEastAsia" w:hAnsiTheme="majorHAnsi" w:cstheme="majorBidi"/>
      <w:b/>
      <w:bCs/>
      <w:i/>
      <w:iCs/>
      <w:spacing w:val="10"/>
      <w:sz w:val="40"/>
      <w:szCs w:val="40"/>
    </w:rPr>
  </w:style>
  <w:style w:type="character" w:customStyle="1" w:styleId="TitleChar">
    <w:name w:val="Title Char"/>
    <w:basedOn w:val="DefaultParagraphFont"/>
    <w:link w:val="Title"/>
    <w:uiPriority w:val="10"/>
    <w:rsid w:val="003C5E56"/>
    <w:rPr>
      <w:rFonts w:asciiTheme="majorHAnsi" w:eastAsiaTheme="majorEastAsia" w:hAnsiTheme="majorHAnsi" w:cstheme="majorBidi"/>
      <w:b/>
      <w:bCs/>
      <w:i/>
      <w:iCs/>
      <w:spacing w:val="10"/>
      <w:sz w:val="40"/>
      <w:szCs w:val="40"/>
    </w:rPr>
  </w:style>
  <w:style w:type="paragraph" w:styleId="Subtitle">
    <w:name w:val="Subtitle"/>
    <w:basedOn w:val="Normal"/>
    <w:next w:val="Normal"/>
    <w:link w:val="SubtitleChar"/>
    <w:uiPriority w:val="11"/>
    <w:qFormat/>
    <w:rsid w:val="00454757"/>
    <w:pPr>
      <w:spacing w:before="0" w:after="320" w:line="240" w:lineRule="auto"/>
      <w:jc w:val="right"/>
    </w:pPr>
    <w:rPr>
      <w:rFonts w:asciiTheme="minorHAnsi" w:hAnsiTheme="minorHAnsi"/>
      <w:i/>
      <w:iCs/>
      <w:color w:val="808080" w:themeColor="text1" w:themeTint="7F"/>
      <w:spacing w:val="10"/>
      <w:szCs w:val="24"/>
    </w:rPr>
  </w:style>
  <w:style w:type="character" w:customStyle="1" w:styleId="SubtitleChar">
    <w:name w:val="Subtitle Char"/>
    <w:basedOn w:val="DefaultParagraphFont"/>
    <w:link w:val="Subtitle"/>
    <w:uiPriority w:val="11"/>
    <w:rsid w:val="00454757"/>
    <w:rPr>
      <w:i/>
      <w:iCs/>
      <w:color w:val="808080" w:themeColor="text1" w:themeTint="7F"/>
      <w:spacing w:val="10"/>
      <w:sz w:val="24"/>
      <w:szCs w:val="24"/>
    </w:rPr>
  </w:style>
  <w:style w:type="character" w:styleId="Strong">
    <w:name w:val="Strong"/>
    <w:basedOn w:val="DefaultParagraphFont"/>
    <w:uiPriority w:val="22"/>
    <w:qFormat/>
    <w:rsid w:val="00454757"/>
    <w:rPr>
      <w:b/>
      <w:bCs/>
      <w:spacing w:val="0"/>
    </w:rPr>
  </w:style>
  <w:style w:type="character" w:styleId="Emphasis">
    <w:name w:val="Emphasis"/>
    <w:uiPriority w:val="20"/>
    <w:qFormat/>
    <w:rsid w:val="00454757"/>
    <w:rPr>
      <w:b/>
      <w:bCs/>
      <w:i/>
      <w:iCs/>
      <w:color w:val="auto"/>
    </w:rPr>
  </w:style>
  <w:style w:type="paragraph" w:styleId="NoSpacing">
    <w:name w:val="No Spacing"/>
    <w:basedOn w:val="Normal"/>
    <w:link w:val="NoSpacingChar"/>
    <w:uiPriority w:val="1"/>
    <w:qFormat/>
    <w:rsid w:val="00454757"/>
    <w:pPr>
      <w:spacing w:before="0" w:after="0" w:line="240" w:lineRule="auto"/>
    </w:pPr>
    <w:rPr>
      <w:rFonts w:asciiTheme="minorHAnsi" w:hAnsiTheme="minorHAnsi"/>
      <w:szCs w:val="24"/>
    </w:rPr>
  </w:style>
  <w:style w:type="character" w:customStyle="1" w:styleId="NoSpacingChar">
    <w:name w:val="No Spacing Char"/>
    <w:link w:val="NoSpacing"/>
    <w:uiPriority w:val="1"/>
    <w:rsid w:val="00454757"/>
  </w:style>
  <w:style w:type="paragraph" w:styleId="ListParagraph">
    <w:name w:val="List Paragraph"/>
    <w:basedOn w:val="Normal"/>
    <w:uiPriority w:val="34"/>
    <w:qFormat/>
    <w:rsid w:val="00454757"/>
    <w:pPr>
      <w:spacing w:before="0" w:line="240" w:lineRule="auto"/>
      <w:ind w:left="720"/>
      <w:contextualSpacing/>
    </w:pPr>
    <w:rPr>
      <w:rFonts w:ascii="Candara" w:hAnsi="Candara"/>
      <w:szCs w:val="24"/>
    </w:rPr>
  </w:style>
  <w:style w:type="paragraph" w:styleId="Quote">
    <w:name w:val="Quote"/>
    <w:basedOn w:val="Normal"/>
    <w:next w:val="Normal"/>
    <w:link w:val="QuoteChar"/>
    <w:uiPriority w:val="29"/>
    <w:qFormat/>
    <w:rsid w:val="00454757"/>
    <w:pPr>
      <w:spacing w:before="0" w:line="240" w:lineRule="auto"/>
    </w:pPr>
    <w:rPr>
      <w:rFonts w:asciiTheme="minorHAnsi" w:hAnsiTheme="minorHAnsi"/>
      <w:color w:val="5A5A5A" w:themeColor="text1" w:themeTint="A5"/>
      <w:szCs w:val="24"/>
    </w:rPr>
  </w:style>
  <w:style w:type="character" w:customStyle="1" w:styleId="QuoteChar">
    <w:name w:val="Quote Char"/>
    <w:basedOn w:val="DefaultParagraphFont"/>
    <w:link w:val="Quote"/>
    <w:uiPriority w:val="29"/>
    <w:rsid w:val="00454757"/>
    <w:rPr>
      <w:color w:val="5A5A5A" w:themeColor="text1" w:themeTint="A5"/>
    </w:rPr>
  </w:style>
  <w:style w:type="paragraph" w:styleId="IntenseQuote">
    <w:name w:val="Intense Quote"/>
    <w:basedOn w:val="Normal"/>
    <w:next w:val="Normal"/>
    <w:link w:val="IntenseQuoteChar"/>
    <w:uiPriority w:val="30"/>
    <w:qFormat/>
    <w:rsid w:val="00454757"/>
    <w:pPr>
      <w:spacing w:before="320" w:after="480" w:line="240" w:lineRule="auto"/>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454757"/>
    <w:rPr>
      <w:rFonts w:asciiTheme="majorHAnsi" w:eastAsiaTheme="majorEastAsia" w:hAnsiTheme="majorHAnsi" w:cstheme="majorBidi"/>
      <w:i/>
      <w:iCs/>
      <w:sz w:val="20"/>
      <w:szCs w:val="20"/>
    </w:rPr>
  </w:style>
  <w:style w:type="character" w:styleId="SubtleEmphasis">
    <w:name w:val="Subtle Emphasis"/>
    <w:uiPriority w:val="19"/>
    <w:qFormat/>
    <w:rsid w:val="00454757"/>
    <w:rPr>
      <w:i/>
      <w:iCs/>
      <w:color w:val="5A5A5A" w:themeColor="text1" w:themeTint="A5"/>
    </w:rPr>
  </w:style>
  <w:style w:type="character" w:styleId="IntenseEmphasis">
    <w:name w:val="Intense Emphasis"/>
    <w:uiPriority w:val="21"/>
    <w:qFormat/>
    <w:rsid w:val="00454757"/>
    <w:rPr>
      <w:b/>
      <w:bCs/>
      <w:i/>
      <w:iCs/>
      <w:color w:val="auto"/>
      <w:u w:val="single"/>
    </w:rPr>
  </w:style>
  <w:style w:type="character" w:styleId="SubtleReference">
    <w:name w:val="Subtle Reference"/>
    <w:uiPriority w:val="31"/>
    <w:qFormat/>
    <w:rsid w:val="00454757"/>
    <w:rPr>
      <w:smallCaps/>
    </w:rPr>
  </w:style>
  <w:style w:type="character" w:styleId="IntenseReference">
    <w:name w:val="Intense Reference"/>
    <w:uiPriority w:val="32"/>
    <w:qFormat/>
    <w:rsid w:val="00454757"/>
    <w:rPr>
      <w:b/>
      <w:bCs/>
      <w:smallCaps/>
      <w:color w:val="auto"/>
    </w:rPr>
  </w:style>
  <w:style w:type="character" w:styleId="BookTitle">
    <w:name w:val="Book Title"/>
    <w:uiPriority w:val="33"/>
    <w:qFormat/>
    <w:rsid w:val="00454757"/>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454757"/>
    <w:pPr>
      <w:outlineLvl w:val="9"/>
    </w:pPr>
    <w:rPr>
      <w:lang w:bidi="en-US"/>
    </w:rPr>
  </w:style>
  <w:style w:type="table" w:styleId="LightShading">
    <w:name w:val="Light Shading"/>
    <w:basedOn w:val="TableNormal"/>
    <w:uiPriority w:val="60"/>
    <w:rsid w:val="00D6089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136F89"/>
    <w:pPr>
      <w:tabs>
        <w:tab w:val="left" w:pos="504"/>
      </w:tabs>
      <w:spacing w:after="0" w:line="240" w:lineRule="auto"/>
      <w:ind w:left="504" w:hanging="504"/>
    </w:pPr>
  </w:style>
  <w:style w:type="table" w:styleId="LightList">
    <w:name w:val="Light List"/>
    <w:basedOn w:val="TableNormal"/>
    <w:uiPriority w:val="61"/>
    <w:rsid w:val="00046C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82727A"/>
    <w:rPr>
      <w:sz w:val="16"/>
      <w:szCs w:val="16"/>
    </w:rPr>
  </w:style>
  <w:style w:type="paragraph" w:styleId="CommentText">
    <w:name w:val="annotation text"/>
    <w:basedOn w:val="Normal"/>
    <w:link w:val="CommentTextChar"/>
    <w:uiPriority w:val="99"/>
    <w:semiHidden/>
    <w:unhideWhenUsed/>
    <w:rsid w:val="0082727A"/>
    <w:pPr>
      <w:spacing w:line="240" w:lineRule="auto"/>
    </w:pPr>
    <w:rPr>
      <w:sz w:val="20"/>
      <w:szCs w:val="20"/>
    </w:rPr>
  </w:style>
  <w:style w:type="character" w:customStyle="1" w:styleId="CommentTextChar">
    <w:name w:val="Comment Text Char"/>
    <w:basedOn w:val="DefaultParagraphFont"/>
    <w:link w:val="CommentText"/>
    <w:uiPriority w:val="99"/>
    <w:semiHidden/>
    <w:rsid w:val="0082727A"/>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82727A"/>
    <w:rPr>
      <w:b/>
      <w:bCs/>
    </w:rPr>
  </w:style>
  <w:style w:type="character" w:customStyle="1" w:styleId="CommentSubjectChar">
    <w:name w:val="Comment Subject Char"/>
    <w:basedOn w:val="CommentTextChar"/>
    <w:link w:val="CommentSubject"/>
    <w:uiPriority w:val="99"/>
    <w:semiHidden/>
    <w:rsid w:val="0082727A"/>
    <w:rPr>
      <w:rFonts w:ascii="Times New Roman" w:eastAsiaTheme="minorEastAsia" w:hAnsi="Times New Roman"/>
      <w:b/>
      <w:bCs/>
      <w:sz w:val="20"/>
      <w:szCs w:val="20"/>
    </w:rPr>
  </w:style>
  <w:style w:type="paragraph" w:styleId="Revision">
    <w:name w:val="Revision"/>
    <w:hidden/>
    <w:uiPriority w:val="99"/>
    <w:semiHidden/>
    <w:rsid w:val="0082727A"/>
    <w:pPr>
      <w:spacing w:after="0"/>
    </w:pPr>
    <w:rPr>
      <w:rFonts w:ascii="Times New Roman" w:eastAsiaTheme="minorEastAsia" w:hAnsi="Times New Roman"/>
    </w:rPr>
  </w:style>
  <w:style w:type="paragraph" w:styleId="BalloonText">
    <w:name w:val="Balloon Text"/>
    <w:basedOn w:val="Normal"/>
    <w:link w:val="BalloonTextChar"/>
    <w:uiPriority w:val="99"/>
    <w:semiHidden/>
    <w:unhideWhenUsed/>
    <w:rsid w:val="0082727A"/>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27A"/>
    <w:rPr>
      <w:rFonts w:ascii="Tahoma" w:eastAsiaTheme="minorEastAsia" w:hAnsi="Tahoma" w:cs="Tahoma"/>
      <w:sz w:val="16"/>
      <w:szCs w:val="16"/>
    </w:rPr>
  </w:style>
  <w:style w:type="table" w:styleId="TableGrid">
    <w:name w:val="Table Grid"/>
    <w:basedOn w:val="TableNormal"/>
    <w:uiPriority w:val="59"/>
    <w:rsid w:val="00B11E74"/>
    <w:pPr>
      <w:spacing w:after="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602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9571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ppi.ioe.ac.uk/costconversion/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12344</Words>
  <Characters>66535</Characters>
  <Application>Microsoft Office Word</Application>
  <DocSecurity>0</DocSecurity>
  <Lines>2661</Lines>
  <Paragraphs>2319</Paragraphs>
  <ScaleCrop>false</ScaleCrop>
  <HeadingPairs>
    <vt:vector size="2" baseType="variant">
      <vt:variant>
        <vt:lpstr>Title</vt:lpstr>
      </vt:variant>
      <vt:variant>
        <vt:i4>1</vt:i4>
      </vt:variant>
    </vt:vector>
  </HeadingPairs>
  <TitlesOfParts>
    <vt:vector size="1" baseType="lpstr">
      <vt:lpstr/>
    </vt:vector>
  </TitlesOfParts>
  <Company>Griffith University</Company>
  <LinksUpToDate>false</LinksUpToDate>
  <CharactersWithSpaces>76560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Comans</dc:creator>
  <cp:lastModifiedBy>BLUAGUE</cp:lastModifiedBy>
  <cp:revision>3</cp:revision>
  <cp:lastPrinted>2016-04-11T01:33:00Z</cp:lastPrinted>
  <dcterms:created xsi:type="dcterms:W3CDTF">2017-10-06T00:57:00Z</dcterms:created>
  <dcterms:modified xsi:type="dcterms:W3CDTF">2017-11-21T14:37:00Z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id="OfijcWnK"/&gt;&lt;style id="http://www.zotero.org/styles/ieee" locale="en-GB" hasBibliography="1" bibliographyStyleHasBeenSet="1"/&gt;&lt;prefs&gt;&lt;pref name="fieldType" value="Field"/&gt;&lt;pref name="storeRefer</vt:lpwstr>
  </property>
  <property fmtid="{D5CDD505-2E9C-101B-9397-08002B2CF9AE}" pid="3" name="ZOTERO_PREF_2">
    <vt:lpwstr>ences" value="true"/&gt;&lt;pref name="automaticJournalAbbreviations" value="true"/&gt;&lt;pref name="noteType" value=""/&gt;&lt;/prefs&gt;&lt;/data&gt;</vt:lpwstr>
  </property>
</Properties>
</file>