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68FA4" w14:textId="41F4679C" w:rsidR="00EF58C9" w:rsidRPr="00634EB5" w:rsidRDefault="00EF58C9" w:rsidP="004143C7">
      <w:pPr>
        <w:keepNext/>
        <w:spacing w:before="6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634EB5">
        <w:rPr>
          <w:rFonts w:ascii="Times New Roman" w:hAnsi="Times New Roman" w:cs="Times New Roman"/>
          <w:b/>
          <w:sz w:val="24"/>
          <w:szCs w:val="24"/>
          <w:lang w:val="en-CA"/>
        </w:rPr>
        <w:t>Additional file 1</w:t>
      </w:r>
      <w:r w:rsidRPr="00634EB5">
        <w:rPr>
          <w:rFonts w:ascii="Times New Roman" w:hAnsi="Times New Roman" w:cs="Times New Roman"/>
          <w:b/>
          <w:szCs w:val="24"/>
          <w:lang w:val="en-CA"/>
        </w:rPr>
        <w:t xml:space="preserve"> </w:t>
      </w:r>
      <w:r w:rsidR="004143C7" w:rsidRPr="00634EB5">
        <w:rPr>
          <w:rFonts w:ascii="Times New Roman" w:hAnsi="Times New Roman" w:cs="Times New Roman"/>
          <w:sz w:val="24"/>
          <w:szCs w:val="24"/>
          <w:lang w:val="en-CA"/>
        </w:rPr>
        <w:t xml:space="preserve">Framework developed for the analysis of the </w:t>
      </w:r>
      <w:proofErr w:type="spellStart"/>
      <w:r w:rsidR="00223348" w:rsidRPr="00634EB5">
        <w:rPr>
          <w:rFonts w:ascii="Times New Roman" w:hAnsi="Times New Roman" w:cs="Times New Roman"/>
          <w:sz w:val="24"/>
          <w:szCs w:val="24"/>
          <w:lang w:val="en-CA"/>
        </w:rPr>
        <w:t>RbCCCM</w:t>
      </w:r>
      <w:proofErr w:type="spellEnd"/>
      <w:r w:rsidR="004143C7" w:rsidRPr="00634EB5">
        <w:rPr>
          <w:rFonts w:ascii="Times New Roman" w:hAnsi="Times New Roman" w:cs="Times New Roman"/>
          <w:sz w:val="24"/>
          <w:szCs w:val="24"/>
          <w:lang w:val="en-CA"/>
        </w:rPr>
        <w:t xml:space="preserve"> intervention and definitions</w:t>
      </w:r>
    </w:p>
    <w:p w14:paraId="3EE13BB4" w14:textId="3960F6C6" w:rsidR="00B13EBF" w:rsidRPr="004143C7" w:rsidRDefault="00A85903" w:rsidP="004143C7">
      <w:pPr>
        <w:keepNext/>
        <w:spacing w:before="60" w:line="240" w:lineRule="auto"/>
        <w:rPr>
          <w:rFonts w:cs="Calibri"/>
          <w:b/>
          <w:szCs w:val="24"/>
          <w:lang w:val="en-CA"/>
        </w:rPr>
      </w:pPr>
      <w:r>
        <w:rPr>
          <w:noProof/>
          <w:sz w:val="24"/>
          <w:szCs w:val="24"/>
          <w:lang w:eastAsia="fr-CA"/>
        </w:rPr>
        <w:drawing>
          <wp:anchor distT="0" distB="0" distL="114300" distR="114300" simplePos="0" relativeHeight="251659264" behindDoc="1" locked="0" layoutInCell="1" allowOverlap="1" wp14:anchorId="57E7D276" wp14:editId="43DD22D5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5746867" cy="4140000"/>
            <wp:effectExtent l="0" t="0" r="6350" b="0"/>
            <wp:wrapTight wrapText="bothSides">
              <wp:wrapPolygon edited="0">
                <wp:start x="5728" y="0"/>
                <wp:lineTo x="5513" y="497"/>
                <wp:lineTo x="5442" y="1590"/>
                <wp:lineTo x="0" y="1889"/>
                <wp:lineTo x="0" y="10437"/>
                <wp:lineTo x="1146" y="11133"/>
                <wp:lineTo x="2578" y="11133"/>
                <wp:lineTo x="716" y="11928"/>
                <wp:lineTo x="573" y="12127"/>
                <wp:lineTo x="931" y="12723"/>
                <wp:lineTo x="1146" y="14314"/>
                <wp:lineTo x="1933" y="15904"/>
                <wp:lineTo x="2005" y="16202"/>
                <wp:lineTo x="4583" y="17495"/>
                <wp:lineTo x="5155" y="17495"/>
                <wp:lineTo x="6802" y="19085"/>
                <wp:lineTo x="6874" y="21471"/>
                <wp:lineTo x="19189" y="21471"/>
                <wp:lineTo x="19261" y="19085"/>
                <wp:lineTo x="20192" y="17495"/>
                <wp:lineTo x="20335" y="13320"/>
                <wp:lineTo x="19977" y="13022"/>
                <wp:lineTo x="18402" y="12723"/>
                <wp:lineTo x="19189" y="12326"/>
                <wp:lineTo x="19261" y="11332"/>
                <wp:lineTo x="20192" y="11133"/>
                <wp:lineTo x="21552" y="10437"/>
                <wp:lineTo x="21552" y="5666"/>
                <wp:lineTo x="20979" y="5467"/>
                <wp:lineTo x="16397" y="4771"/>
                <wp:lineTo x="15752" y="3181"/>
                <wp:lineTo x="15681" y="497"/>
                <wp:lineTo x="15466" y="0"/>
                <wp:lineTo x="5728" y="0"/>
              </wp:wrapPolygon>
            </wp:wrapTight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867" cy="41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4"/>
        <w:tblW w:w="5000" w:type="pct"/>
        <w:tblLook w:val="04A0" w:firstRow="1" w:lastRow="0" w:firstColumn="1" w:lastColumn="0" w:noHBand="0" w:noVBand="1"/>
      </w:tblPr>
      <w:tblGrid>
        <w:gridCol w:w="1578"/>
        <w:gridCol w:w="7052"/>
      </w:tblGrid>
      <w:tr w:rsidR="00B13EBF" w:rsidRPr="00B041A1" w14:paraId="50073255" w14:textId="77777777" w:rsidTr="00285E16">
        <w:trPr>
          <w:trHeight w:val="283"/>
        </w:trPr>
        <w:tc>
          <w:tcPr>
            <w:tcW w:w="914" w:type="pct"/>
            <w:shd w:val="clear" w:color="auto" w:fill="D9D9D9" w:themeFill="background1" w:themeFillShade="D9"/>
            <w:vAlign w:val="center"/>
          </w:tcPr>
          <w:p w14:paraId="61BC39E9" w14:textId="77777777" w:rsidR="004143C7" w:rsidRPr="00B041A1" w:rsidRDefault="004143C7" w:rsidP="00285E16">
            <w:pPr>
              <w:spacing w:before="60" w:after="60"/>
              <w:jc w:val="center"/>
              <w:outlineLvl w:val="1"/>
              <w:rPr>
                <w:rFonts w:ascii="Times New Roman" w:eastAsia="Calibri" w:hAnsi="Times New Roman"/>
                <w:b/>
                <w:sz w:val="20"/>
                <w:szCs w:val="20"/>
                <w:lang w:val="en-CA"/>
              </w:rPr>
            </w:pPr>
            <w:r w:rsidRPr="00B041A1">
              <w:rPr>
                <w:rFonts w:ascii="Times New Roman" w:eastAsia="Calibri" w:hAnsi="Times New Roman"/>
                <w:b/>
                <w:sz w:val="20"/>
                <w:szCs w:val="20"/>
                <w:lang w:val="en-CA"/>
              </w:rPr>
              <w:t>Elements</w:t>
            </w:r>
          </w:p>
        </w:tc>
        <w:tc>
          <w:tcPr>
            <w:tcW w:w="4086" w:type="pct"/>
            <w:shd w:val="clear" w:color="auto" w:fill="D9D9D9" w:themeFill="background1" w:themeFillShade="D9"/>
            <w:vAlign w:val="center"/>
          </w:tcPr>
          <w:p w14:paraId="0D069177" w14:textId="77777777" w:rsidR="004143C7" w:rsidRPr="00B041A1" w:rsidRDefault="004143C7" w:rsidP="00285E16">
            <w:pPr>
              <w:spacing w:before="60" w:after="60"/>
              <w:jc w:val="center"/>
              <w:outlineLvl w:val="1"/>
              <w:rPr>
                <w:rFonts w:ascii="Times New Roman" w:eastAsia="Calibri" w:hAnsi="Times New Roman"/>
                <w:b/>
                <w:sz w:val="20"/>
                <w:szCs w:val="20"/>
                <w:lang w:val="en-CA"/>
              </w:rPr>
            </w:pPr>
            <w:r w:rsidRPr="00B041A1">
              <w:rPr>
                <w:rFonts w:ascii="Times New Roman" w:eastAsia="Calibri" w:hAnsi="Times New Roman"/>
                <w:b/>
                <w:sz w:val="20"/>
                <w:szCs w:val="20"/>
                <w:lang w:val="en-CA"/>
              </w:rPr>
              <w:t>Definitions</w:t>
            </w:r>
          </w:p>
        </w:tc>
      </w:tr>
      <w:tr w:rsidR="00B13EBF" w:rsidRPr="00634EB5" w14:paraId="340B9703" w14:textId="77777777" w:rsidTr="00285E16">
        <w:trPr>
          <w:trHeight w:val="283"/>
        </w:trPr>
        <w:tc>
          <w:tcPr>
            <w:tcW w:w="914" w:type="pct"/>
            <w:vAlign w:val="center"/>
          </w:tcPr>
          <w:p w14:paraId="3F22D83F" w14:textId="77777777" w:rsidR="004143C7" w:rsidRPr="00B13EBF" w:rsidRDefault="004143C7" w:rsidP="00285E16">
            <w:pPr>
              <w:spacing w:after="60"/>
              <w:outlineLvl w:val="1"/>
              <w:rPr>
                <w:rFonts w:ascii="Times New Roman" w:eastAsia="Calibri" w:hAnsi="Times New Roman" w:cs="Times New Roman"/>
                <w:color w:val="68BD21"/>
                <w:sz w:val="20"/>
                <w:szCs w:val="20"/>
                <w:lang w:val="en-CA"/>
              </w:rPr>
            </w:pPr>
            <w:r w:rsidRPr="00B13EBF">
              <w:rPr>
                <w:rFonts w:ascii="Times New Roman" w:eastAsia="Calibri" w:hAnsi="Times New Roman" w:cs="Times New Roman"/>
                <w:color w:val="00B050"/>
                <w:sz w:val="20"/>
                <w:szCs w:val="20"/>
                <w:lang w:val="en-CA"/>
              </w:rPr>
              <w:t>Multi-layered context</w:t>
            </w:r>
          </w:p>
        </w:tc>
        <w:tc>
          <w:tcPr>
            <w:tcW w:w="4086" w:type="pct"/>
          </w:tcPr>
          <w:p w14:paraId="36CEBBE8" w14:textId="7993D50A" w:rsidR="004143C7" w:rsidRPr="00B13EBF" w:rsidRDefault="00B041A1" w:rsidP="003B28BE">
            <w:pPr>
              <w:spacing w:before="60" w:after="60"/>
              <w:jc w:val="both"/>
              <w:outlineLvl w:val="1"/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</w:pP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The context</w:t>
            </w:r>
            <w:r w:rsidR="004143C7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4143C7" w:rsidRPr="00B13EBF">
              <w:rPr>
                <w:rFonts w:ascii="Times New Roman" w:eastAsia="Calibri" w:hAnsi="Times New Roman" w:cs="Times New Roman"/>
                <w:color w:val="00B050"/>
                <w:sz w:val="20"/>
                <w:szCs w:val="20"/>
                <w:lang w:val="en-CA"/>
              </w:rPr>
              <w:t>(</w:t>
            </w:r>
            <w:r w:rsidR="00E66ACB" w:rsidRPr="00B13EBF"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0"/>
                <w:lang w:val="en-CA"/>
              </w:rPr>
              <w:t>green box</w:t>
            </w:r>
            <w:r w:rsidR="004143C7" w:rsidRPr="00B13EBF">
              <w:rPr>
                <w:rFonts w:ascii="Times New Roman" w:eastAsia="Calibri" w:hAnsi="Times New Roman" w:cs="Times New Roman"/>
                <w:color w:val="00B050"/>
                <w:sz w:val="20"/>
                <w:szCs w:val="20"/>
                <w:lang w:val="en-CA"/>
              </w:rPr>
              <w:t xml:space="preserve">) </w:t>
            </w:r>
            <w:r w:rsidR="00D330BE" w:rsidRPr="00A85903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represents </w:t>
            </w: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evolutionary dynamics</w:t>
            </w:r>
            <w:r w:rsidR="00D330BE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of current practice</w:t>
            </w: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. 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Contextualisation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, a stage in the translation of innovations into practice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, aims at identifying </w:t>
            </w:r>
            <w:r w:rsidRP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actors</w:t>
            </w:r>
            <w:r w:rsidR="00AD28A9" w:rsidRP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-</w:t>
            </w:r>
            <w:proofErr w:type="spellStart"/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actants</w:t>
            </w:r>
            <w:proofErr w:type="spellEnd"/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(human and non-human), the stakes and dynamics </w:t>
            </w:r>
            <w:r w:rsidR="003B28BE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that exert an 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influence at </w:t>
            </w: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different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levels of the health system (operation</w:t>
            </w:r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al, managerial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, governance).</w:t>
            </w: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According to an </w:t>
            </w:r>
            <w:r w:rsidRPr="00B041A1">
              <w:rPr>
                <w:rFonts w:ascii="Times New Roman" w:eastAsia="Calibri" w:hAnsi="Times New Roman" w:cs="Times New Roman"/>
                <w:i/>
                <w:sz w:val="20"/>
                <w:szCs w:val="20"/>
                <w:lang w:val="en-CA"/>
              </w:rPr>
              <w:t>interventional research</w:t>
            </w:r>
            <w:r w:rsidRPr="00B13EBF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perscript"/>
                <w:lang w:val="en-CA"/>
              </w:rPr>
              <w:t>2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approach</w:t>
            </w: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, 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researchers work closely with </w:t>
            </w:r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actors</w:t>
            </w:r>
            <w:r w:rsidRPr="00B041A1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in the field to find concrete solutions to the problems they face.</w:t>
            </w:r>
          </w:p>
        </w:tc>
      </w:tr>
      <w:tr w:rsidR="00B13EBF" w:rsidRPr="00634EB5" w14:paraId="588D8FF8" w14:textId="77777777" w:rsidTr="00285E16">
        <w:trPr>
          <w:trHeight w:val="283"/>
        </w:trPr>
        <w:tc>
          <w:tcPr>
            <w:tcW w:w="914" w:type="pct"/>
            <w:vAlign w:val="center"/>
          </w:tcPr>
          <w:p w14:paraId="3BAD1EDD" w14:textId="77777777" w:rsidR="004143C7" w:rsidRPr="008A32AC" w:rsidRDefault="00B13EBF" w:rsidP="00223348">
            <w:pPr>
              <w:spacing w:after="60"/>
              <w:outlineLvl w:val="1"/>
              <w:rPr>
                <w:rFonts w:ascii="Times New Roman" w:eastAsia="Calibri" w:hAnsi="Times New Roman" w:cs="Times New Roman"/>
                <w:color w:val="C00000"/>
                <w:sz w:val="20"/>
                <w:szCs w:val="20"/>
                <w:lang w:val="en-CA"/>
              </w:rPr>
            </w:pPr>
            <w:r w:rsidRPr="008A32AC">
              <w:rPr>
                <w:rFonts w:ascii="Times New Roman" w:eastAsia="Calibri" w:hAnsi="Times New Roman" w:cs="Times New Roman"/>
                <w:color w:val="C00000"/>
                <w:sz w:val="20"/>
                <w:szCs w:val="20"/>
                <w:lang w:val="en-CA"/>
              </w:rPr>
              <w:t>Problem definition, intervention identification and</w:t>
            </w:r>
            <w:r w:rsidR="008A32AC" w:rsidRPr="008A32AC">
              <w:rPr>
                <w:rFonts w:ascii="Times New Roman" w:eastAsia="Calibri" w:hAnsi="Times New Roman" w:cs="Times New Roman"/>
                <w:color w:val="C00000"/>
                <w:sz w:val="20"/>
                <w:szCs w:val="20"/>
                <w:lang w:val="en-CA"/>
              </w:rPr>
              <w:t xml:space="preserve"> elaboration of an initial theory</w:t>
            </w:r>
            <w:r w:rsidR="004143C7" w:rsidRPr="008A32AC">
              <w:rPr>
                <w:rFonts w:ascii="Times New Roman" w:eastAsia="Calibri" w:hAnsi="Times New Roman" w:cs="Times New Roman"/>
                <w:color w:val="C00000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4086" w:type="pct"/>
          </w:tcPr>
          <w:p w14:paraId="7B85D6C7" w14:textId="1F14A0A2" w:rsidR="004143C7" w:rsidRPr="00B13EBF" w:rsidRDefault="00E908F2" w:rsidP="004F79D0">
            <w:pPr>
              <w:pStyle w:val="PrformatHTML"/>
              <w:shd w:val="clear" w:color="auto" w:fill="FFFFFF"/>
              <w:spacing w:before="60" w:after="60"/>
              <w:jc w:val="both"/>
              <w:rPr>
                <w:rFonts w:ascii="Times New Roman" w:eastAsia="Calibri" w:hAnsi="Times New Roman" w:cs="Times New Roman"/>
                <w:lang w:val="en-CA" w:eastAsia="en-US"/>
              </w:rPr>
            </w:pPr>
            <w:r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These actions </w:t>
            </w:r>
            <w:r w:rsidRPr="00B13EBF">
              <w:rPr>
                <w:rFonts w:ascii="Times New Roman" w:eastAsia="Calibri" w:hAnsi="Times New Roman" w:cs="Times New Roman"/>
                <w:color w:val="C00000"/>
                <w:lang w:val="en-CA" w:eastAsia="en-US"/>
              </w:rPr>
              <w:t>(</w:t>
            </w:r>
            <w:r w:rsidRPr="00B13EBF">
              <w:rPr>
                <w:rFonts w:ascii="Times New Roman" w:eastAsia="Calibri" w:hAnsi="Times New Roman" w:cs="Times New Roman"/>
                <w:b/>
                <w:color w:val="C00000"/>
                <w:lang w:val="en-CA" w:eastAsia="en-US"/>
              </w:rPr>
              <w:t>red boxes</w:t>
            </w:r>
            <w:r w:rsidRPr="00B13EBF">
              <w:rPr>
                <w:rFonts w:ascii="Times New Roman" w:eastAsia="Calibri" w:hAnsi="Times New Roman" w:cs="Times New Roman"/>
                <w:color w:val="C00000"/>
                <w:lang w:val="en-CA" w:eastAsia="en-US"/>
              </w:rPr>
              <w:t xml:space="preserve">) </w:t>
            </w:r>
            <w:r w:rsidRPr="00B13EBF">
              <w:rPr>
                <w:rFonts w:ascii="Times New Roman" w:eastAsia="Calibri" w:hAnsi="Times New Roman" w:cs="Times New Roman"/>
                <w:lang w:val="en-CA" w:eastAsia="en-US"/>
              </w:rPr>
              <w:t>refer to actors' perception</w:t>
            </w:r>
            <w:r w:rsidR="003B28BE">
              <w:rPr>
                <w:rFonts w:ascii="Times New Roman" w:eastAsia="Calibri" w:hAnsi="Times New Roman" w:cs="Times New Roman"/>
                <w:lang w:val="en-CA" w:eastAsia="en-US"/>
              </w:rPr>
              <w:t>s</w:t>
            </w:r>
            <w:r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 of a problem and its solution </w:t>
            </w:r>
            <w:r w:rsidR="003B28BE">
              <w:rPr>
                <w:rFonts w:ascii="Times New Roman" w:eastAsia="Calibri" w:hAnsi="Times New Roman" w:cs="Times New Roman"/>
                <w:lang w:val="en-CA" w:eastAsia="en-US"/>
              </w:rPr>
              <w:t xml:space="preserve">as these </w:t>
            </w:r>
            <w:r w:rsidRPr="00B13EBF">
              <w:rPr>
                <w:rFonts w:ascii="Times New Roman" w:eastAsia="Calibri" w:hAnsi="Times New Roman" w:cs="Times New Roman"/>
                <w:lang w:val="en-CA" w:eastAsia="en-US"/>
              </w:rPr>
              <w:t>tak</w:t>
            </w:r>
            <w:r w:rsidR="003B28BE">
              <w:rPr>
                <w:rFonts w:ascii="Times New Roman" w:eastAsia="Calibri" w:hAnsi="Times New Roman" w:cs="Times New Roman"/>
                <w:lang w:val="en-CA" w:eastAsia="en-US"/>
              </w:rPr>
              <w:t>e</w:t>
            </w:r>
            <w:r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 shape </w:t>
            </w:r>
            <w:r w:rsidR="003B28BE">
              <w:rPr>
                <w:rFonts w:ascii="Times New Roman" w:eastAsia="Calibri" w:hAnsi="Times New Roman" w:cs="Times New Roman"/>
                <w:lang w:val="en-CA" w:eastAsia="en-US"/>
              </w:rPr>
              <w:t>through</w:t>
            </w:r>
            <w:r w:rsidR="003B28BE"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 </w:t>
            </w:r>
            <w:r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the multiple components of the intervention. </w:t>
            </w:r>
            <w:r w:rsidR="00BB5DEE" w:rsidRPr="00B13EBF">
              <w:rPr>
                <w:rFonts w:ascii="Times New Roman" w:eastAsia="Calibri" w:hAnsi="Times New Roman" w:cs="Times New Roman"/>
                <w:i/>
                <w:lang w:val="en-CA" w:eastAsia="en-US"/>
              </w:rPr>
              <w:t>Problemati</w:t>
            </w:r>
            <w:r w:rsidR="003B28BE">
              <w:rPr>
                <w:rFonts w:ascii="Times New Roman" w:eastAsia="Calibri" w:hAnsi="Times New Roman" w:cs="Times New Roman"/>
                <w:i/>
                <w:lang w:val="en-CA" w:eastAsia="en-US"/>
              </w:rPr>
              <w:t>z</w:t>
            </w:r>
            <w:r w:rsidR="00BB5DEE" w:rsidRPr="00B13EBF">
              <w:rPr>
                <w:rFonts w:ascii="Times New Roman" w:eastAsia="Calibri" w:hAnsi="Times New Roman" w:cs="Times New Roman"/>
                <w:i/>
                <w:lang w:val="en-CA" w:eastAsia="en-US"/>
              </w:rPr>
              <w:t>ation</w:t>
            </w:r>
            <w:r w:rsidR="00BB5DEE" w:rsidRPr="00B13EBF">
              <w:rPr>
                <w:rFonts w:ascii="Times New Roman" w:eastAsia="Calibri" w:hAnsi="Times New Roman" w:cs="Times New Roman"/>
                <w:vertAlign w:val="superscript"/>
                <w:lang w:val="en-CA" w:eastAsia="en-US"/>
              </w:rPr>
              <w:t>1</w:t>
            </w:r>
            <w:r w:rsidR="00BB5DEE"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 is a process of discussion and decision making that helps to clarify the nature and extent of the problem and determine the mechanisms to be activated in order to implement a solution. The result is an initial theory of </w:t>
            </w:r>
            <w:r w:rsidR="004F79D0">
              <w:rPr>
                <w:rFonts w:ascii="Times New Roman" w:eastAsia="Calibri" w:hAnsi="Times New Roman" w:cs="Times New Roman"/>
                <w:lang w:val="en-CA" w:eastAsia="en-US"/>
              </w:rPr>
              <w:t xml:space="preserve">the </w:t>
            </w:r>
            <w:r w:rsidR="00BB5DEE"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intervention which is fully aligned with the interventional research and integrated </w:t>
            </w:r>
            <w:r w:rsidR="004F79D0">
              <w:rPr>
                <w:rFonts w:ascii="Times New Roman" w:eastAsia="Calibri" w:hAnsi="Times New Roman" w:cs="Times New Roman"/>
                <w:lang w:val="en-CA" w:eastAsia="en-US"/>
              </w:rPr>
              <w:t>in the transfer of</w:t>
            </w:r>
            <w:r w:rsidR="004F79D0" w:rsidRPr="00B13EBF">
              <w:rPr>
                <w:rFonts w:ascii="Times New Roman" w:eastAsia="Calibri" w:hAnsi="Times New Roman" w:cs="Times New Roman"/>
                <w:lang w:val="en-CA" w:eastAsia="en-US"/>
              </w:rPr>
              <w:t xml:space="preserve"> </w:t>
            </w:r>
            <w:r w:rsidR="00BB5DEE" w:rsidRPr="00B13EBF">
              <w:rPr>
                <w:rFonts w:ascii="Times New Roman" w:eastAsia="Calibri" w:hAnsi="Times New Roman" w:cs="Times New Roman"/>
                <w:lang w:val="en-CA" w:eastAsia="en-US"/>
              </w:rPr>
              <w:t>knowledge to practice</w:t>
            </w:r>
            <w:r w:rsidR="00BB5DEE" w:rsidRPr="00B13EBF">
              <w:rPr>
                <w:rFonts w:ascii="Times New Roman" w:eastAsia="Calibri" w:hAnsi="Times New Roman" w:cs="Times New Roman"/>
                <w:vertAlign w:val="superscript"/>
                <w:lang w:val="en-CA" w:eastAsia="en-US"/>
              </w:rPr>
              <w:t>3</w:t>
            </w:r>
            <w:r w:rsidR="00BB5DEE" w:rsidRPr="00B13EBF">
              <w:rPr>
                <w:rFonts w:ascii="Times New Roman" w:eastAsia="Calibri" w:hAnsi="Times New Roman" w:cs="Times New Roman"/>
                <w:lang w:val="en-CA" w:eastAsia="en-US"/>
              </w:rPr>
              <w:t>.</w:t>
            </w:r>
          </w:p>
        </w:tc>
      </w:tr>
      <w:tr w:rsidR="00B13EBF" w:rsidRPr="00BB01EC" w14:paraId="1F6B14AA" w14:textId="77777777" w:rsidTr="00285E16">
        <w:trPr>
          <w:trHeight w:val="283"/>
        </w:trPr>
        <w:tc>
          <w:tcPr>
            <w:tcW w:w="914" w:type="pct"/>
            <w:vAlign w:val="center"/>
          </w:tcPr>
          <w:p w14:paraId="49D90AB7" w14:textId="77777777" w:rsidR="004143C7" w:rsidRPr="00B13EBF" w:rsidRDefault="004143C7" w:rsidP="00E66ACB">
            <w:pPr>
              <w:spacing w:after="60"/>
              <w:outlineLvl w:val="1"/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</w:pPr>
            <w:r w:rsidRPr="00B13EBF">
              <w:rPr>
                <w:rFonts w:ascii="Times New Roman" w:eastAsia="Calibri" w:hAnsi="Times New Roman" w:cs="Times New Roman"/>
                <w:color w:val="FFC000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Activation </w:t>
            </w:r>
            <w:r w:rsidR="00E66ACB" w:rsidRPr="00B13EBF">
              <w:rPr>
                <w:rFonts w:ascii="Times New Roman" w:eastAsia="Calibri" w:hAnsi="Times New Roman" w:cs="Times New Roman"/>
                <w:color w:val="FFC000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of mechanisms</w:t>
            </w:r>
            <w:r w:rsidRPr="00B13EBF">
              <w:rPr>
                <w:rFonts w:ascii="Times New Roman" w:eastAsia="Calibri" w:hAnsi="Times New Roman" w:cs="Times New Roman"/>
                <w:color w:val="FFC000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</w:p>
        </w:tc>
        <w:tc>
          <w:tcPr>
            <w:tcW w:w="4086" w:type="pct"/>
          </w:tcPr>
          <w:p w14:paraId="267CDE5B" w14:textId="4701B1B1" w:rsidR="004143C7" w:rsidRPr="00AD28A9" w:rsidRDefault="004F79D0" w:rsidP="004F79D0">
            <w:pPr>
              <w:spacing w:before="60" w:after="60"/>
              <w:jc w:val="both"/>
              <w:outlineLvl w:val="1"/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The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i</w:t>
            </w:r>
            <w:r w:rsidR="00AD28A9" w:rsidRPr="00B13EBF">
              <w:rPr>
                <w:rFonts w:ascii="Times New Roman" w:eastAsia="Calibri" w:hAnsi="Times New Roman" w:cs="Times New Roman"/>
                <w:i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nteressement</w:t>
            </w:r>
            <w:proofErr w:type="spellEnd"/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, </w:t>
            </w:r>
            <w:r w:rsidR="00AD28A9" w:rsidRPr="00B13EBF">
              <w:rPr>
                <w:rFonts w:ascii="Times New Roman" w:eastAsia="Calibri" w:hAnsi="Times New Roman" w:cs="Times New Roman"/>
                <w:i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enrolment</w:t>
            </w:r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and </w:t>
            </w:r>
            <w:r w:rsidR="00AD28A9" w:rsidRPr="00B13EBF">
              <w:rPr>
                <w:rFonts w:ascii="Times New Roman" w:eastAsia="Calibri" w:hAnsi="Times New Roman" w:cs="Times New Roman"/>
                <w:i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commitment</w:t>
            </w:r>
            <w:r w:rsidR="00AD28A9" w:rsidRPr="00B13EB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1</w:t>
            </w:r>
            <w:r w:rsidR="00AD28A9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of actors </w:t>
            </w:r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in </w:t>
            </w:r>
            <w:r w:rsidR="00AD28A9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their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particular </w:t>
            </w:r>
            <w:r w:rsidR="00AD28A9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context</w:t>
            </w:r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lead to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the </w:t>
            </w:r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activat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ion of</w:t>
            </w:r>
            <w:r w:rsidR="00AD28A9">
              <w:rPr>
                <w:rFonts w:ascii="Times New Roman" w:eastAsia="Calibri" w:hAnsi="Times New Roman" w:cs="Times New Roman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mechanisms </w:t>
            </w:r>
            <w:r w:rsidR="00AD28A9" w:rsidRPr="00B13EBF">
              <w:rPr>
                <w:rFonts w:ascii="Times New Roman" w:eastAsia="Calibri" w:hAnsi="Times New Roman" w:cs="Times New Roman"/>
                <w:color w:val="FFC000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(</w:t>
            </w:r>
            <w:r w:rsidR="00AD28A9" w:rsidRPr="00B13EBF">
              <w:rPr>
                <w:rFonts w:ascii="Times New Roman" w:eastAsia="Calibri" w:hAnsi="Times New Roman" w:cs="Times New Roman"/>
                <w:b/>
                <w:color w:val="FFC000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yellow boxes</w:t>
            </w:r>
            <w:r w:rsidR="00AD28A9" w:rsidRPr="00B13EBF">
              <w:rPr>
                <w:rFonts w:ascii="Times New Roman" w:eastAsia="Calibri" w:hAnsi="Times New Roman" w:cs="Times New Roman"/>
                <w:color w:val="FFC000"/>
                <w:sz w:val="20"/>
                <w:szCs w:val="20"/>
                <w:lang w:val="en-CA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)</w:t>
            </w:r>
            <w:r w:rsidR="00AD28A9" w:rsidRPr="00B13EBF">
              <w:rPr>
                <w:rFonts w:ascii="Times New Roman" w:hAnsi="Times New Roman" w:cs="Times New Roman"/>
                <w:color w:val="212121"/>
                <w:sz w:val="20"/>
                <w:szCs w:val="20"/>
                <w:lang w:val="en"/>
              </w:rPr>
              <w:t>.</w:t>
            </w:r>
            <w:r w:rsidR="00AD28A9">
              <w:rPr>
                <w:rFonts w:ascii="Times New Roman" w:hAnsi="Times New Roman" w:cs="Times New Roman"/>
                <w:color w:val="212121"/>
                <w:sz w:val="20"/>
                <w:szCs w:val="20"/>
                <w:lang w:val="en"/>
              </w:rPr>
              <w:t xml:space="preserve"> This mobilization capacity foster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en"/>
              </w:rPr>
              <w:t>s</w:t>
            </w:r>
            <w:r w:rsidR="00AD28A9">
              <w:rPr>
                <w:rFonts w:ascii="Times New Roman" w:hAnsi="Times New Roman" w:cs="Times New Roman"/>
                <w:color w:val="212121"/>
                <w:sz w:val="20"/>
                <w:szCs w:val="20"/>
                <w:lang w:val="en"/>
              </w:rPr>
              <w:t xml:space="preserve"> coordination of interdependent actors focusing on a shared goal. Activated mechanisms in context support transformative capacity.</w:t>
            </w:r>
          </w:p>
        </w:tc>
      </w:tr>
      <w:tr w:rsidR="00B13EBF" w:rsidRPr="00634EB5" w14:paraId="3F771391" w14:textId="77777777" w:rsidTr="00285E16">
        <w:trPr>
          <w:trHeight w:val="283"/>
        </w:trPr>
        <w:tc>
          <w:tcPr>
            <w:tcW w:w="914" w:type="pct"/>
            <w:vAlign w:val="center"/>
          </w:tcPr>
          <w:p w14:paraId="6A047BCC" w14:textId="77777777" w:rsidR="004143C7" w:rsidRPr="00B13EBF" w:rsidRDefault="00CB561D" w:rsidP="00285E16">
            <w:pPr>
              <w:spacing w:after="60"/>
              <w:outlineLvl w:val="1"/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</w:pPr>
            <w:r w:rsidRPr="00B13EBF">
              <w:rPr>
                <w:rFonts w:ascii="Times New Roman" w:eastAsia="Calibri" w:hAnsi="Times New Roman" w:cs="Times New Roman"/>
                <w:b/>
                <w:sz w:val="20"/>
                <w:szCs w:val="20"/>
                <w:lang w:val="en-CA"/>
              </w:rPr>
              <w:t>Monitoring</w:t>
            </w:r>
          </w:p>
        </w:tc>
        <w:tc>
          <w:tcPr>
            <w:tcW w:w="4086" w:type="pct"/>
          </w:tcPr>
          <w:p w14:paraId="490E2A3C" w14:textId="09AD5B00" w:rsidR="004143C7" w:rsidRPr="00B13EBF" w:rsidRDefault="00CB561D" w:rsidP="004F79D0">
            <w:pPr>
              <w:spacing w:before="60" w:after="60"/>
              <w:outlineLvl w:val="1"/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</w:pP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Monitoring (</w:t>
            </w:r>
            <w:r w:rsidRPr="00B13EBF">
              <w:rPr>
                <w:rFonts w:ascii="Times New Roman" w:eastAsia="Calibri" w:hAnsi="Times New Roman" w:cs="Times New Roman"/>
                <w:b/>
                <w:sz w:val="20"/>
                <w:szCs w:val="20"/>
                <w:lang w:val="en-CA"/>
              </w:rPr>
              <w:t>black box</w:t>
            </w: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)</w:t>
            </w:r>
            <w:r w:rsidR="000F5435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effects refers to the observation of intermediate (change</w:t>
            </w:r>
            <w:r w:rsidR="004F79D0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s</w:t>
            </w:r>
            <w:r w:rsidR="000F5435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in </w:t>
            </w:r>
            <w:r w:rsidR="004F79D0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professional </w:t>
            </w:r>
            <w:r w:rsidR="000F5435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practice) and final (patient experience</w:t>
            </w:r>
            <w:r w:rsidR="004F79D0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of care</w:t>
            </w:r>
            <w:r w:rsidR="000F5435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) outcomes of the </w:t>
            </w:r>
            <w:r w:rsidR="000F5435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lastRenderedPageBreak/>
              <w:t>intervention. We are interested in actors’ perception</w:t>
            </w:r>
            <w:r w:rsidR="004F79D0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s</w:t>
            </w:r>
            <w:r w:rsidR="000F5435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 of the benefits of the intervention by observing “</w:t>
            </w:r>
            <w:r w:rsidR="000F5435" w:rsidRPr="00B13EBF">
              <w:rPr>
                <w:rFonts w:ascii="Times New Roman" w:eastAsia="Calibri" w:hAnsi="Times New Roman" w:cs="Times New Roman"/>
                <w:i/>
                <w:sz w:val="20"/>
                <w:szCs w:val="20"/>
                <w:lang w:val="en-CA"/>
              </w:rPr>
              <w:t>facts in the making</w:t>
            </w:r>
            <w:r w:rsidR="000F5435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>”.</w:t>
            </w:r>
          </w:p>
        </w:tc>
      </w:tr>
      <w:tr w:rsidR="00B13EBF" w:rsidRPr="00634EB5" w14:paraId="59BBB35C" w14:textId="77777777" w:rsidTr="00285E16">
        <w:trPr>
          <w:trHeight w:val="283"/>
        </w:trPr>
        <w:tc>
          <w:tcPr>
            <w:tcW w:w="914" w:type="pct"/>
            <w:vAlign w:val="center"/>
          </w:tcPr>
          <w:p w14:paraId="56367E5C" w14:textId="77777777" w:rsidR="004143C7" w:rsidRPr="00B13EBF" w:rsidRDefault="000F5435" w:rsidP="000F5435">
            <w:pPr>
              <w:spacing w:after="60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CA"/>
              </w:rPr>
            </w:pPr>
            <w:r w:rsidRPr="00B13EBF">
              <w:rPr>
                <w:rFonts w:ascii="Times New Roman" w:eastAsia="Calibri" w:hAnsi="Times New Roman" w:cs="Times New Roman"/>
                <w:b/>
                <w:sz w:val="20"/>
                <w:szCs w:val="20"/>
                <w:lang w:val="en-CA"/>
              </w:rPr>
              <w:lastRenderedPageBreak/>
              <w:t xml:space="preserve">Configuration </w:t>
            </w:r>
            <w:r w:rsidR="004143C7" w:rsidRPr="00B13EBF">
              <w:rPr>
                <w:rFonts w:ascii="Times New Roman" w:eastAsia="Calibri" w:hAnsi="Times New Roman" w:cs="Times New Roman"/>
                <w:b/>
                <w:sz w:val="20"/>
                <w:szCs w:val="20"/>
                <w:lang w:val="en-CA"/>
              </w:rPr>
              <w:t>C + M = </w:t>
            </w:r>
            <w:r w:rsidRPr="00B13EBF">
              <w:rPr>
                <w:rFonts w:ascii="Times New Roman" w:eastAsia="Calibri" w:hAnsi="Times New Roman" w:cs="Times New Roman"/>
                <w:b/>
                <w:sz w:val="20"/>
                <w:szCs w:val="20"/>
                <w:lang w:val="en-CA"/>
              </w:rPr>
              <w:t>O</w:t>
            </w:r>
          </w:p>
        </w:tc>
        <w:tc>
          <w:tcPr>
            <w:tcW w:w="4086" w:type="pct"/>
          </w:tcPr>
          <w:p w14:paraId="039A83B7" w14:textId="5A88BA28" w:rsidR="004143C7" w:rsidRPr="00B13EBF" w:rsidRDefault="000F5435" w:rsidP="004F79D0">
            <w:pPr>
              <w:spacing w:before="60" w:after="60"/>
              <w:outlineLvl w:val="1"/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</w:pPr>
            <w:r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The context-mechanisms-outcomes configuration can be developed according </w:t>
            </w:r>
            <w:r w:rsidR="00B13EBF" w:rsidRPr="00B13EBF">
              <w:rPr>
                <w:rFonts w:ascii="Times New Roman" w:eastAsia="Calibri" w:hAnsi="Times New Roman" w:cs="Times New Roman"/>
                <w:sz w:val="20"/>
                <w:szCs w:val="20"/>
                <w:lang w:val="en-CA"/>
              </w:rPr>
              <w:t xml:space="preserve">to the principles of </w:t>
            </w:r>
            <w:r w:rsidR="00B13EBF" w:rsidRPr="00B13EBF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Realist Evaluation</w:t>
            </w:r>
            <w:r w:rsidR="00B13EBF" w:rsidRPr="00B13EB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CA"/>
              </w:rPr>
              <w:t>4</w:t>
            </w:r>
            <w:r w:rsidR="00B13EBF" w:rsidRPr="00B13EBF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to arrive at a refined theory of </w:t>
            </w:r>
            <w:r w:rsidR="004F79D0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the </w:t>
            </w:r>
            <w:r w:rsidR="00B13EBF" w:rsidRPr="00B13EBF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intervention.</w:t>
            </w:r>
          </w:p>
        </w:tc>
      </w:tr>
    </w:tbl>
    <w:p w14:paraId="10DCACE3" w14:textId="77777777" w:rsidR="008A32AC" w:rsidRPr="00675BAD" w:rsidRDefault="008A32AC" w:rsidP="00634EB5">
      <w:pPr>
        <w:spacing w:after="120"/>
        <w:ind w:left="159" w:hanging="159"/>
        <w:rPr>
          <w:rFonts w:ascii="Arial" w:hAnsi="Arial" w:cs="Arial"/>
          <w:noProof/>
          <w:sz w:val="19"/>
          <w:szCs w:val="19"/>
          <w:lang w:val="en-CA"/>
        </w:rPr>
      </w:pPr>
      <w:r w:rsidRPr="00675BAD">
        <w:rPr>
          <w:rFonts w:ascii="Arial" w:hAnsi="Arial" w:cs="Arial"/>
          <w:b/>
          <w:noProof/>
          <w:sz w:val="19"/>
          <w:szCs w:val="19"/>
          <w:lang w:val="en-CA"/>
        </w:rPr>
        <w:t>R</w:t>
      </w:r>
      <w:r>
        <w:rPr>
          <w:rFonts w:ascii="Arial" w:hAnsi="Arial" w:cs="Arial"/>
          <w:b/>
          <w:noProof/>
          <w:sz w:val="19"/>
          <w:szCs w:val="19"/>
          <w:lang w:val="en-CA"/>
        </w:rPr>
        <w:t>eferences</w:t>
      </w:r>
      <w:r w:rsidRPr="00675BAD">
        <w:rPr>
          <w:rFonts w:ascii="Arial" w:hAnsi="Arial" w:cs="Arial"/>
          <w:noProof/>
          <w:sz w:val="19"/>
          <w:szCs w:val="19"/>
          <w:lang w:val="en-CA"/>
        </w:rPr>
        <w:t>:</w:t>
      </w:r>
    </w:p>
    <w:p w14:paraId="7CE1397B" w14:textId="120DF344" w:rsidR="008A32AC" w:rsidRPr="00634EB5" w:rsidRDefault="008A32AC" w:rsidP="008A32AC">
      <w:pPr>
        <w:spacing w:after="0" w:line="240" w:lineRule="auto"/>
        <w:ind w:left="142" w:hanging="142"/>
        <w:rPr>
          <w:rFonts w:ascii="Times New Roman" w:hAnsi="Times New Roman" w:cs="Times New Roman"/>
          <w:bCs/>
          <w:sz w:val="20"/>
          <w:szCs w:val="20"/>
          <w:vertAlign w:val="superscript"/>
          <w:lang w:val="en-CA"/>
        </w:rPr>
      </w:pPr>
      <w:r w:rsidRPr="00634EB5">
        <w:rPr>
          <w:rFonts w:ascii="Times New Roman" w:hAnsi="Times New Roman" w:cs="Times New Roman"/>
          <w:bCs/>
          <w:sz w:val="20"/>
          <w:szCs w:val="20"/>
          <w:vertAlign w:val="superscript"/>
          <w:lang w:val="en-CA"/>
        </w:rPr>
        <w:t xml:space="preserve">1 </w:t>
      </w:r>
      <w:r w:rsidRPr="00634EB5">
        <w:rPr>
          <w:rFonts w:ascii="Times New Roman" w:hAnsi="Times New Roman" w:cs="Times New Roman"/>
          <w:bCs/>
          <w:sz w:val="20"/>
          <w:szCs w:val="20"/>
          <w:vertAlign w:val="superscript"/>
          <w:lang w:val="en-CA"/>
        </w:rPr>
        <w:tab/>
      </w:r>
      <w:proofErr w:type="spellStart"/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>Callon</w:t>
      </w:r>
      <w:proofErr w:type="spellEnd"/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M. Techno-economic networks and irreversibility. In: Law J, 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editor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. A 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s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ociology of 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m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onsters: 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e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ssays on 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p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ower, 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t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echnology, and 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d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>omination. L</w:t>
      </w:r>
      <w:r w:rsidR="00972C96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ondon: Routledge, 1991. pp 132-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>64.</w:t>
      </w:r>
    </w:p>
    <w:p w14:paraId="67672CA7" w14:textId="7FFA149F" w:rsidR="008A32AC" w:rsidRPr="00634EB5" w:rsidRDefault="008A32AC" w:rsidP="008A32AC">
      <w:pPr>
        <w:spacing w:after="0" w:line="240" w:lineRule="auto"/>
        <w:ind w:left="142" w:hanging="142"/>
        <w:rPr>
          <w:rFonts w:ascii="Times New Roman" w:hAnsi="Times New Roman" w:cs="Times New Roman"/>
          <w:bCs/>
          <w:sz w:val="20"/>
          <w:szCs w:val="20"/>
          <w:lang w:val="en-CA"/>
        </w:rPr>
      </w:pPr>
      <w:r w:rsidRPr="00634EB5">
        <w:rPr>
          <w:rFonts w:ascii="Times New Roman" w:hAnsi="Times New Roman" w:cs="Times New Roman"/>
          <w:bCs/>
          <w:sz w:val="20"/>
          <w:szCs w:val="20"/>
          <w:vertAlign w:val="superscript"/>
          <w:lang w:val="en-CA"/>
        </w:rPr>
        <w:t>2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ab/>
      </w:r>
      <w:proofErr w:type="spellStart"/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>Hawe</w:t>
      </w:r>
      <w:proofErr w:type="spellEnd"/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P, Di Ruggiero E, </w:t>
      </w:r>
      <w:proofErr w:type="gramStart"/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>Cohen</w:t>
      </w:r>
      <w:proofErr w:type="gramEnd"/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E: Frequently asked questions about population health intervention research. Can J Public Health</w:t>
      </w:r>
      <w:r w:rsidR="006B2FB2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. 2012</w:t>
      </w:r>
      <w:proofErr w:type="gramStart"/>
      <w:r w:rsidR="006B2FB2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;103</w:t>
      </w:r>
      <w:proofErr w:type="gramEnd"/>
      <w:r w:rsidR="006B2FB2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(6):e468-e71.</w:t>
      </w:r>
    </w:p>
    <w:p w14:paraId="7C28DE01" w14:textId="7838A282" w:rsidR="008A32AC" w:rsidRPr="00634EB5" w:rsidRDefault="008A32AC" w:rsidP="008A32AC">
      <w:pPr>
        <w:spacing w:after="0" w:line="240" w:lineRule="auto"/>
        <w:ind w:left="142" w:hanging="142"/>
        <w:rPr>
          <w:rFonts w:ascii="Times New Roman" w:hAnsi="Times New Roman" w:cs="Times New Roman"/>
          <w:bCs/>
          <w:sz w:val="20"/>
          <w:szCs w:val="20"/>
          <w:lang w:val="en-CA"/>
        </w:rPr>
      </w:pPr>
      <w:r w:rsidRPr="00634EB5">
        <w:rPr>
          <w:rFonts w:ascii="Times New Roman" w:hAnsi="Times New Roman" w:cs="Times New Roman"/>
          <w:bCs/>
          <w:sz w:val="20"/>
          <w:szCs w:val="20"/>
          <w:vertAlign w:val="superscript"/>
          <w:lang w:val="en-CA"/>
        </w:rPr>
        <w:t>3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ab/>
      </w:r>
      <w:r w:rsidR="004F79D0"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Canadian Institutes of Health Research (CIHR). </w:t>
      </w:r>
      <w:r w:rsidR="00BB01EC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Knowledge translation at CIHR</w:t>
      </w:r>
      <w:r w:rsidR="006B2FB2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.</w:t>
      </w:r>
      <w:r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20</w:t>
      </w:r>
      <w:r w:rsidR="004019E0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10</w:t>
      </w:r>
      <w:r w:rsidR="00BB01EC"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. </w:t>
      </w:r>
      <w:hyperlink r:id="rId6" w:history="1">
        <w:r w:rsidR="004019E0" w:rsidRPr="00634EB5">
          <w:rPr>
            <w:rStyle w:val="Lienhypertexte"/>
            <w:rFonts w:ascii="Times New Roman" w:hAnsi="Times New Roman" w:cs="Times New Roman"/>
            <w:bCs/>
            <w:color w:val="auto"/>
            <w:sz w:val="20"/>
            <w:szCs w:val="20"/>
            <w:lang w:val="en-CA"/>
          </w:rPr>
          <w:t>http://www.cihr-irsc.gc.ca/e/29418.html</w:t>
        </w:r>
      </w:hyperlink>
      <w:r w:rsidR="00BB01EC" w:rsidRPr="00634EB5">
        <w:rPr>
          <w:rFonts w:ascii="Times New Roman" w:hAnsi="Times New Roman" w:cs="Times New Roman"/>
          <w:bCs/>
          <w:sz w:val="20"/>
          <w:szCs w:val="20"/>
          <w:lang w:val="en-CA"/>
        </w:rPr>
        <w:t>.</w:t>
      </w:r>
      <w:r w:rsidR="004019E0" w:rsidRPr="00634EB5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Accessed 20 Sept 2015.</w:t>
      </w:r>
    </w:p>
    <w:p w14:paraId="64FF919A" w14:textId="7B23A8C0" w:rsidR="006A16CB" w:rsidRPr="00634EB5" w:rsidRDefault="008A32AC" w:rsidP="006A16CB">
      <w:pPr>
        <w:pStyle w:val="EndNoteBibliography"/>
        <w:ind w:left="142" w:hanging="142"/>
        <w:rPr>
          <w:bCs/>
          <w:noProof w:val="0"/>
          <w:sz w:val="20"/>
          <w:lang w:val="en-CA"/>
        </w:rPr>
      </w:pPr>
      <w:r w:rsidRPr="00634EB5">
        <w:rPr>
          <w:bCs/>
          <w:sz w:val="20"/>
          <w:vertAlign w:val="superscript"/>
          <w:lang w:val="en-CA"/>
        </w:rPr>
        <w:t>4</w:t>
      </w:r>
      <w:r w:rsidR="006A16CB" w:rsidRPr="00634EB5">
        <w:rPr>
          <w:bCs/>
          <w:sz w:val="20"/>
          <w:lang w:val="en-CA"/>
        </w:rPr>
        <w:t xml:space="preserve"> </w:t>
      </w:r>
      <w:r w:rsidR="006A16CB" w:rsidRPr="00634EB5">
        <w:rPr>
          <w:bCs/>
          <w:noProof w:val="0"/>
          <w:sz w:val="20"/>
          <w:lang w:val="en-CA"/>
        </w:rPr>
        <w:t xml:space="preserve">Pawson R, Tilley N. Realist evaluation. Magenta Text. 2004. </w:t>
      </w:r>
      <w:hyperlink r:id="rId7" w:history="1">
        <w:r w:rsidR="006A16CB" w:rsidRPr="00634EB5">
          <w:rPr>
            <w:bCs/>
            <w:noProof w:val="0"/>
            <w:sz w:val="20"/>
            <w:lang w:val="en-CA"/>
          </w:rPr>
          <w:t>http://www.communitymatters.com.au/RE_chapter.pdf</w:t>
        </w:r>
      </w:hyperlink>
      <w:r w:rsidR="006A16CB" w:rsidRPr="00634EB5">
        <w:rPr>
          <w:bCs/>
          <w:noProof w:val="0"/>
          <w:sz w:val="20"/>
          <w:lang w:val="en-CA"/>
        </w:rPr>
        <w:t>. Accessed 20 sept 2015.</w:t>
      </w:r>
    </w:p>
    <w:p w14:paraId="2E114B3A" w14:textId="77777777" w:rsidR="006A16CB" w:rsidRPr="00C14CC9" w:rsidRDefault="006A16CB" w:rsidP="006A16CB">
      <w:pPr>
        <w:pStyle w:val="EndNoteBibliography"/>
      </w:pPr>
    </w:p>
    <w:p w14:paraId="46D9B650" w14:textId="0B916C97" w:rsidR="008A32AC" w:rsidRPr="006A16CB" w:rsidRDefault="008A32AC" w:rsidP="008A32AC">
      <w:pPr>
        <w:spacing w:after="0" w:line="240" w:lineRule="auto"/>
        <w:ind w:left="142" w:hanging="142"/>
        <w:rPr>
          <w:bCs/>
          <w:sz w:val="20"/>
          <w:szCs w:val="20"/>
          <w:lang w:val="en-US"/>
        </w:rPr>
      </w:pPr>
    </w:p>
    <w:p w14:paraId="2933EEE9" w14:textId="77777777" w:rsidR="004143C7" w:rsidRPr="00B13EBF" w:rsidRDefault="004143C7" w:rsidP="00EF58C9">
      <w:pPr>
        <w:keepNext/>
        <w:spacing w:before="60" w:line="480" w:lineRule="auto"/>
        <w:rPr>
          <w:lang w:val="en-CA"/>
        </w:rPr>
      </w:pPr>
    </w:p>
    <w:p w14:paraId="71594B59" w14:textId="77777777" w:rsidR="00886871" w:rsidRPr="00BB01EC" w:rsidRDefault="00634EB5" w:rsidP="00BB01EC">
      <w:pPr>
        <w:keepNext/>
        <w:spacing w:before="60" w:line="480" w:lineRule="auto"/>
        <w:rPr>
          <w:sz w:val="24"/>
          <w:szCs w:val="24"/>
          <w:lang w:val="en-CA"/>
        </w:rPr>
      </w:pPr>
      <w:bookmarkStart w:id="0" w:name="_GoBack"/>
      <w:bookmarkEnd w:id="0"/>
    </w:p>
    <w:sectPr w:rsidR="00886871" w:rsidRPr="00BB01E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D17F7"/>
    <w:multiLevelType w:val="hybridMultilevel"/>
    <w:tmpl w:val="167AB4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62683"/>
    <w:multiLevelType w:val="hybridMultilevel"/>
    <w:tmpl w:val="D0B0A1E0"/>
    <w:lvl w:ilvl="0" w:tplc="0C0C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A66E3"/>
    <w:multiLevelType w:val="hybridMultilevel"/>
    <w:tmpl w:val="842866C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062D6"/>
    <w:multiLevelType w:val="hybridMultilevel"/>
    <w:tmpl w:val="CB96CF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56DCC"/>
    <w:multiLevelType w:val="hybridMultilevel"/>
    <w:tmpl w:val="F0DEF4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C7220"/>
    <w:multiLevelType w:val="hybridMultilevel"/>
    <w:tmpl w:val="17B4B6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BAF"/>
    <w:rsid w:val="0000516A"/>
    <w:rsid w:val="000D5E1B"/>
    <w:rsid w:val="000F5435"/>
    <w:rsid w:val="0015289F"/>
    <w:rsid w:val="001E3EE5"/>
    <w:rsid w:val="00223348"/>
    <w:rsid w:val="002734CB"/>
    <w:rsid w:val="00345A4D"/>
    <w:rsid w:val="00397011"/>
    <w:rsid w:val="003B28BE"/>
    <w:rsid w:val="003C1CCF"/>
    <w:rsid w:val="004019E0"/>
    <w:rsid w:val="004143C7"/>
    <w:rsid w:val="00444355"/>
    <w:rsid w:val="004F79D0"/>
    <w:rsid w:val="006016CE"/>
    <w:rsid w:val="00610C92"/>
    <w:rsid w:val="006205CC"/>
    <w:rsid w:val="00634EB5"/>
    <w:rsid w:val="006A16CB"/>
    <w:rsid w:val="006B2FB2"/>
    <w:rsid w:val="007C278B"/>
    <w:rsid w:val="007D653E"/>
    <w:rsid w:val="008232F2"/>
    <w:rsid w:val="00885623"/>
    <w:rsid w:val="008A32AC"/>
    <w:rsid w:val="00955180"/>
    <w:rsid w:val="00972C96"/>
    <w:rsid w:val="00A85903"/>
    <w:rsid w:val="00AD28A9"/>
    <w:rsid w:val="00B041A1"/>
    <w:rsid w:val="00B13EBF"/>
    <w:rsid w:val="00BA6679"/>
    <w:rsid w:val="00BB01EC"/>
    <w:rsid w:val="00BB5DEE"/>
    <w:rsid w:val="00BC1AFE"/>
    <w:rsid w:val="00BF4BAF"/>
    <w:rsid w:val="00CB561D"/>
    <w:rsid w:val="00D04479"/>
    <w:rsid w:val="00D330BE"/>
    <w:rsid w:val="00E66ACB"/>
    <w:rsid w:val="00E908F2"/>
    <w:rsid w:val="00EF58C9"/>
    <w:rsid w:val="00F4291C"/>
    <w:rsid w:val="00FE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ED57C"/>
  <w15:chartTrackingRefBased/>
  <w15:docId w15:val="{370E9470-6763-4D7C-B22F-3205F0C9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734C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734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39"/>
    <w:rsid w:val="002734CB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4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4355"/>
    <w:rPr>
      <w:rFonts w:ascii="Segoe UI" w:hAnsi="Segoe UI" w:cs="Segoe UI"/>
      <w:sz w:val="18"/>
      <w:szCs w:val="18"/>
    </w:rPr>
  </w:style>
  <w:style w:type="table" w:customStyle="1" w:styleId="Grilledutableau3">
    <w:name w:val="Grille du tableau3"/>
    <w:basedOn w:val="TableauNormal"/>
    <w:next w:val="Grilledutableau"/>
    <w:uiPriority w:val="59"/>
    <w:rsid w:val="00397011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39"/>
    <w:rsid w:val="00EF58C9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unhideWhenUsed/>
    <w:rsid w:val="00B041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rsid w:val="00B041A1"/>
    <w:rPr>
      <w:rFonts w:ascii="Courier New" w:eastAsia="Times New Roman" w:hAnsi="Courier New" w:cs="Courier New"/>
      <w:sz w:val="20"/>
      <w:szCs w:val="20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4F79D0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016CE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16CE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16CE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16CE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16CE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ar"/>
    <w:rsid w:val="006A16CB"/>
    <w:pPr>
      <w:spacing w:after="0" w:line="240" w:lineRule="auto"/>
    </w:pPr>
    <w:rPr>
      <w:rFonts w:ascii="Times New Roman" w:hAnsi="Times New Roman" w:cs="Times New Roman"/>
      <w:noProof/>
      <w:sz w:val="24"/>
      <w:szCs w:val="20"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6A16CB"/>
    <w:rPr>
      <w:rFonts w:ascii="Times New Roman" w:hAnsi="Times New Roman" w:cs="Times New Roman"/>
      <w:noProof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munitymatters.com.au/RE_chapte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hr-irsc.gc.ca/e/29418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436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 de S Faculté de Médecine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Perron, Marie-Claude</dc:creator>
  <cp:keywords/>
  <dc:description/>
  <cp:lastModifiedBy>Perron, Marie-Claude</cp:lastModifiedBy>
  <cp:revision>6</cp:revision>
  <dcterms:created xsi:type="dcterms:W3CDTF">2017-09-20T15:44:00Z</dcterms:created>
  <dcterms:modified xsi:type="dcterms:W3CDTF">2017-09-21T14:15:00Z</dcterms:modified>
</cp:coreProperties>
</file>