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FCB" w:rsidRPr="002C22C0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b/>
          <w:kern w:val="2"/>
          <w:sz w:val="28"/>
          <w:szCs w:val="28"/>
        </w:rPr>
      </w:pPr>
      <w:r w:rsidRPr="002C22C0">
        <w:rPr>
          <w:rFonts w:ascii="Calibri" w:hAnsi="Calibri" w:cs="Times New Roman"/>
          <w:b/>
          <w:kern w:val="2"/>
          <w:sz w:val="28"/>
          <w:szCs w:val="28"/>
        </w:rPr>
        <w:t xml:space="preserve">Supplementary </w:t>
      </w:r>
      <w:r w:rsidR="00076963">
        <w:rPr>
          <w:rFonts w:ascii="Calibri" w:hAnsi="Calibri" w:cs="Times New Roman" w:hint="eastAsia"/>
          <w:b/>
          <w:kern w:val="2"/>
          <w:sz w:val="28"/>
          <w:szCs w:val="28"/>
        </w:rPr>
        <w:t>Tables</w:t>
      </w:r>
      <w:r w:rsidRPr="002C22C0">
        <w:rPr>
          <w:rFonts w:ascii="Calibri" w:hAnsi="Calibri" w:cs="Times New Roman" w:hint="eastAsia"/>
          <w:b/>
          <w:kern w:val="2"/>
          <w:sz w:val="28"/>
          <w:szCs w:val="28"/>
        </w:rPr>
        <w:t xml:space="preserve"> </w:t>
      </w:r>
    </w:p>
    <w:p w:rsidR="00CB4FCB" w:rsidRPr="00CB4FCB" w:rsidRDefault="00CB4FCB" w:rsidP="00CB4FCB">
      <w:pPr>
        <w:widowControl w:val="0"/>
        <w:spacing w:after="0" w:line="240" w:lineRule="auto"/>
        <w:rPr>
          <w:rFonts w:ascii="Calibri" w:hAnsi="Calibri" w:cs="Times New Roman"/>
          <w:b/>
          <w:kern w:val="2"/>
          <w:sz w:val="20"/>
          <w:szCs w:val="20"/>
        </w:rPr>
      </w:pPr>
      <w:r w:rsidRPr="00CB4FCB">
        <w:rPr>
          <w:rFonts w:ascii="Calibri" w:hAnsi="Calibri" w:cs="Times New Roman"/>
          <w:b/>
          <w:kern w:val="2"/>
          <w:sz w:val="20"/>
          <w:szCs w:val="20"/>
        </w:rPr>
        <w:t xml:space="preserve">Supplement to: </w:t>
      </w:r>
      <w:r w:rsidR="000A6913" w:rsidRPr="000A6913">
        <w:rPr>
          <w:rFonts w:ascii="Calibri" w:hAnsi="Calibri" w:cs="Times New Roman"/>
          <w:b/>
          <w:kern w:val="2"/>
          <w:sz w:val="20"/>
          <w:szCs w:val="20"/>
        </w:rPr>
        <w:t>Patients’ perceptions of interactions with hospital staff are associated with hospital readmissions: A national survey of 4535 hospitals</w:t>
      </w:r>
      <w:r w:rsidR="000A6913">
        <w:rPr>
          <w:rFonts w:ascii="Calibri" w:hAnsi="Calibri" w:cs="Times New Roman" w:hint="eastAsia"/>
          <w:b/>
          <w:kern w:val="2"/>
          <w:sz w:val="20"/>
          <w:szCs w:val="20"/>
        </w:rPr>
        <w:t xml:space="preserve"> </w:t>
      </w:r>
    </w:p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b/>
          <w:kern w:val="2"/>
          <w:sz w:val="20"/>
          <w:szCs w:val="20"/>
        </w:rPr>
      </w:pPr>
    </w:p>
    <w:p w:rsidR="00CB4FCB" w:rsidRDefault="00076963" w:rsidP="00CB4FCB">
      <w:pPr>
        <w:widowControl w:val="0"/>
        <w:spacing w:after="0" w:line="240" w:lineRule="auto"/>
        <w:rPr>
          <w:rFonts w:ascii="Calibri" w:hAnsi="Calibri" w:cs="Times New Roman"/>
          <w:b/>
          <w:kern w:val="2"/>
          <w:sz w:val="20"/>
          <w:szCs w:val="20"/>
        </w:rPr>
      </w:pPr>
      <w:bookmarkStart w:id="0" w:name="OLE_LINK5"/>
      <w:bookmarkStart w:id="1" w:name="OLE_LINK6"/>
      <w:r w:rsidRPr="00076963">
        <w:rPr>
          <w:rFonts w:ascii="Calibri" w:hAnsi="Calibri" w:cs="Times New Roman"/>
          <w:b/>
          <w:kern w:val="2"/>
          <w:sz w:val="20"/>
          <w:szCs w:val="20"/>
        </w:rPr>
        <w:t>Supplementary</w:t>
      </w:r>
      <w:r w:rsidR="00CB4FCB" w:rsidRPr="00CB4FCB">
        <w:rPr>
          <w:rFonts w:ascii="Calibri" w:hAnsi="Calibri" w:cs="Times New Roman"/>
          <w:b/>
          <w:kern w:val="2"/>
          <w:sz w:val="20"/>
          <w:szCs w:val="20"/>
        </w:rPr>
        <w:t xml:space="preserve"> Tables: Multivariable regressions</w:t>
      </w:r>
      <w:r w:rsidR="00601AC8">
        <w:rPr>
          <w:rFonts w:ascii="Calibri" w:hAnsi="Calibri" w:cs="Times New Roman" w:hint="eastAsia"/>
          <w:b/>
          <w:kern w:val="2"/>
          <w:sz w:val="20"/>
          <w:szCs w:val="20"/>
        </w:rPr>
        <w:t xml:space="preserve"> - </w:t>
      </w:r>
      <w:r w:rsidR="00CB4FCB" w:rsidRPr="00CB4FCB">
        <w:rPr>
          <w:rFonts w:ascii="Calibri" w:hAnsi="Calibri" w:cs="Times New Roman"/>
          <w:b/>
          <w:kern w:val="2"/>
          <w:sz w:val="20"/>
          <w:szCs w:val="20"/>
        </w:rPr>
        <w:t xml:space="preserve">Predictors of 30-day readmission rates by clinical conditions </w:t>
      </w:r>
    </w:p>
    <w:p w:rsidR="00076963" w:rsidRDefault="00076963" w:rsidP="00CB4FCB">
      <w:pPr>
        <w:widowControl w:val="0"/>
        <w:spacing w:after="0" w:line="240" w:lineRule="auto"/>
        <w:rPr>
          <w:rFonts w:ascii="Calibri" w:hAnsi="Calibri" w:cs="Times New Roman"/>
          <w:b/>
          <w:kern w:val="2"/>
          <w:sz w:val="20"/>
          <w:szCs w:val="20"/>
        </w:rPr>
      </w:pPr>
    </w:p>
    <w:p w:rsidR="00076963" w:rsidRDefault="00076963" w:rsidP="00CB4FCB">
      <w:pPr>
        <w:widowControl w:val="0"/>
        <w:spacing w:after="0" w:line="240" w:lineRule="auto"/>
        <w:rPr>
          <w:rFonts w:ascii="Calibri" w:hAnsi="Calibri" w:cs="Times New Roman"/>
          <w:b/>
          <w:kern w:val="2"/>
          <w:sz w:val="20"/>
          <w:szCs w:val="20"/>
        </w:rPr>
      </w:pPr>
    </w:p>
    <w:p w:rsidR="00076963" w:rsidRDefault="00076963" w:rsidP="00CB4FCB">
      <w:pPr>
        <w:widowControl w:val="0"/>
        <w:spacing w:after="0" w:line="240" w:lineRule="auto"/>
        <w:rPr>
          <w:rFonts w:ascii="Calibri" w:hAnsi="Calibri" w:cs="Times New Roman"/>
          <w:b/>
          <w:kern w:val="2"/>
          <w:sz w:val="20"/>
          <w:szCs w:val="20"/>
        </w:rPr>
      </w:pPr>
    </w:p>
    <w:p w:rsidR="00076963" w:rsidRDefault="00076963" w:rsidP="00CB4FCB">
      <w:pPr>
        <w:widowControl w:val="0"/>
        <w:spacing w:after="0" w:line="240" w:lineRule="auto"/>
        <w:rPr>
          <w:rFonts w:ascii="Calibri" w:hAnsi="Calibri" w:cs="Times New Roman"/>
          <w:b/>
          <w:kern w:val="2"/>
          <w:sz w:val="20"/>
          <w:szCs w:val="20"/>
        </w:rPr>
      </w:pPr>
    </w:p>
    <w:p w:rsidR="00076963" w:rsidRPr="00CB4FCB" w:rsidRDefault="00076963" w:rsidP="00CB4FCB">
      <w:pPr>
        <w:widowControl w:val="0"/>
        <w:spacing w:after="0" w:line="240" w:lineRule="auto"/>
        <w:rPr>
          <w:rFonts w:ascii="Calibri" w:hAnsi="Calibri" w:cs="Times New Roman"/>
          <w:b/>
          <w:kern w:val="2"/>
          <w:sz w:val="20"/>
          <w:szCs w:val="20"/>
        </w:rPr>
      </w:pPr>
    </w:p>
    <w:bookmarkEnd w:id="0"/>
    <w:bookmarkEnd w:id="1"/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kern w:val="2"/>
          <w:sz w:val="20"/>
          <w:szCs w:val="20"/>
        </w:rPr>
      </w:pPr>
    </w:p>
    <w:tbl>
      <w:tblPr>
        <w:tblStyle w:val="a5"/>
        <w:tblW w:w="0" w:type="auto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134"/>
        <w:gridCol w:w="851"/>
        <w:gridCol w:w="1133"/>
        <w:gridCol w:w="851"/>
        <w:gridCol w:w="1133"/>
        <w:gridCol w:w="852"/>
      </w:tblGrid>
      <w:tr w:rsidR="00CB4FCB" w:rsidRPr="00CB4FCB" w:rsidTr="00C515FD">
        <w:trPr>
          <w:trHeight w:val="243"/>
          <w:jc w:val="center"/>
        </w:trPr>
        <w:tc>
          <w:tcPr>
            <w:tcW w:w="9039" w:type="dxa"/>
            <w:gridSpan w:val="7"/>
            <w:tcBorders>
              <w:top w:val="nil"/>
              <w:bottom w:val="single" w:sz="4" w:space="0" w:color="auto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CB4FCB">
              <w:rPr>
                <w:rFonts w:cs="Times New Roman"/>
                <w:b/>
                <w:sz w:val="20"/>
                <w:szCs w:val="20"/>
              </w:rPr>
              <w:t>Table S1. Predictors of 30-day readmission for acute myocardial infarction by hospital readmission rate</w:t>
            </w:r>
          </w:p>
        </w:tc>
      </w:tr>
      <w:tr w:rsidR="00CB4FCB" w:rsidRPr="00CB4FCB" w:rsidTr="00C515FD">
        <w:trPr>
          <w:trHeight w:val="249"/>
          <w:jc w:val="center"/>
        </w:trPr>
        <w:tc>
          <w:tcPr>
            <w:tcW w:w="3085" w:type="dxa"/>
            <w:vMerge w:val="restart"/>
            <w:tcBorders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 w:hint="eastAsia"/>
                <w:sz w:val="20"/>
                <w:szCs w:val="20"/>
              </w:rPr>
              <w:t xml:space="preserve">Variables </w:t>
            </w:r>
          </w:p>
        </w:tc>
        <w:tc>
          <w:tcPr>
            <w:tcW w:w="5954" w:type="dxa"/>
            <w:gridSpan w:val="6"/>
            <w:tcBorders>
              <w:left w:val="nil"/>
              <w:bottom w:val="single" w:sz="4" w:space="0" w:color="auto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Hospital stratum </w:t>
            </w:r>
            <w:r w:rsidRPr="00CB4FCB">
              <w:rPr>
                <w:rFonts w:cs="Times New Roman" w:hint="eastAsia"/>
                <w:sz w:val="20"/>
                <w:szCs w:val="20"/>
              </w:rPr>
              <w:t xml:space="preserve">by </w:t>
            </w:r>
            <w:r w:rsidRPr="00CB4FCB">
              <w:rPr>
                <w:rFonts w:cs="Times New Roman"/>
                <w:sz w:val="20"/>
                <w:szCs w:val="20"/>
              </w:rPr>
              <w:t>readmission</w:t>
            </w:r>
            <w:r w:rsidRPr="00CB4FCB">
              <w:rPr>
                <w:rFonts w:cs="Times New Roman" w:hint="eastAsia"/>
                <w:sz w:val="20"/>
                <w:szCs w:val="20"/>
              </w:rPr>
              <w:t xml:space="preserve"> rates</w:t>
            </w:r>
          </w:p>
        </w:tc>
      </w:tr>
      <w:tr w:rsidR="00CB4FCB" w:rsidRPr="00CB4FCB" w:rsidTr="00C515FD">
        <w:trPr>
          <w:trHeight w:val="249"/>
          <w:jc w:val="center"/>
        </w:trPr>
        <w:tc>
          <w:tcPr>
            <w:tcW w:w="3085" w:type="dxa"/>
            <w:vMerge/>
            <w:tcBorders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lowest quartile</w:t>
            </w:r>
          </w:p>
        </w:tc>
        <w:tc>
          <w:tcPr>
            <w:tcW w:w="198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25</w:t>
            </w:r>
            <w:r w:rsidRPr="00CB4FCB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CB4FCB">
              <w:rPr>
                <w:rFonts w:cs="Times New Roman"/>
                <w:sz w:val="20"/>
                <w:szCs w:val="20"/>
              </w:rPr>
              <w:t>-75</w:t>
            </w:r>
            <w:r w:rsidRPr="00CB4FCB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CB4FCB">
              <w:rPr>
                <w:rFonts w:cs="Times New Roman"/>
                <w:sz w:val="20"/>
                <w:szCs w:val="20"/>
              </w:rPr>
              <w:t xml:space="preserve"> quartile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highest quartile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/>
            <w:tcBorders>
              <w:top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single" w:sz="4" w:space="0" w:color="auto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Responsiveness of hospital staff*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0.448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>-0.01</w:t>
            </w:r>
            <w:r w:rsidRPr="00CB4FCB">
              <w:rPr>
                <w:rFonts w:cs="Times New Roman" w:hint="eastAs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0.002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>-0.014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0.013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spacing w:line="24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Communication with nurses*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0.692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0.960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0.771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spacing w:line="24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Communication with doctor</w:t>
            </w:r>
            <w:r w:rsidRPr="00CB4FCB">
              <w:rPr>
                <w:rFonts w:cs="Times New Roman" w:hint="eastAsia"/>
                <w:sz w:val="20"/>
                <w:szCs w:val="20"/>
              </w:rPr>
              <w:t>s</w:t>
            </w:r>
            <w:r w:rsidRPr="00CB4FCB">
              <w:rPr>
                <w:rFonts w:cs="Times New Roman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0.589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0.271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0.327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Hospital ownership (ref: Government)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For-profit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-0.088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0.363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-0.012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0.752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-0.001 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0.991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Non-profit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-0.062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0.403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-0.026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0.343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-0.041 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0.661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Hospital type (ref: Acute care hospitals)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Critical Access Hospitals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0.224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0.024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-0.056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0.253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-0.411 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Emergency service provided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0.017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0.951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0.122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0.121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0.181 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0.017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15.874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17.697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19.360 </w:t>
            </w:r>
          </w:p>
        </w:tc>
        <w:tc>
          <w:tcPr>
            <w:tcW w:w="852" w:type="dxa"/>
            <w:tcBorders>
              <w:top w:val="nil"/>
              <w:lef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</w:tr>
    </w:tbl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kern w:val="2"/>
          <w:sz w:val="20"/>
          <w:szCs w:val="20"/>
        </w:rPr>
      </w:pPr>
      <w:r w:rsidRPr="00CB4FCB">
        <w:rPr>
          <w:rFonts w:ascii="Calibri" w:hAnsi="Calibri" w:cs="Times New Roman"/>
          <w:kern w:val="2"/>
          <w:sz w:val="20"/>
          <w:szCs w:val="20"/>
        </w:rPr>
        <w:t>* P &lt;0.05 was considered statistically significant using one-tailed</w:t>
      </w:r>
      <w:r w:rsidRPr="00CB4FCB">
        <w:rPr>
          <w:rFonts w:ascii="Calibri" w:hAnsi="Calibri" w:cs="Times New Roman" w:hint="eastAsia"/>
          <w:kern w:val="2"/>
          <w:sz w:val="20"/>
          <w:szCs w:val="20"/>
        </w:rPr>
        <w:t xml:space="preserve"> test.</w:t>
      </w:r>
      <w:r w:rsidRPr="00CB4FCB">
        <w:rPr>
          <w:rFonts w:ascii="Calibri" w:hAnsi="Calibri" w:cs="Times New Roman"/>
          <w:kern w:val="2"/>
          <w:sz w:val="20"/>
          <w:szCs w:val="20"/>
        </w:rPr>
        <w:t xml:space="preserve"> </w:t>
      </w:r>
    </w:p>
    <w:p w:rsidR="00CB4FCB" w:rsidRPr="00CB4FCB" w:rsidRDefault="00CB4FCB" w:rsidP="00CB4FCB">
      <w:pPr>
        <w:spacing w:after="0" w:line="240" w:lineRule="auto"/>
        <w:rPr>
          <w:rFonts w:ascii="Calibri" w:hAnsi="Calibri" w:cs="Times New Roman"/>
          <w:kern w:val="2"/>
          <w:sz w:val="20"/>
          <w:szCs w:val="20"/>
        </w:rPr>
      </w:pPr>
      <w:r w:rsidRPr="00CB4FCB">
        <w:rPr>
          <w:rFonts w:ascii="Calibri" w:hAnsi="Calibri" w:cs="Times New Roman"/>
          <w:kern w:val="2"/>
          <w:sz w:val="20"/>
          <w:szCs w:val="20"/>
        </w:rPr>
        <w:br w:type="page"/>
      </w:r>
    </w:p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kern w:val="2"/>
          <w:sz w:val="20"/>
          <w:szCs w:val="20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85"/>
        <w:gridCol w:w="1134"/>
        <w:gridCol w:w="851"/>
        <w:gridCol w:w="1134"/>
        <w:gridCol w:w="880"/>
        <w:gridCol w:w="1104"/>
        <w:gridCol w:w="851"/>
      </w:tblGrid>
      <w:tr w:rsidR="00CB4FCB" w:rsidRPr="00CB4FCB" w:rsidTr="00C515FD">
        <w:trPr>
          <w:trHeight w:val="20"/>
          <w:jc w:val="center"/>
        </w:trPr>
        <w:tc>
          <w:tcPr>
            <w:tcW w:w="90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CB4FCB">
              <w:rPr>
                <w:rFonts w:cs="Times New Roman"/>
                <w:b/>
                <w:sz w:val="20"/>
                <w:szCs w:val="20"/>
              </w:rPr>
              <w:t>Table S2. Multivariable predictors of 30-day readmission for chronic obstructive pulmonary disease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Variables</w:t>
            </w:r>
          </w:p>
        </w:tc>
        <w:tc>
          <w:tcPr>
            <w:tcW w:w="5954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Hospital stratum </w:t>
            </w:r>
            <w:r w:rsidRPr="00CB4FCB">
              <w:rPr>
                <w:rFonts w:cs="Times New Roman" w:hint="eastAsia"/>
                <w:sz w:val="20"/>
                <w:szCs w:val="20"/>
              </w:rPr>
              <w:t xml:space="preserve">by </w:t>
            </w:r>
            <w:r w:rsidRPr="00CB4FCB">
              <w:rPr>
                <w:rFonts w:cs="Times New Roman"/>
                <w:sz w:val="20"/>
                <w:szCs w:val="20"/>
              </w:rPr>
              <w:t>readmission</w:t>
            </w:r>
            <w:r w:rsidRPr="00CB4FCB">
              <w:rPr>
                <w:rFonts w:cs="Times New Roman" w:hint="eastAsia"/>
                <w:sz w:val="20"/>
                <w:szCs w:val="20"/>
              </w:rPr>
              <w:t xml:space="preserve"> rates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lowest quartile</w:t>
            </w:r>
          </w:p>
        </w:tc>
        <w:tc>
          <w:tcPr>
            <w:tcW w:w="201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25</w:t>
            </w:r>
            <w:r w:rsidRPr="00CB4FCB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CB4FCB">
              <w:rPr>
                <w:rFonts w:cs="Times New Roman"/>
                <w:sz w:val="20"/>
                <w:szCs w:val="20"/>
              </w:rPr>
              <w:t>-75</w:t>
            </w:r>
            <w:r w:rsidRPr="00CB4FCB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CB4FCB">
              <w:rPr>
                <w:rFonts w:cs="Times New Roman"/>
                <w:sz w:val="20"/>
                <w:szCs w:val="20"/>
              </w:rPr>
              <w:t xml:space="preserve"> quartile</w:t>
            </w:r>
          </w:p>
        </w:tc>
        <w:tc>
          <w:tcPr>
            <w:tcW w:w="195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highest quartile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Responsiveness of hospital staff*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0.138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-0.009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0.001 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-0.018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0.006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spacing w:line="24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Communication with nurses*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0.010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0.916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0.980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0.629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spacing w:line="24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Communication with doctor</w:t>
            </w:r>
            <w:r w:rsidRPr="00CB4FCB">
              <w:rPr>
                <w:rFonts w:cs="Times New Roman" w:hint="eastAsia"/>
                <w:sz w:val="20"/>
                <w:szCs w:val="20"/>
              </w:rPr>
              <w:t>s</w:t>
            </w:r>
            <w:r w:rsidRPr="00CB4FCB">
              <w:rPr>
                <w:rFonts w:cs="Times New Roman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0.917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0.623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0.010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0.726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Hospital ownership (ref: Government)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For-profit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-0.033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0.655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0.027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0.418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0.979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Non-profit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-0.072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0.159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0.020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0.446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0.094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0.333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Hospital type (ref: Acute care hospitals)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Critical Access Hospitals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0.203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-0.031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0.353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-0.242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0.003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Emergency service provided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-0.219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0.099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-0.017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0.785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0.160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0.384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18.498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20.436 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04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22.077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</w:tr>
    </w:tbl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kern w:val="2"/>
          <w:sz w:val="20"/>
          <w:szCs w:val="20"/>
        </w:rPr>
      </w:pPr>
      <w:r w:rsidRPr="00CB4FCB">
        <w:rPr>
          <w:rFonts w:ascii="Calibri" w:hAnsi="Calibri" w:cs="Times New Roman"/>
          <w:kern w:val="2"/>
          <w:sz w:val="20"/>
          <w:szCs w:val="20"/>
        </w:rPr>
        <w:t>* P &lt;0.05 was considered statistically significant using one-tailed</w:t>
      </w:r>
      <w:r w:rsidRPr="00CB4FCB">
        <w:rPr>
          <w:rFonts w:ascii="Calibri" w:hAnsi="Calibri" w:cs="Times New Roman" w:hint="eastAsia"/>
          <w:kern w:val="2"/>
          <w:sz w:val="20"/>
          <w:szCs w:val="20"/>
        </w:rPr>
        <w:t xml:space="preserve"> test.</w:t>
      </w:r>
      <w:r w:rsidRPr="00CB4FCB">
        <w:rPr>
          <w:rFonts w:ascii="Calibri" w:hAnsi="Calibri" w:cs="Times New Roman"/>
          <w:kern w:val="2"/>
          <w:sz w:val="20"/>
          <w:szCs w:val="20"/>
        </w:rPr>
        <w:t xml:space="preserve"> </w:t>
      </w:r>
    </w:p>
    <w:p w:rsidR="00CB4FCB" w:rsidRPr="00CB4FCB" w:rsidRDefault="00CB4FCB" w:rsidP="00CB4FCB">
      <w:pPr>
        <w:spacing w:after="0" w:line="240" w:lineRule="auto"/>
        <w:rPr>
          <w:rFonts w:ascii="Calibri" w:hAnsi="Calibri" w:cs="Times New Roman"/>
          <w:kern w:val="2"/>
          <w:sz w:val="20"/>
          <w:szCs w:val="20"/>
        </w:rPr>
      </w:pPr>
      <w:bookmarkStart w:id="2" w:name="_GoBack"/>
      <w:bookmarkEnd w:id="2"/>
      <w:r w:rsidRPr="00CB4FCB">
        <w:rPr>
          <w:rFonts w:ascii="Calibri" w:hAnsi="Calibri" w:cs="Times New Roman"/>
          <w:kern w:val="2"/>
          <w:sz w:val="20"/>
          <w:szCs w:val="20"/>
        </w:rPr>
        <w:br w:type="page"/>
      </w:r>
    </w:p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kern w:val="2"/>
          <w:sz w:val="20"/>
          <w:szCs w:val="20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85"/>
        <w:gridCol w:w="1134"/>
        <w:gridCol w:w="851"/>
        <w:gridCol w:w="1134"/>
        <w:gridCol w:w="880"/>
        <w:gridCol w:w="1104"/>
        <w:gridCol w:w="851"/>
      </w:tblGrid>
      <w:tr w:rsidR="00CB4FCB" w:rsidRPr="00CB4FCB" w:rsidTr="00C515FD">
        <w:trPr>
          <w:trHeight w:val="20"/>
          <w:jc w:val="center"/>
        </w:trPr>
        <w:tc>
          <w:tcPr>
            <w:tcW w:w="90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CB4FCB">
              <w:rPr>
                <w:rFonts w:cs="Times New Roman"/>
                <w:b/>
                <w:sz w:val="20"/>
                <w:szCs w:val="20"/>
              </w:rPr>
              <w:t>Table S3. Multivariable predictors of 30-day readmission for heart failure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Variables</w:t>
            </w:r>
          </w:p>
        </w:tc>
        <w:tc>
          <w:tcPr>
            <w:tcW w:w="5954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Hospital stratum </w:t>
            </w:r>
            <w:r w:rsidRPr="00CB4FCB">
              <w:rPr>
                <w:rFonts w:cs="Times New Roman" w:hint="eastAsia"/>
                <w:sz w:val="20"/>
                <w:szCs w:val="20"/>
              </w:rPr>
              <w:t xml:space="preserve">by </w:t>
            </w:r>
            <w:r w:rsidRPr="00CB4FCB">
              <w:rPr>
                <w:rFonts w:cs="Times New Roman"/>
                <w:sz w:val="20"/>
                <w:szCs w:val="20"/>
              </w:rPr>
              <w:t>readmission</w:t>
            </w:r>
            <w:r w:rsidRPr="00CB4FCB">
              <w:rPr>
                <w:rFonts w:cs="Times New Roman" w:hint="eastAsia"/>
                <w:sz w:val="20"/>
                <w:szCs w:val="20"/>
              </w:rPr>
              <w:t xml:space="preserve"> rates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lowest quartile</w:t>
            </w:r>
          </w:p>
        </w:tc>
        <w:tc>
          <w:tcPr>
            <w:tcW w:w="201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25</w:t>
            </w:r>
            <w:r w:rsidRPr="00CB4FCB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CB4FCB">
              <w:rPr>
                <w:rFonts w:cs="Times New Roman"/>
                <w:sz w:val="20"/>
                <w:szCs w:val="20"/>
              </w:rPr>
              <w:t>-75</w:t>
            </w:r>
            <w:r w:rsidRPr="00CB4FCB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CB4FCB">
              <w:rPr>
                <w:rFonts w:cs="Times New Roman"/>
                <w:sz w:val="20"/>
                <w:szCs w:val="20"/>
              </w:rPr>
              <w:t xml:space="preserve"> quartile</w:t>
            </w:r>
          </w:p>
        </w:tc>
        <w:tc>
          <w:tcPr>
            <w:tcW w:w="195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highest quartile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Responsiveness of hospital staff*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0.550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-0.006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0.048 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0.269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spacing w:line="24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Communication with nurses*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0.522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0.846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-0.013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0.181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spacing w:line="24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Communication with doctor</w:t>
            </w:r>
            <w:r w:rsidRPr="00CB4FCB">
              <w:rPr>
                <w:rFonts w:cs="Times New Roman" w:hint="eastAsia"/>
                <w:sz w:val="20"/>
                <w:szCs w:val="20"/>
              </w:rPr>
              <w:t>s</w:t>
            </w:r>
            <w:r w:rsidRPr="00CB4FCB">
              <w:rPr>
                <w:rFonts w:cs="Times New Roman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0.014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0.925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0.263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0.010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0.804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Hospital ownership (ref: Government)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For-profit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-0.052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0.576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-0.012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0.840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0.234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0.062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Non-profit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-0.141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0.107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-0.071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0.031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0.166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0.039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Hospital type (ref: Acute care hospitals)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Critical Access Hospitals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0.433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-0.066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0.077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-0.455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0.002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Emergency service provided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-0.207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0.214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-0.139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0.276 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0.286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0.151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19.818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22.972 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04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24.638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</w:tr>
    </w:tbl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kern w:val="2"/>
          <w:sz w:val="20"/>
          <w:szCs w:val="20"/>
        </w:rPr>
      </w:pPr>
      <w:r w:rsidRPr="00CB4FCB">
        <w:rPr>
          <w:rFonts w:ascii="Calibri" w:hAnsi="Calibri" w:cs="Times New Roman"/>
          <w:kern w:val="2"/>
          <w:sz w:val="20"/>
          <w:szCs w:val="20"/>
        </w:rPr>
        <w:t>* P &lt;0.05 was considered statistically significant using one-tailed</w:t>
      </w:r>
      <w:r w:rsidRPr="00CB4FCB">
        <w:rPr>
          <w:rFonts w:ascii="Calibri" w:hAnsi="Calibri" w:cs="Times New Roman" w:hint="eastAsia"/>
          <w:kern w:val="2"/>
          <w:sz w:val="20"/>
          <w:szCs w:val="20"/>
        </w:rPr>
        <w:t xml:space="preserve"> test. </w:t>
      </w:r>
    </w:p>
    <w:p w:rsidR="00CB4FCB" w:rsidRPr="00CB4FCB" w:rsidRDefault="00CB4FCB" w:rsidP="00CB4FCB">
      <w:pPr>
        <w:spacing w:after="0" w:line="240" w:lineRule="auto"/>
        <w:rPr>
          <w:rFonts w:ascii="Calibri" w:hAnsi="Calibri" w:cs="Times New Roman"/>
          <w:kern w:val="2"/>
          <w:sz w:val="20"/>
          <w:szCs w:val="20"/>
        </w:rPr>
      </w:pPr>
      <w:r w:rsidRPr="00CB4FCB">
        <w:rPr>
          <w:rFonts w:ascii="Calibri" w:hAnsi="Calibri" w:cs="Times New Roman"/>
          <w:kern w:val="2"/>
          <w:sz w:val="20"/>
          <w:szCs w:val="20"/>
        </w:rPr>
        <w:br w:type="page"/>
      </w:r>
    </w:p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kern w:val="2"/>
          <w:sz w:val="20"/>
          <w:szCs w:val="20"/>
        </w:rPr>
      </w:pPr>
    </w:p>
    <w:tbl>
      <w:tblPr>
        <w:tblStyle w:val="a5"/>
        <w:tblW w:w="9039" w:type="dxa"/>
        <w:jc w:val="center"/>
        <w:tblLayout w:type="fixed"/>
        <w:tblLook w:val="04A0" w:firstRow="1" w:lastRow="0" w:firstColumn="1" w:lastColumn="0" w:noHBand="0" w:noVBand="1"/>
      </w:tblPr>
      <w:tblGrid>
        <w:gridCol w:w="3085"/>
        <w:gridCol w:w="1134"/>
        <w:gridCol w:w="851"/>
        <w:gridCol w:w="1133"/>
        <w:gridCol w:w="851"/>
        <w:gridCol w:w="1134"/>
        <w:gridCol w:w="851"/>
      </w:tblGrid>
      <w:tr w:rsidR="00CB4FCB" w:rsidRPr="00CB4FCB" w:rsidTr="00C515FD">
        <w:trPr>
          <w:trHeight w:val="20"/>
          <w:jc w:val="center"/>
        </w:trPr>
        <w:tc>
          <w:tcPr>
            <w:tcW w:w="90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CB4FCB">
              <w:rPr>
                <w:rFonts w:cs="Times New Roman"/>
                <w:b/>
                <w:sz w:val="20"/>
                <w:szCs w:val="20"/>
              </w:rPr>
              <w:t>Table S4. Multivariable predictors of 30-day readmission for hip/knee surgery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Variables</w:t>
            </w:r>
          </w:p>
        </w:tc>
        <w:tc>
          <w:tcPr>
            <w:tcW w:w="5954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Hospital stratum </w:t>
            </w:r>
            <w:r w:rsidRPr="00CB4FCB">
              <w:rPr>
                <w:rFonts w:cs="Times New Roman" w:hint="eastAsia"/>
                <w:sz w:val="20"/>
                <w:szCs w:val="20"/>
              </w:rPr>
              <w:t xml:space="preserve">by </w:t>
            </w:r>
            <w:r w:rsidRPr="00CB4FCB">
              <w:rPr>
                <w:rFonts w:cs="Times New Roman"/>
                <w:sz w:val="20"/>
                <w:szCs w:val="20"/>
              </w:rPr>
              <w:t>readmission</w:t>
            </w:r>
            <w:r w:rsidRPr="00CB4FCB">
              <w:rPr>
                <w:rFonts w:cs="Times New Roman" w:hint="eastAsia"/>
                <w:sz w:val="20"/>
                <w:szCs w:val="20"/>
              </w:rPr>
              <w:t xml:space="preserve"> rates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lowest quartile</w:t>
            </w:r>
          </w:p>
        </w:tc>
        <w:tc>
          <w:tcPr>
            <w:tcW w:w="198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25</w:t>
            </w:r>
            <w:r w:rsidRPr="00CB4FCB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CB4FCB">
              <w:rPr>
                <w:rFonts w:cs="Times New Roman"/>
                <w:sz w:val="20"/>
                <w:szCs w:val="20"/>
              </w:rPr>
              <w:t>-75</w:t>
            </w:r>
            <w:r w:rsidRPr="00CB4FCB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CB4FCB">
              <w:rPr>
                <w:rFonts w:cs="Times New Roman"/>
                <w:sz w:val="20"/>
                <w:szCs w:val="20"/>
              </w:rPr>
              <w:t xml:space="preserve"> quartile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highest quartile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Responsiveness of hospital staff*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0.929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-0.003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0.013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-0.011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0.016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spacing w:line="24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Communication with nurses*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0.372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0.960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0.017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0.949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spacing w:line="24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Communication with doctor</w:t>
            </w:r>
            <w:r w:rsidRPr="00CB4FCB">
              <w:rPr>
                <w:rFonts w:cs="Times New Roman" w:hint="eastAsia"/>
                <w:sz w:val="20"/>
                <w:szCs w:val="20"/>
              </w:rPr>
              <w:t>s</w:t>
            </w:r>
            <w:r w:rsidRPr="00CB4FCB">
              <w:rPr>
                <w:rFonts w:cs="Times New Roman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0.285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0.177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0.301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Hospital ownership (ref: Government)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For-profit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0.031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0.407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0.017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0.463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-0.039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0.589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Non-profit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-0.021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0.544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0.727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-0.064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0.252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Hospital type (ref: Acute care hospitals)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Critical Access Hospitals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0.190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-0.029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0.222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-0.197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Emergency service provided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0.229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0.027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0.941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0.017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0.876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3.899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5.136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5.790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</w:tr>
    </w:tbl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kern w:val="2"/>
          <w:sz w:val="20"/>
          <w:szCs w:val="20"/>
        </w:rPr>
      </w:pPr>
      <w:r w:rsidRPr="00CB4FCB">
        <w:rPr>
          <w:rFonts w:ascii="Calibri" w:hAnsi="Calibri" w:cs="Times New Roman"/>
          <w:kern w:val="2"/>
          <w:sz w:val="20"/>
          <w:szCs w:val="20"/>
        </w:rPr>
        <w:t>* P &lt;0.05 was considered statistically significant using one-tailed</w:t>
      </w:r>
      <w:r w:rsidRPr="00CB4FCB">
        <w:rPr>
          <w:rFonts w:ascii="Calibri" w:hAnsi="Calibri" w:cs="Times New Roman" w:hint="eastAsia"/>
          <w:kern w:val="2"/>
          <w:sz w:val="20"/>
          <w:szCs w:val="20"/>
        </w:rPr>
        <w:t xml:space="preserve"> test.</w:t>
      </w:r>
      <w:r w:rsidRPr="00CB4FCB">
        <w:rPr>
          <w:rFonts w:ascii="Calibri" w:hAnsi="Calibri" w:cs="Times New Roman"/>
          <w:kern w:val="2"/>
          <w:sz w:val="20"/>
          <w:szCs w:val="20"/>
        </w:rPr>
        <w:t xml:space="preserve"> </w:t>
      </w:r>
    </w:p>
    <w:p w:rsidR="00CB4FCB" w:rsidRPr="00CB4FCB" w:rsidRDefault="00CB4FCB" w:rsidP="00CB4FCB">
      <w:pPr>
        <w:spacing w:after="0" w:line="240" w:lineRule="auto"/>
        <w:rPr>
          <w:rFonts w:ascii="Calibri" w:hAnsi="Calibri" w:cs="Times New Roman"/>
          <w:kern w:val="2"/>
          <w:sz w:val="20"/>
          <w:szCs w:val="20"/>
        </w:rPr>
      </w:pPr>
      <w:r w:rsidRPr="00CB4FCB">
        <w:rPr>
          <w:rFonts w:ascii="Calibri" w:hAnsi="Calibri" w:cs="Times New Roman"/>
          <w:kern w:val="2"/>
          <w:sz w:val="20"/>
          <w:szCs w:val="20"/>
        </w:rPr>
        <w:br w:type="page"/>
      </w:r>
    </w:p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kern w:val="2"/>
          <w:sz w:val="20"/>
          <w:szCs w:val="20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85"/>
        <w:gridCol w:w="1134"/>
        <w:gridCol w:w="851"/>
        <w:gridCol w:w="1133"/>
        <w:gridCol w:w="851"/>
        <w:gridCol w:w="1134"/>
        <w:gridCol w:w="851"/>
      </w:tblGrid>
      <w:tr w:rsidR="00CB4FCB" w:rsidRPr="00CB4FCB" w:rsidTr="00C515FD">
        <w:trPr>
          <w:trHeight w:val="20"/>
          <w:jc w:val="center"/>
        </w:trPr>
        <w:tc>
          <w:tcPr>
            <w:tcW w:w="90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CB4FCB">
              <w:rPr>
                <w:rFonts w:cs="Times New Roman"/>
                <w:b/>
                <w:sz w:val="20"/>
                <w:szCs w:val="20"/>
              </w:rPr>
              <w:t>Table S5. Multivariable predictors of 30-day readmission for pneumonia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Variables</w:t>
            </w:r>
          </w:p>
        </w:tc>
        <w:tc>
          <w:tcPr>
            <w:tcW w:w="5954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Hospital stratum </w:t>
            </w:r>
            <w:r w:rsidRPr="00CB4FCB">
              <w:rPr>
                <w:rFonts w:cs="Times New Roman" w:hint="eastAsia"/>
                <w:sz w:val="20"/>
                <w:szCs w:val="20"/>
              </w:rPr>
              <w:t xml:space="preserve">by </w:t>
            </w:r>
            <w:r w:rsidRPr="00CB4FCB">
              <w:rPr>
                <w:rFonts w:cs="Times New Roman"/>
                <w:sz w:val="20"/>
                <w:szCs w:val="20"/>
              </w:rPr>
              <w:t>readmission</w:t>
            </w:r>
            <w:r w:rsidRPr="00CB4FCB">
              <w:rPr>
                <w:rFonts w:cs="Times New Roman" w:hint="eastAsia"/>
                <w:sz w:val="20"/>
                <w:szCs w:val="20"/>
              </w:rPr>
              <w:t xml:space="preserve"> rates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lowest quartile</w:t>
            </w:r>
          </w:p>
        </w:tc>
        <w:tc>
          <w:tcPr>
            <w:tcW w:w="198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25</w:t>
            </w:r>
            <w:r w:rsidRPr="00CB4FCB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CB4FCB">
              <w:rPr>
                <w:rFonts w:cs="Times New Roman"/>
                <w:sz w:val="20"/>
                <w:szCs w:val="20"/>
              </w:rPr>
              <w:t>-75</w:t>
            </w:r>
            <w:r w:rsidRPr="00CB4FCB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CB4FCB">
              <w:rPr>
                <w:rFonts w:cs="Times New Roman"/>
                <w:sz w:val="20"/>
                <w:szCs w:val="20"/>
              </w:rPr>
              <w:t xml:space="preserve"> quartile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highest quartile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Responsiveness of hospital staff*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0.753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-0.007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0.002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0.146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spacing w:line="24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Communication with nurses*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0.356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0.942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0.509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spacing w:line="24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Communication with doctor</w:t>
            </w:r>
            <w:r w:rsidRPr="00CB4FCB">
              <w:rPr>
                <w:rFonts w:cs="Times New Roman" w:hint="eastAsia"/>
                <w:sz w:val="20"/>
                <w:szCs w:val="20"/>
              </w:rPr>
              <w:t>s</w:t>
            </w:r>
            <w:r w:rsidRPr="00CB4FCB">
              <w:rPr>
                <w:rFonts w:cs="Times New Roman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0.869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0.232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0.546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Hospital ownership (ref: Government)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For-profit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0.083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0.263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0.923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0.951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Non-profit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0.012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0.810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-0.012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0.667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0.869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Hospital type (ref: Acute care hospitals)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Critical Access Hospitals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0.120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0.013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-0.011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0.736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-0.364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Emergency service provided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-0.169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0.066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0.076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0.143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0.542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15.599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17.245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18.382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</w:tr>
    </w:tbl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kern w:val="2"/>
          <w:sz w:val="20"/>
          <w:szCs w:val="20"/>
        </w:rPr>
      </w:pPr>
      <w:r w:rsidRPr="00CB4FCB">
        <w:rPr>
          <w:rFonts w:ascii="Calibri" w:hAnsi="Calibri" w:cs="Times New Roman"/>
          <w:kern w:val="2"/>
          <w:sz w:val="20"/>
          <w:szCs w:val="20"/>
        </w:rPr>
        <w:t>* P &lt;0.05 was considered statistically significant using one-tailed</w:t>
      </w:r>
      <w:r w:rsidRPr="00CB4FCB">
        <w:rPr>
          <w:rFonts w:ascii="Calibri" w:hAnsi="Calibri" w:cs="Times New Roman" w:hint="eastAsia"/>
          <w:kern w:val="2"/>
          <w:sz w:val="20"/>
          <w:szCs w:val="20"/>
        </w:rPr>
        <w:t xml:space="preserve"> test.</w:t>
      </w:r>
      <w:r w:rsidRPr="00CB4FCB">
        <w:rPr>
          <w:rFonts w:ascii="Calibri" w:hAnsi="Calibri" w:cs="Times New Roman"/>
          <w:kern w:val="2"/>
          <w:sz w:val="20"/>
          <w:szCs w:val="20"/>
        </w:rPr>
        <w:t xml:space="preserve"> </w:t>
      </w:r>
    </w:p>
    <w:p w:rsidR="00CB4FCB" w:rsidRPr="00CB4FCB" w:rsidRDefault="00CB4FCB" w:rsidP="00CB4FCB">
      <w:pPr>
        <w:spacing w:after="0" w:line="240" w:lineRule="auto"/>
        <w:rPr>
          <w:rFonts w:ascii="Calibri" w:hAnsi="Calibri" w:cs="Times New Roman"/>
          <w:kern w:val="2"/>
          <w:sz w:val="20"/>
          <w:szCs w:val="20"/>
        </w:rPr>
      </w:pPr>
      <w:r w:rsidRPr="00CB4FCB">
        <w:rPr>
          <w:rFonts w:ascii="Calibri" w:hAnsi="Calibri" w:cs="Times New Roman"/>
          <w:kern w:val="2"/>
          <w:sz w:val="20"/>
          <w:szCs w:val="20"/>
        </w:rPr>
        <w:br w:type="page"/>
      </w:r>
    </w:p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kern w:val="2"/>
          <w:sz w:val="20"/>
          <w:szCs w:val="20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85"/>
        <w:gridCol w:w="1134"/>
        <w:gridCol w:w="845"/>
        <w:gridCol w:w="1133"/>
        <w:gridCol w:w="857"/>
        <w:gridCol w:w="1117"/>
        <w:gridCol w:w="868"/>
      </w:tblGrid>
      <w:tr w:rsidR="00CB4FCB" w:rsidRPr="00CB4FCB" w:rsidTr="00C515FD">
        <w:trPr>
          <w:trHeight w:val="20"/>
          <w:jc w:val="center"/>
        </w:trPr>
        <w:tc>
          <w:tcPr>
            <w:tcW w:w="90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CB4FCB">
              <w:rPr>
                <w:rFonts w:cs="Times New Roman"/>
                <w:b/>
                <w:sz w:val="20"/>
                <w:szCs w:val="20"/>
              </w:rPr>
              <w:t>Table S6. Multivariable predictors of 30-day readmission for stroke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Variables</w:t>
            </w:r>
          </w:p>
        </w:tc>
        <w:tc>
          <w:tcPr>
            <w:tcW w:w="5954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Hospital stratum </w:t>
            </w:r>
            <w:r w:rsidRPr="00CB4FCB">
              <w:rPr>
                <w:rFonts w:cs="Times New Roman" w:hint="eastAsia"/>
                <w:sz w:val="20"/>
                <w:szCs w:val="20"/>
              </w:rPr>
              <w:t xml:space="preserve">by </w:t>
            </w:r>
            <w:r w:rsidRPr="00CB4FCB">
              <w:rPr>
                <w:rFonts w:cs="Times New Roman"/>
                <w:sz w:val="20"/>
                <w:szCs w:val="20"/>
              </w:rPr>
              <w:t>readmission</w:t>
            </w:r>
            <w:r w:rsidRPr="00CB4FCB">
              <w:rPr>
                <w:rFonts w:cs="Times New Roman" w:hint="eastAsia"/>
                <w:sz w:val="20"/>
                <w:szCs w:val="20"/>
              </w:rPr>
              <w:t xml:space="preserve"> rates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lowest quartile</w:t>
            </w:r>
          </w:p>
        </w:tc>
        <w:tc>
          <w:tcPr>
            <w:tcW w:w="199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25</w:t>
            </w:r>
            <w:r w:rsidRPr="00CB4FCB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CB4FCB">
              <w:rPr>
                <w:rFonts w:cs="Times New Roman"/>
                <w:sz w:val="20"/>
                <w:szCs w:val="20"/>
              </w:rPr>
              <w:t>-75</w:t>
            </w:r>
            <w:r w:rsidRPr="00CB4FCB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CB4FCB">
              <w:rPr>
                <w:rFonts w:cs="Times New Roman"/>
                <w:sz w:val="20"/>
                <w:szCs w:val="20"/>
              </w:rPr>
              <w:t xml:space="preserve"> quartile</w:t>
            </w:r>
          </w:p>
        </w:tc>
        <w:tc>
          <w:tcPr>
            <w:tcW w:w="198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highest quartile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Coefficient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4FCB" w:rsidRPr="00CB4FCB" w:rsidRDefault="00CB4FCB" w:rsidP="00CB4FCB">
            <w:pPr>
              <w:widowControl w:val="0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P-value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Responsiveness of hospital staff*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0.007 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0.894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-0.006 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0.080 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-0.018 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b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b/>
                <w:color w:val="000000"/>
                <w:sz w:val="20"/>
                <w:szCs w:val="20"/>
              </w:rPr>
              <w:t xml:space="preserve">0.048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spacing w:line="24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Communication with nurses*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-0.003 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0.399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0.002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0.646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0.509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spacing w:line="24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Communication with doctor</w:t>
            </w:r>
            <w:r w:rsidRPr="00CB4FCB">
              <w:rPr>
                <w:rFonts w:cs="Times New Roman" w:hint="eastAsia"/>
                <w:sz w:val="20"/>
                <w:szCs w:val="20"/>
              </w:rPr>
              <w:t>s</w:t>
            </w:r>
            <w:r w:rsidRPr="00CB4FCB">
              <w:rPr>
                <w:rFonts w:cs="Times New Roman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0.008 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0.884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0.001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0.565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-0.005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0.337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Hospital ownership (ref: Government)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For-profit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0.211 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0.002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-0.022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0.482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-0.058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0.502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Non-profit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-0.032 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0.561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-0.080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0.030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0.043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0.672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Hospital type (ref: Acute care hospitals)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 xml:space="preserve"> Critical Access Hospitals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0.200 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0.001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-0.072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0.027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-0.257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0.048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Emergency service provided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-0.091 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0.467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0.061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0.568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0.322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0.060 </w:t>
            </w:r>
          </w:p>
        </w:tc>
      </w:tr>
      <w:tr w:rsidR="00CB4FCB" w:rsidRPr="00CB4FCB" w:rsidTr="00C515FD">
        <w:trPr>
          <w:trHeight w:val="20"/>
          <w:jc w:val="center"/>
        </w:trPr>
        <w:tc>
          <w:tcPr>
            <w:tcW w:w="3085" w:type="dxa"/>
            <w:tcBorders>
              <w:top w:val="nil"/>
              <w:left w:val="nil"/>
              <w:right w:val="nil"/>
            </w:tcBorders>
          </w:tcPr>
          <w:p w:rsidR="00CB4FCB" w:rsidRPr="00CB4FCB" w:rsidRDefault="00CB4FCB" w:rsidP="00CB4FCB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CB4FCB">
              <w:rPr>
                <w:rFonts w:cs="Times New Roman"/>
                <w:sz w:val="20"/>
                <w:szCs w:val="20"/>
              </w:rPr>
              <w:t>Constant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11.133 </w:t>
            </w:r>
          </w:p>
        </w:tc>
        <w:tc>
          <w:tcPr>
            <w:tcW w:w="845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13.267 </w:t>
            </w:r>
          </w:p>
        </w:tc>
        <w:tc>
          <w:tcPr>
            <w:tcW w:w="857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15.64 </w:t>
            </w: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  <w:vAlign w:val="bottom"/>
          </w:tcPr>
          <w:p w:rsidR="00CB4FCB" w:rsidRPr="00CB4FCB" w:rsidRDefault="00CB4FCB" w:rsidP="00CB4FCB">
            <w:pPr>
              <w:widowControl w:val="0"/>
              <w:jc w:val="right"/>
              <w:rPr>
                <w:rFonts w:cs="宋体"/>
                <w:color w:val="000000"/>
                <w:sz w:val="20"/>
                <w:szCs w:val="20"/>
              </w:rPr>
            </w:pPr>
            <w:r w:rsidRPr="00CB4FCB">
              <w:rPr>
                <w:rFonts w:cs="Times New Roman"/>
                <w:color w:val="000000"/>
                <w:sz w:val="20"/>
                <w:szCs w:val="20"/>
              </w:rPr>
              <w:t xml:space="preserve">0.000  </w:t>
            </w:r>
          </w:p>
        </w:tc>
      </w:tr>
    </w:tbl>
    <w:p w:rsidR="00CB4FCB" w:rsidRPr="00CB4FCB" w:rsidRDefault="00CB4FCB" w:rsidP="00CB4FCB">
      <w:pPr>
        <w:widowControl w:val="0"/>
        <w:spacing w:after="0" w:line="240" w:lineRule="auto"/>
        <w:jc w:val="both"/>
        <w:rPr>
          <w:rFonts w:ascii="Calibri" w:hAnsi="Calibri" w:cs="Times New Roman"/>
          <w:kern w:val="2"/>
          <w:sz w:val="20"/>
          <w:szCs w:val="20"/>
        </w:rPr>
      </w:pPr>
      <w:r w:rsidRPr="00CB4FCB">
        <w:rPr>
          <w:rFonts w:ascii="Calibri" w:hAnsi="Calibri" w:cs="Times New Roman"/>
          <w:kern w:val="2"/>
          <w:sz w:val="20"/>
          <w:szCs w:val="20"/>
        </w:rPr>
        <w:t xml:space="preserve">* P &lt;0.05 was considered statistically significant using one-tailed test. </w:t>
      </w:r>
    </w:p>
    <w:p w:rsidR="007F558B" w:rsidRDefault="007F558B"/>
    <w:sectPr w:rsidR="007F558B" w:rsidSect="00225438">
      <w:footerReference w:type="default" r:id="rId7"/>
      <w:pgSz w:w="11906" w:h="16838"/>
      <w:pgMar w:top="1440" w:right="1440" w:bottom="1440" w:left="1440" w:header="720" w:footer="720" w:gutter="0"/>
      <w:lnNumType w:countBy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309" w:rsidRDefault="00237309" w:rsidP="00CB4FCB">
      <w:pPr>
        <w:spacing w:after="0" w:line="240" w:lineRule="auto"/>
      </w:pPr>
      <w:r>
        <w:separator/>
      </w:r>
    </w:p>
  </w:endnote>
  <w:endnote w:type="continuationSeparator" w:id="0">
    <w:p w:rsidR="00237309" w:rsidRDefault="00237309" w:rsidP="00CB4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391830"/>
      <w:docPartObj>
        <w:docPartGallery w:val="Page Numbers (Bottom of Page)"/>
        <w:docPartUnique/>
      </w:docPartObj>
    </w:sdtPr>
    <w:sdtEndPr/>
    <w:sdtContent>
      <w:p w:rsidR="00350DBD" w:rsidRDefault="00642D9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5D80" w:rsidRPr="00FE5D80">
          <w:rPr>
            <w:noProof/>
            <w:lang w:val="zh-CN"/>
          </w:rPr>
          <w:t>2</w:t>
        </w:r>
        <w:r>
          <w:fldChar w:fldCharType="end"/>
        </w:r>
      </w:p>
    </w:sdtContent>
  </w:sdt>
  <w:p w:rsidR="00350DBD" w:rsidRDefault="0023730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309" w:rsidRDefault="00237309" w:rsidP="00CB4FCB">
      <w:pPr>
        <w:spacing w:after="0" w:line="240" w:lineRule="auto"/>
      </w:pPr>
      <w:r>
        <w:separator/>
      </w:r>
    </w:p>
  </w:footnote>
  <w:footnote w:type="continuationSeparator" w:id="0">
    <w:p w:rsidR="00237309" w:rsidRDefault="00237309" w:rsidP="00CB4F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BAC"/>
    <w:rsid w:val="00032FEC"/>
    <w:rsid w:val="00076963"/>
    <w:rsid w:val="000861F7"/>
    <w:rsid w:val="000A6913"/>
    <w:rsid w:val="00237309"/>
    <w:rsid w:val="002C22C0"/>
    <w:rsid w:val="00322F0E"/>
    <w:rsid w:val="00601AC8"/>
    <w:rsid w:val="00642D97"/>
    <w:rsid w:val="007F558B"/>
    <w:rsid w:val="00AF34AA"/>
    <w:rsid w:val="00CB4FCB"/>
    <w:rsid w:val="00EF5BAC"/>
    <w:rsid w:val="00FE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4FC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CB4FCB"/>
  </w:style>
  <w:style w:type="paragraph" w:styleId="a4">
    <w:name w:val="footer"/>
    <w:basedOn w:val="a"/>
    <w:link w:val="Char0"/>
    <w:uiPriority w:val="99"/>
    <w:unhideWhenUsed/>
    <w:rsid w:val="00CB4FC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CB4FCB"/>
  </w:style>
  <w:style w:type="table" w:styleId="a5">
    <w:name w:val="Table Grid"/>
    <w:basedOn w:val="a1"/>
    <w:uiPriority w:val="59"/>
    <w:rsid w:val="00CB4FCB"/>
    <w:pPr>
      <w:spacing w:after="0" w:line="240" w:lineRule="auto"/>
    </w:pPr>
    <w:rPr>
      <w:rFonts w:ascii="Calibri" w:hAnsi="Calibri"/>
      <w:kern w:val="2"/>
      <w:sz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line number"/>
    <w:basedOn w:val="a0"/>
    <w:uiPriority w:val="99"/>
    <w:semiHidden/>
    <w:unhideWhenUsed/>
    <w:rsid w:val="00CB4F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4FC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CB4FCB"/>
  </w:style>
  <w:style w:type="paragraph" w:styleId="a4">
    <w:name w:val="footer"/>
    <w:basedOn w:val="a"/>
    <w:link w:val="Char0"/>
    <w:uiPriority w:val="99"/>
    <w:unhideWhenUsed/>
    <w:rsid w:val="00CB4FC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CB4FCB"/>
  </w:style>
  <w:style w:type="table" w:styleId="a5">
    <w:name w:val="Table Grid"/>
    <w:basedOn w:val="a1"/>
    <w:uiPriority w:val="59"/>
    <w:rsid w:val="00CB4FCB"/>
    <w:pPr>
      <w:spacing w:after="0" w:line="240" w:lineRule="auto"/>
    </w:pPr>
    <w:rPr>
      <w:rFonts w:ascii="Calibri" w:hAnsi="Calibri"/>
      <w:kern w:val="2"/>
      <w:sz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line number"/>
    <w:basedOn w:val="a0"/>
    <w:uiPriority w:val="99"/>
    <w:semiHidden/>
    <w:unhideWhenUsed/>
    <w:rsid w:val="00CB4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895</Words>
  <Characters>5107</Characters>
  <Application>Microsoft Office Word</Application>
  <DocSecurity>0</DocSecurity>
  <Lines>42</Lines>
  <Paragraphs>11</Paragraphs>
  <ScaleCrop>false</ScaleCrop>
  <Company>Microsoft</Company>
  <LinksUpToDate>false</LinksUpToDate>
  <CharactersWithSpaces>5991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lpyang</cp:lastModifiedBy>
  <cp:revision>7</cp:revision>
  <dcterms:created xsi:type="dcterms:W3CDTF">2016-05-14T14:22:00Z</dcterms:created>
  <dcterms:modified xsi:type="dcterms:W3CDTF">2017-12-18T09:11:00Z</dcterms:modified>
</cp:coreProperties>
</file>