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1513E" w14:textId="0348EF29" w:rsidR="00B833D6" w:rsidRPr="00D132AA" w:rsidRDefault="00F252E1" w:rsidP="00B833D6">
      <w:pPr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  <w:bookmarkStart w:id="0" w:name="_GoBack"/>
      <w:bookmarkEnd w:id="0"/>
    </w:p>
    <w:p w14:paraId="3E469436" w14:textId="77777777" w:rsidR="00B833D6" w:rsidRPr="00D132AA" w:rsidRDefault="00B833D6" w:rsidP="00B833D6">
      <w:pPr>
        <w:rPr>
          <w:rFonts w:ascii="Times New Roman" w:hAnsi="Times New Roman"/>
          <w:b/>
        </w:rPr>
      </w:pPr>
    </w:p>
    <w:p w14:paraId="34B0A98B" w14:textId="77777777" w:rsidR="00B833D6" w:rsidRPr="00D132AA" w:rsidRDefault="00B833D6" w:rsidP="00B833D6">
      <w:pPr>
        <w:rPr>
          <w:rFonts w:ascii="Times New Roman" w:hAnsi="Times New Roman"/>
          <w:b/>
          <w:u w:val="single"/>
        </w:rPr>
      </w:pPr>
      <w:r w:rsidRPr="00D132AA">
        <w:rPr>
          <w:rFonts w:ascii="Times New Roman" w:hAnsi="Times New Roman"/>
          <w:b/>
          <w:u w:val="single"/>
        </w:rPr>
        <w:t>Diagnostic codes for other ILDs</w:t>
      </w:r>
    </w:p>
    <w:p w14:paraId="78650FBC" w14:textId="77777777" w:rsidR="00B833D6" w:rsidRPr="00D132AA" w:rsidRDefault="00B833D6" w:rsidP="00B833D6">
      <w:pPr>
        <w:rPr>
          <w:rFonts w:ascii="Times New Roman" w:hAnsi="Times New Roman"/>
          <w:b/>
          <w:u w:val="single"/>
        </w:rPr>
      </w:pPr>
    </w:p>
    <w:p w14:paraId="5819A21F" w14:textId="77777777" w:rsidR="00B833D6" w:rsidRPr="00D132AA" w:rsidRDefault="00B833D6" w:rsidP="00B833D6">
      <w:pPr>
        <w:spacing w:line="480" w:lineRule="auto"/>
        <w:outlineLvl w:val="0"/>
        <w:rPr>
          <w:rFonts w:ascii="Times New Roman" w:hAnsi="Times New Roman"/>
          <w:b/>
        </w:rPr>
      </w:pPr>
      <w:r w:rsidRPr="00D132AA">
        <w:rPr>
          <w:rFonts w:ascii="Times New Roman" w:hAnsi="Times New Roman"/>
          <w:b/>
        </w:rPr>
        <w:t>ICD Description</w:t>
      </w:r>
    </w:p>
    <w:p w14:paraId="6A6D5ECB" w14:textId="77777777" w:rsidR="00B833D6" w:rsidRPr="00D132AA" w:rsidRDefault="00B833D6" w:rsidP="00B833D6">
      <w:pPr>
        <w:spacing w:line="480" w:lineRule="auto"/>
        <w:outlineLvl w:val="0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135 Sarcoidosis </w:t>
      </w:r>
    </w:p>
    <w:p w14:paraId="00DA824B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237.7 Neurofibromatosis </w:t>
      </w:r>
    </w:p>
    <w:p w14:paraId="59C523FA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272.7 Lipidoses </w:t>
      </w:r>
    </w:p>
    <w:p w14:paraId="7B021884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277.3 Amyloidosis </w:t>
      </w:r>
    </w:p>
    <w:p w14:paraId="1A737E6F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277.8 Other specified disorders of metabolism – includes eosinophilic granuloma </w:t>
      </w:r>
    </w:p>
    <w:p w14:paraId="5BC6332D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446.21 Goodpasture’s syndrome </w:t>
      </w:r>
    </w:p>
    <w:p w14:paraId="5DA630CB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446.4 Wegener’s granulomatosis </w:t>
      </w:r>
    </w:p>
    <w:p w14:paraId="4BAAC7B8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495 Extrinsic allergic alveolitis </w:t>
      </w:r>
    </w:p>
    <w:p w14:paraId="71BCADDD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500 Coal workers’ pneumoconiosis </w:t>
      </w:r>
    </w:p>
    <w:p w14:paraId="6E66F72F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501 Asbestosis </w:t>
      </w:r>
    </w:p>
    <w:p w14:paraId="7F25C8AC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502 Pneumoconiosis due to other silica or silicates </w:t>
      </w:r>
    </w:p>
    <w:p w14:paraId="67905F66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503 Pneumoconiosis due to other inorganic dust </w:t>
      </w:r>
    </w:p>
    <w:p w14:paraId="28A8C212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504 Pneumoconiosis due to inhalation of other dust </w:t>
      </w:r>
    </w:p>
    <w:p w14:paraId="6D29E33C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505 Pneumoconiosis, unspecified </w:t>
      </w:r>
    </w:p>
    <w:p w14:paraId="7AFF6590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506.4 Chronic respiratory conditions due to fumes or vapours </w:t>
      </w:r>
    </w:p>
    <w:p w14:paraId="32E82D64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508.1 Chronic and other pulmonary manifestations due to radiation </w:t>
      </w:r>
    </w:p>
    <w:p w14:paraId="10221459" w14:textId="77777777" w:rsidR="00B833D6" w:rsidRPr="00D132AA" w:rsidRDefault="00B833D6" w:rsidP="00B833D6">
      <w:pPr>
        <w:spacing w:line="480" w:lineRule="auto"/>
        <w:outlineLvl w:val="0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508.8 Respiratory conditions due to other specified external agents </w:t>
      </w:r>
    </w:p>
    <w:p w14:paraId="06734498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516.0 Pulmonary alveolar proteinosis </w:t>
      </w:r>
    </w:p>
    <w:p w14:paraId="0F1B3FC8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516.1 Idiopathic pulmonary haemosiderosis </w:t>
      </w:r>
    </w:p>
    <w:p w14:paraId="236A96DA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516.2 Pulmonary alveolar microlithiasis </w:t>
      </w:r>
    </w:p>
    <w:p w14:paraId="4B29EFB4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lastRenderedPageBreak/>
        <w:t xml:space="preserve">516.8 Other specified alveolar and parietoalveolar pneumonopathies </w:t>
      </w:r>
    </w:p>
    <w:p w14:paraId="22DDA34F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516.9 Unspecified alveolar and parietoalveolar pneumonopathies </w:t>
      </w:r>
    </w:p>
    <w:p w14:paraId="2BCEDC27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7640B2">
        <w:rPr>
          <w:rFonts w:ascii="Times New Roman" w:hAnsi="Times New Roman"/>
        </w:rPr>
        <w:t>517 Lung involvement in conditions classified elsewhere</w:t>
      </w:r>
      <w:r w:rsidRPr="00D132AA">
        <w:rPr>
          <w:rFonts w:ascii="Times New Roman" w:hAnsi="Times New Roman"/>
        </w:rPr>
        <w:t xml:space="preserve"> </w:t>
      </w:r>
    </w:p>
    <w:p w14:paraId="39E07E76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517.2 Lung involvement in systemic sclerosis </w:t>
      </w:r>
    </w:p>
    <w:p w14:paraId="74605AD7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517.8 Lung involvement in other diseases classified elsewhere </w:t>
      </w:r>
    </w:p>
    <w:p w14:paraId="2F89F27A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518.3 Pulmonary eosinophilia </w:t>
      </w:r>
    </w:p>
    <w:p w14:paraId="5A27FC46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555 Regional enteritis </w:t>
      </w:r>
    </w:p>
    <w:p w14:paraId="4B05EDFC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710.0 Systemic lupus erythematosus </w:t>
      </w:r>
    </w:p>
    <w:p w14:paraId="3D87AD3F" w14:textId="77777777" w:rsidR="00B833D6" w:rsidRPr="00D132AA" w:rsidRDefault="00B833D6" w:rsidP="00B833D6">
      <w:pPr>
        <w:spacing w:line="480" w:lineRule="auto"/>
        <w:outlineLvl w:val="0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710.1 Systemic sclerosis </w:t>
      </w:r>
    </w:p>
    <w:p w14:paraId="190E156B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710.2 Sjögren’s disease </w:t>
      </w:r>
    </w:p>
    <w:p w14:paraId="4C5860F1" w14:textId="77777777" w:rsidR="00B833D6" w:rsidRPr="00D132AA" w:rsidRDefault="00B833D6" w:rsidP="00B833D6">
      <w:pPr>
        <w:spacing w:line="480" w:lineRule="auto"/>
        <w:outlineLvl w:val="0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710.3 Dermatomyositis </w:t>
      </w:r>
    </w:p>
    <w:p w14:paraId="758BEACB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710.4 Polymyositis </w:t>
      </w:r>
    </w:p>
    <w:p w14:paraId="13BB6782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>714.81 Rheumatoid lung</w:t>
      </w:r>
    </w:p>
    <w:p w14:paraId="177EA026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 xml:space="preserve">720 Ankylosing spondylitis </w:t>
      </w:r>
    </w:p>
    <w:p w14:paraId="6FD294F0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 w:rsidRPr="00D132AA">
        <w:rPr>
          <w:rFonts w:ascii="Times New Roman" w:hAnsi="Times New Roman"/>
        </w:rPr>
        <w:t>759.5 Tuberous sclerosis</w:t>
      </w:r>
    </w:p>
    <w:p w14:paraId="7CA8B1CC" w14:textId="77777777" w:rsidR="00B833D6" w:rsidRDefault="00B833D6" w:rsidP="00B833D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</w:t>
      </w:r>
    </w:p>
    <w:p w14:paraId="6EB9CDA0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Source based on: </w:t>
      </w:r>
      <w:r w:rsidRPr="00D132AA">
        <w:rPr>
          <w:rFonts w:ascii="Times New Roman" w:hAnsi="Times New Roman"/>
        </w:rPr>
        <w:t xml:space="preserve">Raghu G, Chen SY, Hou Q, Yeh WS, Collard HR. Incidence and prevalence of idiopathic pulmonary fibrosis in US adults 18-64 years old. </w:t>
      </w:r>
      <w:r w:rsidRPr="00D132AA">
        <w:rPr>
          <w:rFonts w:ascii="Times New Roman" w:hAnsi="Times New Roman"/>
          <w:i/>
          <w:iCs/>
        </w:rPr>
        <w:t>The European respiratory journal</w:t>
      </w:r>
      <w:r w:rsidRPr="00D132AA">
        <w:rPr>
          <w:rFonts w:ascii="Times New Roman" w:hAnsi="Times New Roman"/>
        </w:rPr>
        <w:t xml:space="preserve"> 2016; </w:t>
      </w:r>
      <w:r w:rsidRPr="00D132AA">
        <w:rPr>
          <w:rFonts w:ascii="Times New Roman" w:hAnsi="Times New Roman"/>
          <w:b/>
          <w:bCs/>
        </w:rPr>
        <w:t>48</w:t>
      </w:r>
      <w:r w:rsidRPr="00D132AA">
        <w:rPr>
          <w:rFonts w:ascii="Times New Roman" w:hAnsi="Times New Roman"/>
        </w:rPr>
        <w:t>(1): 179-86.</w:t>
      </w:r>
      <w:r>
        <w:rPr>
          <w:rFonts w:ascii="Times New Roman" w:hAnsi="Times New Roman"/>
        </w:rPr>
        <w:t xml:space="preserve">  However, as explained in the text, ICD-9 </w:t>
      </w:r>
      <w:r w:rsidRPr="00D132AA">
        <w:rPr>
          <w:rFonts w:ascii="Times New Roman" w:hAnsi="Times New Roman"/>
        </w:rPr>
        <w:t xml:space="preserve">515 </w:t>
      </w:r>
      <w:r>
        <w:rPr>
          <w:rFonts w:ascii="Times New Roman" w:hAnsi="Times New Roman"/>
        </w:rPr>
        <w:t>(</w:t>
      </w:r>
      <w:r w:rsidRPr="00D132AA">
        <w:rPr>
          <w:rFonts w:ascii="Times New Roman" w:hAnsi="Times New Roman"/>
        </w:rPr>
        <w:t>Post-inflammatory pulmonary fibrosis</w:t>
      </w:r>
      <w:r>
        <w:rPr>
          <w:rFonts w:ascii="Times New Roman" w:hAnsi="Times New Roman"/>
        </w:rPr>
        <w:t xml:space="preserve">), which is on Raghu’s list, is excluded here.  </w:t>
      </w:r>
    </w:p>
    <w:p w14:paraId="69127054" w14:textId="77777777" w:rsidR="00B833D6" w:rsidRDefault="00B833D6" w:rsidP="00B833D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36C3470" w14:textId="77777777" w:rsidR="00B833D6" w:rsidRPr="00D132AA" w:rsidRDefault="00B833D6" w:rsidP="00B833D6">
      <w:pPr>
        <w:spacing w:line="480" w:lineRule="auto"/>
        <w:rPr>
          <w:rFonts w:ascii="Times New Roman" w:hAnsi="Times New Roman"/>
        </w:rPr>
      </w:pPr>
    </w:p>
    <w:p w14:paraId="69247212" w14:textId="77777777" w:rsidR="00B833D6" w:rsidRPr="00D132AA" w:rsidRDefault="00B833D6" w:rsidP="00B833D6">
      <w:pPr>
        <w:rPr>
          <w:rFonts w:ascii="Times New Roman" w:hAnsi="Times New Roman"/>
          <w:b/>
        </w:rPr>
      </w:pPr>
    </w:p>
    <w:p w14:paraId="3638FE06" w14:textId="77777777" w:rsidR="00B833D6" w:rsidRDefault="00B833D6" w:rsidP="00B833D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Note on disposition variables</w:t>
      </w:r>
    </w:p>
    <w:p w14:paraId="4375EBB8" w14:textId="77777777" w:rsidR="00B833D6" w:rsidRDefault="00B833D6" w:rsidP="00B833D6">
      <w:pPr>
        <w:rPr>
          <w:rFonts w:ascii="Times New Roman" w:hAnsi="Times New Roman"/>
          <w:b/>
        </w:rPr>
      </w:pPr>
    </w:p>
    <w:p w14:paraId="1DE0CCE2" w14:textId="77777777" w:rsidR="00B833D6" w:rsidRDefault="00B833D6" w:rsidP="00B833D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relied on two disposition variables, “Dispub92” and “Dispub04.”  </w:t>
      </w:r>
      <w:r w:rsidRPr="000637BA">
        <w:rPr>
          <w:rFonts w:ascii="Times New Roman" w:hAnsi="Times New Roman"/>
        </w:rPr>
        <w:t xml:space="preserve">“Dispub92” </w:t>
      </w:r>
      <w:r>
        <w:rPr>
          <w:rFonts w:ascii="Times New Roman" w:hAnsi="Times New Roman"/>
        </w:rPr>
        <w:t xml:space="preserve">applies to </w:t>
      </w:r>
      <w:r w:rsidRPr="000637BA">
        <w:rPr>
          <w:rFonts w:ascii="Times New Roman" w:hAnsi="Times New Roman"/>
        </w:rPr>
        <w:t>pre-2008</w:t>
      </w:r>
      <w:r>
        <w:rPr>
          <w:rFonts w:ascii="Times New Roman" w:hAnsi="Times New Roman"/>
        </w:rPr>
        <w:t xml:space="preserve"> discharges and </w:t>
      </w:r>
      <w:r w:rsidRPr="000637BA">
        <w:rPr>
          <w:rFonts w:ascii="Times New Roman" w:hAnsi="Times New Roman"/>
        </w:rPr>
        <w:t>follows the UB-04 claim form</w:t>
      </w:r>
      <w:r>
        <w:rPr>
          <w:rFonts w:ascii="Times New Roman" w:hAnsi="Times New Roman"/>
        </w:rPr>
        <w:t>, while</w:t>
      </w:r>
      <w:r w:rsidRPr="000637BA">
        <w:rPr>
          <w:rFonts w:ascii="Times New Roman" w:hAnsi="Times New Roman"/>
        </w:rPr>
        <w:t xml:space="preserve"> “Dispub04” </w:t>
      </w:r>
      <w:r>
        <w:rPr>
          <w:rFonts w:ascii="Times New Roman" w:hAnsi="Times New Roman"/>
        </w:rPr>
        <w:t xml:space="preserve">applies to </w:t>
      </w:r>
      <w:r w:rsidRPr="000637BA">
        <w:rPr>
          <w:rFonts w:ascii="Times New Roman" w:hAnsi="Times New Roman"/>
        </w:rPr>
        <w:t xml:space="preserve">discharges in 2007 and onwards, </w:t>
      </w:r>
      <w:r>
        <w:rPr>
          <w:rFonts w:ascii="Times New Roman" w:hAnsi="Times New Roman"/>
        </w:rPr>
        <w:t>and</w:t>
      </w:r>
      <w:r w:rsidRPr="000637BA">
        <w:rPr>
          <w:rFonts w:ascii="Times New Roman" w:hAnsi="Times New Roman"/>
        </w:rPr>
        <w:t xml:space="preserve"> follows the </w:t>
      </w:r>
      <w:r>
        <w:rPr>
          <w:rFonts w:ascii="Times New Roman" w:hAnsi="Times New Roman"/>
        </w:rPr>
        <w:t>UB-92 claim form</w:t>
      </w:r>
      <w:r w:rsidRPr="000637B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There is thus one year of overlap.</w:t>
      </w:r>
      <w:r w:rsidRPr="000637B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Individuals with code 62 for </w:t>
      </w:r>
      <w:r w:rsidRPr="004C7064">
        <w:rPr>
          <w:rFonts w:ascii="Times New Roman" w:hAnsi="Times New Roman"/>
        </w:rPr>
        <w:t>either</w:t>
      </w:r>
      <w:r>
        <w:rPr>
          <w:rFonts w:ascii="Times New Roman" w:hAnsi="Times New Roman"/>
        </w:rPr>
        <w:t xml:space="preserve"> Dispub92 or Dispub04 were categorized as having been transferred to a rehabilitation center, while all others were categorized as not being transferred to a rehabilitation center.  For Dispub 92, code 62 is defined as: “</w:t>
      </w:r>
      <w:r w:rsidRPr="00322E0F">
        <w:rPr>
          <w:rFonts w:ascii="Times New Roman" w:hAnsi="Times New Roman"/>
        </w:rPr>
        <w:t>Discharge, transferred to another rehabilitation facility including rehabilitation distinct part units of a hospital, beginning in 2001 data</w:t>
      </w:r>
      <w:r>
        <w:rPr>
          <w:rFonts w:ascii="Times New Roman" w:hAnsi="Times New Roman"/>
        </w:rPr>
        <w:t>.” For Dispub04, code 62 is defined as: “</w:t>
      </w:r>
      <w:r w:rsidRPr="00322E0F">
        <w:rPr>
          <w:rFonts w:ascii="Times New Roman" w:hAnsi="Times New Roman"/>
        </w:rPr>
        <w:t>Discharged/transferred to an Inp</w:t>
      </w:r>
      <w:r>
        <w:rPr>
          <w:rFonts w:ascii="Times New Roman" w:hAnsi="Times New Roman"/>
        </w:rPr>
        <w:t>atient Rehabilitation Facility (IRF)</w:t>
      </w:r>
      <w:r w:rsidRPr="00322E0F">
        <w:rPr>
          <w:rFonts w:ascii="Times New Roman" w:hAnsi="Times New Roman"/>
        </w:rPr>
        <w:t xml:space="preserve"> including Rehabilitation Distinct part unit of a hospital</w:t>
      </w:r>
      <w:r>
        <w:rPr>
          <w:rFonts w:ascii="Times New Roman" w:hAnsi="Times New Roman"/>
        </w:rPr>
        <w:t xml:space="preserve">”). </w:t>
      </w:r>
    </w:p>
    <w:p w14:paraId="5420C82D" w14:textId="77777777" w:rsidR="00F268BE" w:rsidRDefault="00F268BE"/>
    <w:sectPr w:rsidR="00F268BE" w:rsidSect="00B55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833D6"/>
    <w:rsid w:val="00575980"/>
    <w:rsid w:val="00861FA6"/>
    <w:rsid w:val="00B55F44"/>
    <w:rsid w:val="00B833D6"/>
    <w:rsid w:val="00C11188"/>
    <w:rsid w:val="00F252E1"/>
    <w:rsid w:val="00F268BE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7B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3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3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2347</Characters>
  <Application>Microsoft Office Word</Application>
  <DocSecurity>0</DocSecurity>
  <Lines>61</Lines>
  <Paragraphs>49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Gaffney, Adam W</dc:creator>
  <cp:keywords/>
  <dc:description/>
  <cp:lastModifiedBy>JFURTON</cp:lastModifiedBy>
  <cp:revision>2</cp:revision>
  <dcterms:created xsi:type="dcterms:W3CDTF">2018-07-19T03:39:00Z</dcterms:created>
  <dcterms:modified xsi:type="dcterms:W3CDTF">2018-07-30T14:19:00Z</dcterms:modified>
</cp:coreProperties>
</file>