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A737EA" w14:textId="77777777" w:rsidR="00C0703D" w:rsidRDefault="009C5264" w:rsidP="00C0703D">
      <w:pPr>
        <w:pStyle w:val="Caption"/>
      </w:pPr>
      <w:r>
        <w:t>Additional file 1</w:t>
      </w:r>
      <w:r w:rsidR="00C0703D">
        <w:t>: Details of characterisation of the identified frameworks (Abbreviation, Research methods, Theoretical foundations, Components, Considerations and relationships, Real-world implementation)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7"/>
        <w:gridCol w:w="1717"/>
        <w:gridCol w:w="2093"/>
        <w:gridCol w:w="2859"/>
        <w:gridCol w:w="3676"/>
        <w:gridCol w:w="2112"/>
      </w:tblGrid>
      <w:tr w:rsidR="00C0703D" w:rsidRPr="00D41EC7" w14:paraId="6A22487B" w14:textId="77777777" w:rsidTr="00A6728B">
        <w:trPr>
          <w:tblHeader/>
        </w:trPr>
        <w:tc>
          <w:tcPr>
            <w:tcW w:w="0" w:type="auto"/>
            <w:shd w:val="clear" w:color="auto" w:fill="auto"/>
          </w:tcPr>
          <w:p w14:paraId="0F18C5DB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  <w:r w:rsidRPr="00D41EC7">
              <w:rPr>
                <w:sz w:val="18"/>
                <w:szCs w:val="18"/>
              </w:rPr>
              <w:t>Framework abbreviation</w:t>
            </w:r>
          </w:p>
        </w:tc>
        <w:tc>
          <w:tcPr>
            <w:tcW w:w="0" w:type="auto"/>
            <w:shd w:val="clear" w:color="auto" w:fill="auto"/>
          </w:tcPr>
          <w:p w14:paraId="446B1EBA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  <w:r w:rsidRPr="00D41EC7">
              <w:rPr>
                <w:sz w:val="18"/>
                <w:szCs w:val="18"/>
              </w:rPr>
              <w:t>Research methods</w:t>
            </w:r>
          </w:p>
        </w:tc>
        <w:tc>
          <w:tcPr>
            <w:tcW w:w="0" w:type="auto"/>
            <w:shd w:val="clear" w:color="auto" w:fill="auto"/>
          </w:tcPr>
          <w:p w14:paraId="5C8699F0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  <w:r w:rsidRPr="00D41EC7">
              <w:rPr>
                <w:sz w:val="18"/>
                <w:szCs w:val="18"/>
              </w:rPr>
              <w:t>Theoretical foundations (keywords = theory/ model/ framework/ experience)</w:t>
            </w:r>
          </w:p>
        </w:tc>
        <w:tc>
          <w:tcPr>
            <w:tcW w:w="0" w:type="auto"/>
            <w:shd w:val="clear" w:color="auto" w:fill="auto"/>
          </w:tcPr>
          <w:p w14:paraId="32CC7A42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  <w:r w:rsidRPr="00D41EC7">
              <w:rPr>
                <w:sz w:val="18"/>
                <w:szCs w:val="18"/>
              </w:rPr>
              <w:t>Components</w:t>
            </w:r>
          </w:p>
        </w:tc>
        <w:tc>
          <w:tcPr>
            <w:tcW w:w="0" w:type="auto"/>
            <w:shd w:val="clear" w:color="auto" w:fill="auto"/>
          </w:tcPr>
          <w:p w14:paraId="697B094B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  <w:r w:rsidRPr="00D41EC7">
              <w:rPr>
                <w:sz w:val="18"/>
                <w:szCs w:val="18"/>
              </w:rPr>
              <w:t>Considerations and relationships</w:t>
            </w:r>
          </w:p>
        </w:tc>
        <w:tc>
          <w:tcPr>
            <w:tcW w:w="0" w:type="auto"/>
            <w:shd w:val="clear" w:color="auto" w:fill="auto"/>
          </w:tcPr>
          <w:p w14:paraId="302081DA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  <w:r w:rsidRPr="00D41EC7">
              <w:rPr>
                <w:sz w:val="18"/>
                <w:szCs w:val="18"/>
              </w:rPr>
              <w:t>Real-world implementation</w:t>
            </w:r>
          </w:p>
        </w:tc>
      </w:tr>
      <w:tr w:rsidR="00C0703D" w:rsidRPr="00D41EC7" w14:paraId="131FD595" w14:textId="77777777" w:rsidTr="00A6728B">
        <w:tc>
          <w:tcPr>
            <w:tcW w:w="0" w:type="auto"/>
            <w:shd w:val="clear" w:color="auto" w:fill="auto"/>
          </w:tcPr>
          <w:p w14:paraId="4043910B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ZA"/>
              </w:rPr>
            </w:pPr>
            <w:r w:rsidRPr="00D41EC7">
              <w:rPr>
                <w:sz w:val="18"/>
                <w:szCs w:val="18"/>
                <w:lang w:val="en-ZA"/>
              </w:rPr>
              <w:t xml:space="preserve">MAPS </w:t>
            </w:r>
            <w:r w:rsidRPr="00D41EC7">
              <w:rPr>
                <w:sz w:val="18"/>
                <w:szCs w:val="18"/>
                <w:lang w:val="en-ZA"/>
              </w:rPr>
              <w:fldChar w:fldCharType="begin"/>
            </w:r>
            <w:r>
              <w:rPr>
                <w:sz w:val="18"/>
                <w:szCs w:val="18"/>
                <w:lang w:val="en-ZA"/>
              </w:rPr>
              <w:instrText xml:space="preserve"> ADDIN EN.CITE &lt;EndNote&gt;&lt;Cite&gt;&lt;Author&gt;World Health Organization&lt;/Author&gt;&lt;Year&gt;2015&lt;/Year&gt;&lt;RecNum&gt;735&lt;/RecNum&gt;&lt;DisplayText&gt;[1]&lt;/DisplayText&gt;&lt;record&gt;&lt;rec-number&gt;735&lt;/rec-number&gt;&lt;foreign-keys&gt;&lt;key app="EN" db-id="9wvf05rpgzpfxmee0t55av0urt252w2p5s0t" timestamp="1452762192"&gt;735&lt;/key&gt;&lt;key app="ENWeb" db-id=""&gt;0&lt;/key&gt;&lt;/foreign-keys&gt;&lt;ref-type name="Report"&gt;27&lt;/ref-type&gt;&lt;contributors&gt;&lt;authors&gt;&lt;author&gt;World Health Organization,&lt;/author&gt;&lt;/authors&gt;&lt;/contributors&gt;&lt;titles&gt;&lt;title&gt;The MAPS Toolkit mHealth Assessment and Planning for Scale&lt;/title&gt;&lt;/titles&gt;&lt;keywords&gt;&lt;keyword&gt;1.Cell Phones. 2.Delivery of Health Care. 3.Telemedicine - instrumentation. 4.Reproductive Health Services. 5.Maternal Welfare.&lt;/keyword&gt;&lt;/keywords&gt;&lt;dates&gt;&lt;year&gt;2015&lt;/year&gt;&lt;/dates&gt;&lt;isbn&gt;9789241509510&lt;/isbn&gt;&lt;urls&gt;&lt;related-urls&gt;&lt;url&gt;http://apps.who.int/iris/bitstream/10665/185238/1/9789241509510_eng.pdf&lt;/url&gt;&lt;/related-urls&gt;&lt;/urls&gt;&lt;access-date&gt;18 November 2017&lt;/access-date&gt;&lt;/record&gt;&lt;/Cite&gt;&lt;/EndNote&gt;</w:instrText>
            </w:r>
            <w:r w:rsidRPr="00D41EC7">
              <w:rPr>
                <w:sz w:val="18"/>
                <w:szCs w:val="18"/>
                <w:lang w:val="en-ZA"/>
              </w:rPr>
              <w:fldChar w:fldCharType="separate"/>
            </w:r>
            <w:r>
              <w:rPr>
                <w:noProof/>
                <w:sz w:val="18"/>
                <w:szCs w:val="18"/>
                <w:lang w:val="en-ZA"/>
              </w:rPr>
              <w:t>[1]</w:t>
            </w:r>
            <w:r w:rsidRPr="00D41EC7">
              <w:rPr>
                <w:sz w:val="18"/>
                <w:szCs w:val="18"/>
                <w:lang w:val="en-ZA"/>
              </w:rPr>
              <w:fldChar w:fldCharType="end"/>
            </w:r>
          </w:p>
          <w:p w14:paraId="7B201E39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ZA"/>
              </w:rPr>
            </w:pPr>
          </w:p>
        </w:tc>
        <w:tc>
          <w:tcPr>
            <w:tcW w:w="0" w:type="auto"/>
            <w:shd w:val="clear" w:color="auto" w:fill="auto"/>
          </w:tcPr>
          <w:p w14:paraId="1A3458A3" w14:textId="77777777" w:rsidR="00C0703D" w:rsidRPr="00D41EC7" w:rsidRDefault="00C0703D" w:rsidP="00A67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Theme="minorEastAsia"/>
                <w:color w:val="000000"/>
                <w:sz w:val="18"/>
                <w:szCs w:val="18"/>
                <w:lang w:val="en-US" w:eastAsia="ja-JP"/>
              </w:rPr>
            </w:pPr>
            <w:r w:rsidRPr="00D41EC7">
              <w:rPr>
                <w:rFonts w:eastAsiaTheme="minorEastAsia"/>
                <w:color w:val="000000"/>
                <w:sz w:val="18"/>
                <w:szCs w:val="18"/>
                <w:lang w:val="en-US" w:eastAsia="ja-JP"/>
              </w:rPr>
              <w:t>Implementation research: literature review, workshops,</w:t>
            </w:r>
          </w:p>
          <w:p w14:paraId="6539164A" w14:textId="77777777" w:rsidR="00C0703D" w:rsidRPr="00D41EC7" w:rsidRDefault="00C0703D" w:rsidP="00A67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Theme="minorEastAsia"/>
                <w:color w:val="000000"/>
                <w:sz w:val="18"/>
                <w:szCs w:val="18"/>
                <w:lang w:val="en-US" w:eastAsia="ja-JP"/>
              </w:rPr>
            </w:pPr>
            <w:proofErr w:type="gramStart"/>
            <w:r w:rsidRPr="00D41EC7">
              <w:rPr>
                <w:rFonts w:eastAsiaTheme="minorEastAsia"/>
                <w:color w:val="000000"/>
                <w:sz w:val="18"/>
                <w:szCs w:val="18"/>
                <w:lang w:val="en-US" w:eastAsia="ja-JP"/>
              </w:rPr>
              <w:t>site</w:t>
            </w:r>
            <w:proofErr w:type="gramEnd"/>
            <w:r w:rsidRPr="00D41EC7">
              <w:rPr>
                <w:rFonts w:eastAsiaTheme="minorEastAsia"/>
                <w:color w:val="000000"/>
                <w:sz w:val="18"/>
                <w:szCs w:val="18"/>
                <w:lang w:val="en-US" w:eastAsia="ja-JP"/>
              </w:rPr>
              <w:t xml:space="preserve"> visits, interviews, consultations, </w:t>
            </w:r>
          </w:p>
          <w:p w14:paraId="5A19141C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proofErr w:type="gramStart"/>
            <w:r w:rsidRPr="00D41EC7">
              <w:rPr>
                <w:rFonts w:eastAsiaTheme="minorEastAsia"/>
                <w:color w:val="000000"/>
                <w:sz w:val="18"/>
                <w:szCs w:val="18"/>
                <w:lang w:val="en-US" w:eastAsia="ja-JP"/>
              </w:rPr>
              <w:t>review</w:t>
            </w:r>
            <w:proofErr w:type="gramEnd"/>
            <w:r w:rsidRPr="00D41EC7">
              <w:rPr>
                <w:rFonts w:eastAsiaTheme="minorEastAsia"/>
                <w:color w:val="000000"/>
                <w:sz w:val="18"/>
                <w:szCs w:val="18"/>
                <w:lang w:val="en-US" w:eastAsia="ja-JP"/>
              </w:rPr>
              <w:t xml:space="preserve"> panel, pre-testing</w:t>
            </w:r>
          </w:p>
        </w:tc>
        <w:tc>
          <w:tcPr>
            <w:tcW w:w="0" w:type="auto"/>
            <w:shd w:val="clear" w:color="auto" w:fill="auto"/>
          </w:tcPr>
          <w:p w14:paraId="0F256059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Scale-up experienced-based (challenges and lessons learned)</w:t>
            </w:r>
          </w:p>
        </w:tc>
        <w:tc>
          <w:tcPr>
            <w:tcW w:w="0" w:type="auto"/>
            <w:shd w:val="clear" w:color="auto" w:fill="auto"/>
          </w:tcPr>
          <w:p w14:paraId="27EDF892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 w:rsidRPr="00D41EC7">
              <w:rPr>
                <w:b/>
                <w:color w:val="000000"/>
                <w:sz w:val="18"/>
                <w:szCs w:val="18"/>
              </w:rPr>
              <w:t>Components</w:t>
            </w:r>
            <w:r w:rsidRPr="00D41EC7">
              <w:rPr>
                <w:color w:val="000000"/>
                <w:sz w:val="18"/>
                <w:szCs w:val="18"/>
              </w:rPr>
              <w:t>: Six “axes of scale” that are split into sixteen domains are defined with three sections: thematic overview, self-assessment questions and planning and guidance activities with reference materials.</w:t>
            </w:r>
          </w:p>
          <w:p w14:paraId="6F65C264" w14:textId="77777777" w:rsidR="00C0703D" w:rsidRPr="00D41EC7" w:rsidRDefault="00C0703D" w:rsidP="00A6728B">
            <w:pPr>
              <w:pStyle w:val="ListParagraph"/>
              <w:numPr>
                <w:ilvl w:val="0"/>
                <w:numId w:val="4"/>
              </w:numPr>
              <w:jc w:val="left"/>
              <w:rPr>
                <w:color w:val="000000"/>
                <w:sz w:val="18"/>
                <w:szCs w:val="18"/>
              </w:rPr>
            </w:pPr>
            <w:r w:rsidRPr="00D41EC7">
              <w:rPr>
                <w:b/>
                <w:bCs/>
                <w:color w:val="000000"/>
                <w:sz w:val="18"/>
                <w:szCs w:val="18"/>
              </w:rPr>
              <w:t>Groundwork:</w:t>
            </w:r>
            <w:r w:rsidRPr="00D41EC7"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D41EC7">
              <w:rPr>
                <w:color w:val="000000"/>
                <w:sz w:val="18"/>
                <w:szCs w:val="18"/>
              </w:rPr>
              <w:t>Parameters of scale, contextual environment, scientific basis</w:t>
            </w:r>
          </w:p>
          <w:p w14:paraId="2DDF6FDD" w14:textId="77777777" w:rsidR="00C0703D" w:rsidRPr="00D41EC7" w:rsidRDefault="00C0703D" w:rsidP="00A6728B">
            <w:pPr>
              <w:pStyle w:val="ListParagraph"/>
              <w:numPr>
                <w:ilvl w:val="0"/>
                <w:numId w:val="4"/>
              </w:numPr>
              <w:jc w:val="left"/>
              <w:rPr>
                <w:color w:val="000000"/>
                <w:sz w:val="18"/>
                <w:szCs w:val="18"/>
              </w:rPr>
            </w:pPr>
            <w:r w:rsidRPr="00D41EC7">
              <w:rPr>
                <w:b/>
                <w:bCs/>
                <w:color w:val="000000"/>
                <w:sz w:val="18"/>
                <w:szCs w:val="18"/>
              </w:rPr>
              <w:t>Partnerships:</w:t>
            </w:r>
            <w:r w:rsidRPr="00D41EC7">
              <w:rPr>
                <w:bCs/>
                <w:color w:val="000000"/>
                <w:sz w:val="18"/>
                <w:szCs w:val="18"/>
              </w:rPr>
              <w:t xml:space="preserve"> Strategic engagement, partnership sustainability</w:t>
            </w:r>
          </w:p>
          <w:p w14:paraId="6FD33CBC" w14:textId="77777777" w:rsidR="00C0703D" w:rsidRPr="00D41EC7" w:rsidRDefault="00C0703D" w:rsidP="00A6728B">
            <w:pPr>
              <w:pStyle w:val="ListParagraph"/>
              <w:numPr>
                <w:ilvl w:val="0"/>
                <w:numId w:val="4"/>
              </w:numPr>
              <w:jc w:val="left"/>
              <w:rPr>
                <w:color w:val="000000"/>
                <w:sz w:val="18"/>
                <w:szCs w:val="18"/>
              </w:rPr>
            </w:pPr>
            <w:r w:rsidRPr="00D41EC7">
              <w:rPr>
                <w:b/>
                <w:bCs/>
                <w:color w:val="000000"/>
                <w:sz w:val="18"/>
                <w:szCs w:val="18"/>
              </w:rPr>
              <w:t>Financial health:</w:t>
            </w:r>
            <w:r w:rsidRPr="00D41EC7">
              <w:rPr>
                <w:bCs/>
                <w:color w:val="000000"/>
                <w:sz w:val="18"/>
                <w:szCs w:val="18"/>
              </w:rPr>
              <w:t xml:space="preserve"> Financial management, financial model</w:t>
            </w:r>
          </w:p>
          <w:p w14:paraId="15CDF521" w14:textId="77777777" w:rsidR="00C0703D" w:rsidRPr="00D41EC7" w:rsidRDefault="00C0703D" w:rsidP="00A6728B">
            <w:pPr>
              <w:pStyle w:val="ListParagraph"/>
              <w:numPr>
                <w:ilvl w:val="0"/>
                <w:numId w:val="4"/>
              </w:numPr>
              <w:jc w:val="left"/>
              <w:rPr>
                <w:color w:val="000000"/>
                <w:sz w:val="18"/>
                <w:szCs w:val="18"/>
              </w:rPr>
            </w:pPr>
            <w:r w:rsidRPr="00D41EC7">
              <w:rPr>
                <w:b/>
                <w:bCs/>
                <w:color w:val="000000"/>
                <w:sz w:val="18"/>
                <w:szCs w:val="18"/>
              </w:rPr>
              <w:t>Technology &amp; architecture:</w:t>
            </w:r>
            <w:r w:rsidRPr="00D41EC7"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D41EC7">
              <w:rPr>
                <w:color w:val="000000"/>
                <w:sz w:val="18"/>
                <w:szCs w:val="18"/>
              </w:rPr>
              <w:t>Data, interoperability, adaptability</w:t>
            </w:r>
          </w:p>
          <w:p w14:paraId="1941BE25" w14:textId="77777777" w:rsidR="00C0703D" w:rsidRPr="00D41EC7" w:rsidRDefault="00C0703D" w:rsidP="00A6728B">
            <w:pPr>
              <w:pStyle w:val="ListParagraph"/>
              <w:numPr>
                <w:ilvl w:val="0"/>
                <w:numId w:val="4"/>
              </w:numPr>
              <w:jc w:val="left"/>
              <w:rPr>
                <w:color w:val="000000"/>
                <w:sz w:val="18"/>
                <w:szCs w:val="18"/>
              </w:rPr>
            </w:pPr>
            <w:r w:rsidRPr="00D41EC7">
              <w:rPr>
                <w:b/>
                <w:bCs/>
                <w:color w:val="000000"/>
                <w:sz w:val="18"/>
                <w:szCs w:val="18"/>
              </w:rPr>
              <w:t>Operations:</w:t>
            </w:r>
            <w:r w:rsidRPr="00D41EC7"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D41EC7">
              <w:rPr>
                <w:color w:val="000000"/>
                <w:sz w:val="18"/>
                <w:szCs w:val="18"/>
              </w:rPr>
              <w:t>Personnel, training and support, outreach and sensitisation, contingency planning</w:t>
            </w:r>
          </w:p>
          <w:p w14:paraId="0A284C0A" w14:textId="77777777" w:rsidR="00C0703D" w:rsidRPr="00D41EC7" w:rsidRDefault="00C0703D" w:rsidP="00A6728B">
            <w:pPr>
              <w:pStyle w:val="ListParagraph"/>
              <w:numPr>
                <w:ilvl w:val="0"/>
                <w:numId w:val="4"/>
              </w:numPr>
              <w:jc w:val="left"/>
              <w:rPr>
                <w:color w:val="000000"/>
                <w:sz w:val="18"/>
                <w:szCs w:val="18"/>
              </w:rPr>
            </w:pPr>
            <w:r w:rsidRPr="00D41EC7">
              <w:rPr>
                <w:b/>
                <w:bCs/>
                <w:color w:val="000000"/>
                <w:sz w:val="18"/>
                <w:szCs w:val="18"/>
              </w:rPr>
              <w:t>Monitoring &amp; evaluation:</w:t>
            </w:r>
            <w:r w:rsidRPr="00D41EC7"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D41EC7">
              <w:rPr>
                <w:color w:val="000000"/>
                <w:sz w:val="18"/>
                <w:szCs w:val="18"/>
              </w:rPr>
              <w:t>Process monitoring, evaluation research</w:t>
            </w:r>
          </w:p>
        </w:tc>
        <w:tc>
          <w:tcPr>
            <w:tcW w:w="0" w:type="auto"/>
            <w:shd w:val="clear" w:color="auto" w:fill="auto"/>
          </w:tcPr>
          <w:p w14:paraId="46F9D0C2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b/>
                <w:color w:val="000000"/>
                <w:sz w:val="18"/>
                <w:szCs w:val="18"/>
              </w:rPr>
            </w:pPr>
            <w:r w:rsidRPr="00D41EC7">
              <w:rPr>
                <w:b/>
                <w:color w:val="000000"/>
                <w:sz w:val="18"/>
                <w:szCs w:val="18"/>
              </w:rPr>
              <w:t xml:space="preserve">Phases (keywords = phase/ steps/ sequencing) </w:t>
            </w:r>
            <w:r w:rsidRPr="00BB7568">
              <w:rPr>
                <w:color w:val="000000"/>
                <w:sz w:val="18"/>
                <w:szCs w:val="18"/>
              </w:rPr>
              <w:t>“</w:t>
            </w:r>
            <w:r w:rsidRPr="00D41EC7">
              <w:rPr>
                <w:color w:val="000000"/>
                <w:sz w:val="18"/>
                <w:szCs w:val="18"/>
              </w:rPr>
              <w:t xml:space="preserve">scaling up as a continuous process and offers insights that will prove useful throughout the on-going stages of </w:t>
            </w:r>
            <w:proofErr w:type="spellStart"/>
            <w:r w:rsidRPr="00D41EC7">
              <w:rPr>
                <w:color w:val="000000"/>
                <w:sz w:val="18"/>
                <w:szCs w:val="18"/>
              </w:rPr>
              <w:t>mHealth</w:t>
            </w:r>
            <w:proofErr w:type="spellEnd"/>
            <w:r w:rsidRPr="00D41EC7">
              <w:rPr>
                <w:color w:val="000000"/>
                <w:sz w:val="18"/>
                <w:szCs w:val="18"/>
              </w:rPr>
              <w:t xml:space="preserve"> project goals for scaling up and sustainability, whether projects are focused on government adoption, commercial</w:t>
            </w:r>
            <w:r>
              <w:rPr>
                <w:color w:val="000000"/>
                <w:sz w:val="18"/>
                <w:szCs w:val="18"/>
              </w:rPr>
              <w:t xml:space="preserve"> adoption, or a hybrid model” p1</w:t>
            </w:r>
          </w:p>
          <w:p w14:paraId="78CA73FF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b/>
                <w:color w:val="000000"/>
                <w:sz w:val="18"/>
                <w:szCs w:val="18"/>
              </w:rPr>
            </w:pPr>
          </w:p>
          <w:p w14:paraId="09D0EF75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 w:rsidRPr="00D41EC7">
              <w:rPr>
                <w:b/>
                <w:color w:val="000000"/>
                <w:sz w:val="18"/>
                <w:szCs w:val="18"/>
              </w:rPr>
              <w:t>Considerations:</w:t>
            </w:r>
            <w:r w:rsidRPr="00D41EC7">
              <w:rPr>
                <w:color w:val="000000"/>
                <w:sz w:val="18"/>
                <w:szCs w:val="18"/>
              </w:rPr>
              <w:t xml:space="preserve"> </w:t>
            </w:r>
            <w:r w:rsidRPr="00D41EC7">
              <w:rPr>
                <w:sz w:val="18"/>
                <w:szCs w:val="18"/>
              </w:rPr>
              <w:t>Scale up requirements, health policy, partnerships, finance, technology and architecture, operational, monitoring and evaluation</w:t>
            </w:r>
          </w:p>
          <w:p w14:paraId="2F7F0BAF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</w:p>
          <w:p w14:paraId="37F00A8C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b/>
                <w:sz w:val="18"/>
                <w:szCs w:val="18"/>
              </w:rPr>
            </w:pPr>
            <w:r w:rsidRPr="00D41EC7">
              <w:rPr>
                <w:b/>
                <w:color w:val="000000"/>
                <w:sz w:val="18"/>
                <w:szCs w:val="18"/>
              </w:rPr>
              <w:t>Relationships:</w:t>
            </w:r>
            <w:r w:rsidRPr="00D41EC7">
              <w:rPr>
                <w:color w:val="000000"/>
                <w:sz w:val="18"/>
                <w:szCs w:val="18"/>
              </w:rPr>
              <w:t xml:space="preserve"> An “axis” is split into one or more domain and supported with assessment and planning sections. Iterative process from assessment, planning and improvements.</w:t>
            </w:r>
          </w:p>
        </w:tc>
        <w:tc>
          <w:tcPr>
            <w:tcW w:w="0" w:type="auto"/>
            <w:shd w:val="clear" w:color="auto" w:fill="auto"/>
          </w:tcPr>
          <w:p w14:paraId="0ED16BC3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color w:val="000000"/>
                <w:sz w:val="18"/>
                <w:szCs w:val="18"/>
              </w:rPr>
              <w:t xml:space="preserve">Applied the toolkit to the projects of the network of Innovative Working Group </w:t>
            </w:r>
            <w:proofErr w:type="spellStart"/>
            <w:r w:rsidRPr="00D41EC7">
              <w:rPr>
                <w:color w:val="000000"/>
                <w:sz w:val="18"/>
                <w:szCs w:val="18"/>
              </w:rPr>
              <w:t>mHealth</w:t>
            </w:r>
            <w:proofErr w:type="spellEnd"/>
            <w:r w:rsidRPr="00D41EC7">
              <w:rPr>
                <w:color w:val="000000"/>
                <w:sz w:val="18"/>
                <w:szCs w:val="18"/>
              </w:rPr>
              <w:t xml:space="preserve"> project grantees during a validation workshop in Malawi.</w:t>
            </w:r>
          </w:p>
        </w:tc>
      </w:tr>
      <w:tr w:rsidR="00C0703D" w:rsidRPr="00D41EC7" w14:paraId="2458C49A" w14:textId="77777777" w:rsidTr="00A6728B">
        <w:tc>
          <w:tcPr>
            <w:tcW w:w="0" w:type="auto"/>
            <w:shd w:val="clear" w:color="auto" w:fill="auto"/>
          </w:tcPr>
          <w:p w14:paraId="47518261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ZA"/>
              </w:rPr>
            </w:pPr>
            <w:proofErr w:type="spellStart"/>
            <w:proofErr w:type="gramStart"/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>mHA</w:t>
            </w:r>
            <w:proofErr w:type="spellEnd"/>
            <w:proofErr w:type="gramEnd"/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 xml:space="preserve"> </w:t>
            </w:r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fldChar w:fldCharType="begin"/>
            </w:r>
            <w:r>
              <w:rPr>
                <w:rFonts w:eastAsiaTheme="minorEastAsia"/>
                <w:sz w:val="18"/>
                <w:szCs w:val="18"/>
                <w:lang w:val="en-US" w:eastAsia="ja-JP"/>
              </w:rPr>
              <w:instrText xml:space="preserve"> ADDIN EN.CITE &lt;EndNote&gt;&lt;Cite&gt;&lt;Author&gt;Leon&lt;/Author&gt;&lt;Year&gt;2012&lt;/Year&gt;&lt;RecNum&gt;738&lt;/RecNum&gt;&lt;DisplayText&gt;[2]&lt;/DisplayText&gt;&lt;record&gt;&lt;rec-number&gt;738&lt;/rec-number&gt;&lt;foreign-keys&gt;&lt;key app="EN" db-id="9wvf05rpgzpfxmee0t55av0urt252w2p5s0t" timestamp="1452762219"&gt;738&lt;/key&gt;&lt;key app="ENWeb" db-id=""&gt;0&lt;/key&gt;&lt;/foreign-keys&gt;&lt;ref-type name="Journal Article"&gt;17&lt;/ref-type&gt;&lt;contributors&gt;&lt;authors&gt;&lt;author&gt;Leon, N&lt;/author&gt;&lt;author&gt;Schneider, H&lt;/author&gt;&lt;author&gt;Daviaud, E&lt;/author&gt;&lt;/authors&gt;&lt;/contributors&gt;&lt;auth-address&gt;natalie.leon@mrc.ac.za&lt;/auth-address&gt;&lt;titles&gt;&lt;title&gt;Applying a framework for assessing the health system challenges to scaling up mHealth in South Africa&lt;/title&gt;&lt;secondary-title&gt;BMC Medical Informatics and Decision Making&lt;/secondary-title&gt;&lt;/titles&gt;&lt;periodical&gt;&lt;full-title&gt;BMC Medical Informatics and Decision Making&lt;/full-title&gt;&lt;/periodical&gt;&lt;pages&gt;123&lt;/pages&gt;&lt;volume&gt;12&lt;/volume&gt;&lt;keywords&gt;&lt;keyword&gt;MHealth, Mobile phone technology, Health systems framework, Community-based health services, South Africa&lt;/keyword&gt;&lt;/keywords&gt;&lt;dates&gt;&lt;year&gt;2012&lt;/year&gt;&lt;/dates&gt;&lt;urls&gt;&lt;/urls&gt;&lt;electronic-resource-num&gt;https://doi.org/10.1186/1472-6947-12-123&lt;/electronic-resource-num&gt;&lt;remote-database-name&gt;BioMed Central&lt;/remote-database-name&gt;&lt;research-notes&gt;Scale up framework,Assessment Framework, Implementation Review, South Africa (SA)&lt;/research-notes&gt;&lt;language&gt;English&lt;/language&gt;&lt;access-date&gt;18 November 2017&lt;/access-date&gt;&lt;/record&gt;&lt;/Cite&gt;&lt;/EndNote&gt;</w:instrText>
            </w:r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fldChar w:fldCharType="separate"/>
            </w:r>
            <w:r>
              <w:rPr>
                <w:rFonts w:eastAsiaTheme="minorEastAsia"/>
                <w:noProof/>
                <w:sz w:val="18"/>
                <w:szCs w:val="18"/>
                <w:lang w:val="en-US" w:eastAsia="ja-JP"/>
              </w:rPr>
              <w:t>[2]</w:t>
            </w:r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1D03A77F" w14:textId="77777777" w:rsidR="00C0703D" w:rsidRPr="00D41EC7" w:rsidRDefault="00C0703D" w:rsidP="00A672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Theme="minorEastAsia"/>
                <w:sz w:val="18"/>
                <w:szCs w:val="18"/>
                <w:lang w:val="en-US" w:eastAsia="ja-JP"/>
              </w:rPr>
            </w:pPr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 xml:space="preserve">A qualitative study:  literature review, interviews, site visits, </w:t>
            </w:r>
          </w:p>
          <w:p w14:paraId="303D67F6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3ECA2461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sz w:val="18"/>
                <w:szCs w:val="18"/>
                <w:lang w:val="en-US"/>
              </w:rPr>
              <w:t>Placed a reliance on the underlying theories of the three adapted approaches</w:t>
            </w:r>
          </w:p>
        </w:tc>
        <w:tc>
          <w:tcPr>
            <w:tcW w:w="0" w:type="auto"/>
            <w:shd w:val="clear" w:color="auto" w:fill="auto"/>
          </w:tcPr>
          <w:p w14:paraId="6BE2792C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b/>
                <w:sz w:val="18"/>
                <w:szCs w:val="18"/>
                <w:lang w:val="en-US"/>
              </w:rPr>
              <w:t>Components:</w:t>
            </w:r>
            <w:r w:rsidRPr="00D41EC7">
              <w:rPr>
                <w:sz w:val="18"/>
                <w:szCs w:val="18"/>
                <w:lang w:val="en-US"/>
              </w:rPr>
              <w:t xml:space="preserve"> Four health system dimensions with nine key elements to be considered:</w:t>
            </w:r>
          </w:p>
          <w:p w14:paraId="6A4F8850" w14:textId="77777777" w:rsidR="00C0703D" w:rsidRPr="00D41EC7" w:rsidRDefault="00C0703D" w:rsidP="00A6728B">
            <w:pPr>
              <w:pStyle w:val="ListParagraph"/>
              <w:numPr>
                <w:ilvl w:val="0"/>
                <w:numId w:val="8"/>
              </w:numPr>
              <w:ind w:left="360"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b/>
                <w:sz w:val="18"/>
                <w:szCs w:val="18"/>
                <w:lang w:val="en-US"/>
              </w:rPr>
              <w:t>Government stewardship:</w:t>
            </w:r>
            <w:r w:rsidRPr="00D41EC7">
              <w:rPr>
                <w:sz w:val="18"/>
                <w:szCs w:val="18"/>
                <w:lang w:val="en-US"/>
              </w:rPr>
              <w:t xml:space="preserve"> strategic leadership, learning environment;</w:t>
            </w:r>
          </w:p>
          <w:p w14:paraId="082D64AB" w14:textId="77777777" w:rsidR="00C0703D" w:rsidRPr="00D41EC7" w:rsidRDefault="00C0703D" w:rsidP="00A6728B">
            <w:pPr>
              <w:pStyle w:val="ListParagraph"/>
              <w:numPr>
                <w:ilvl w:val="0"/>
                <w:numId w:val="8"/>
              </w:numPr>
              <w:ind w:left="360"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b/>
                <w:sz w:val="18"/>
                <w:szCs w:val="18"/>
                <w:lang w:val="en-US"/>
              </w:rPr>
              <w:t>Organizational systems:</w:t>
            </w:r>
            <w:r w:rsidRPr="00D41EC7">
              <w:rPr>
                <w:sz w:val="18"/>
                <w:szCs w:val="18"/>
                <w:lang w:val="en-US"/>
              </w:rPr>
              <w:t xml:space="preserve"> culture of information use, capacity for implementation;</w:t>
            </w:r>
          </w:p>
          <w:p w14:paraId="507BB469" w14:textId="77777777" w:rsidR="00C0703D" w:rsidRPr="00D41EC7" w:rsidRDefault="00C0703D" w:rsidP="00A6728B">
            <w:pPr>
              <w:pStyle w:val="ListParagraph"/>
              <w:numPr>
                <w:ilvl w:val="0"/>
                <w:numId w:val="8"/>
              </w:numPr>
              <w:ind w:left="360"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b/>
                <w:sz w:val="18"/>
                <w:szCs w:val="18"/>
                <w:lang w:val="en-US"/>
              </w:rPr>
              <w:lastRenderedPageBreak/>
              <w:t>Technological systems:</w:t>
            </w:r>
            <w:r w:rsidRPr="00D41EC7">
              <w:rPr>
                <w:sz w:val="18"/>
                <w:szCs w:val="18"/>
                <w:lang w:val="en-US"/>
              </w:rPr>
              <w:t xml:space="preserve"> usability, interoperability, privacy and security;</w:t>
            </w:r>
          </w:p>
          <w:p w14:paraId="34C4F424" w14:textId="77777777" w:rsidR="00C0703D" w:rsidRPr="00D41EC7" w:rsidRDefault="00C0703D" w:rsidP="00A6728B">
            <w:pPr>
              <w:pStyle w:val="ListParagraph"/>
              <w:numPr>
                <w:ilvl w:val="0"/>
                <w:numId w:val="8"/>
              </w:numPr>
              <w:ind w:left="360"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b/>
                <w:sz w:val="18"/>
                <w:szCs w:val="18"/>
                <w:lang w:val="en-US"/>
              </w:rPr>
              <w:t>Financial systems:</w:t>
            </w:r>
            <w:r w:rsidRPr="00D41EC7">
              <w:rPr>
                <w:sz w:val="18"/>
                <w:szCs w:val="18"/>
                <w:lang w:val="en-US"/>
              </w:rPr>
              <w:t xml:space="preserve"> sustainable funding, cost effectiveness</w:t>
            </w:r>
          </w:p>
        </w:tc>
        <w:tc>
          <w:tcPr>
            <w:tcW w:w="0" w:type="auto"/>
            <w:shd w:val="clear" w:color="auto" w:fill="auto"/>
          </w:tcPr>
          <w:p w14:paraId="02D6D44F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b/>
                <w:color w:val="000000"/>
                <w:sz w:val="18"/>
                <w:szCs w:val="18"/>
              </w:rPr>
            </w:pPr>
            <w:r w:rsidRPr="00D41EC7">
              <w:rPr>
                <w:b/>
                <w:color w:val="000000"/>
                <w:sz w:val="18"/>
                <w:szCs w:val="18"/>
              </w:rPr>
              <w:lastRenderedPageBreak/>
              <w:t xml:space="preserve">Phases (keywords = phase/ steps/ sequencing) </w:t>
            </w:r>
            <w:r w:rsidRPr="00D41EC7">
              <w:rPr>
                <w:color w:val="000000"/>
                <w:sz w:val="18"/>
                <w:szCs w:val="18"/>
              </w:rPr>
              <w:t>no details provided</w:t>
            </w:r>
          </w:p>
          <w:p w14:paraId="069B9C44" w14:textId="77777777" w:rsidR="00C0703D" w:rsidRPr="00D41EC7" w:rsidRDefault="00C0703D" w:rsidP="00A672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Theme="minorEastAsia"/>
                <w:b/>
                <w:sz w:val="18"/>
                <w:szCs w:val="18"/>
                <w:lang w:val="en-US" w:eastAsia="ja-JP"/>
              </w:rPr>
            </w:pPr>
          </w:p>
          <w:p w14:paraId="1AC68DB6" w14:textId="77777777" w:rsidR="00C0703D" w:rsidRPr="00D41EC7" w:rsidRDefault="00C0703D" w:rsidP="00A672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Theme="minorEastAsia"/>
                <w:sz w:val="18"/>
                <w:szCs w:val="18"/>
                <w:lang w:val="en-US" w:eastAsia="ja-JP"/>
              </w:rPr>
            </w:pPr>
            <w:r w:rsidRPr="00D41EC7">
              <w:rPr>
                <w:rFonts w:eastAsiaTheme="minorEastAsia"/>
                <w:b/>
                <w:sz w:val="18"/>
                <w:szCs w:val="18"/>
                <w:lang w:val="en-US" w:eastAsia="ja-JP"/>
              </w:rPr>
              <w:t xml:space="preserve">Considerations: </w:t>
            </w:r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>Using a framework adapted from three approaches</w:t>
            </w:r>
            <w:r w:rsidRPr="00D41EC7">
              <w:rPr>
                <w:sz w:val="18"/>
                <w:szCs w:val="18"/>
                <w:lang w:val="en-US"/>
              </w:rPr>
              <w:t xml:space="preserve">: sustainable ICT development in LMIC, infrastructural and cultural context and systems challenges, and </w:t>
            </w:r>
            <w:proofErr w:type="spellStart"/>
            <w:r w:rsidRPr="00D41EC7">
              <w:rPr>
                <w:sz w:val="18"/>
                <w:szCs w:val="18"/>
                <w:lang w:val="en-US"/>
              </w:rPr>
              <w:t>eReadiness</w:t>
            </w:r>
            <w:proofErr w:type="spellEnd"/>
            <w:r w:rsidRPr="00D41EC7">
              <w:rPr>
                <w:sz w:val="18"/>
                <w:szCs w:val="18"/>
                <w:lang w:val="en-US"/>
              </w:rPr>
              <w:t xml:space="preserve"> assessment.</w:t>
            </w:r>
          </w:p>
          <w:p w14:paraId="4E3741A5" w14:textId="77777777" w:rsidR="00C0703D" w:rsidRPr="00D41EC7" w:rsidRDefault="00C0703D" w:rsidP="00A672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Theme="minorEastAsia"/>
                <w:sz w:val="18"/>
                <w:szCs w:val="18"/>
                <w:lang w:val="en-US" w:eastAsia="ja-JP"/>
              </w:rPr>
            </w:pPr>
          </w:p>
          <w:p w14:paraId="38DE2CEC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b/>
                <w:sz w:val="18"/>
                <w:szCs w:val="18"/>
              </w:rPr>
            </w:pPr>
            <w:r w:rsidRPr="00D41EC7">
              <w:rPr>
                <w:b/>
                <w:sz w:val="18"/>
                <w:szCs w:val="18"/>
              </w:rPr>
              <w:lastRenderedPageBreak/>
              <w:t>Relationships:</w:t>
            </w:r>
            <w:r w:rsidRPr="00D41EC7">
              <w:rPr>
                <w:sz w:val="18"/>
                <w:szCs w:val="18"/>
              </w:rPr>
              <w:t xml:space="preserve"> Every dimension a question and have specific elements that need to be considered in decision making</w:t>
            </w:r>
          </w:p>
        </w:tc>
        <w:tc>
          <w:tcPr>
            <w:tcW w:w="0" w:type="auto"/>
            <w:shd w:val="clear" w:color="auto" w:fill="auto"/>
          </w:tcPr>
          <w:p w14:paraId="3E6E30F4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sz w:val="18"/>
                <w:szCs w:val="18"/>
                <w:lang w:val="en-US"/>
              </w:rPr>
              <w:lastRenderedPageBreak/>
              <w:t>Community-based health promotion and prevention, and health awareness education</w:t>
            </w:r>
          </w:p>
        </w:tc>
      </w:tr>
      <w:tr w:rsidR="00C0703D" w:rsidRPr="00D41EC7" w14:paraId="35D79B8F" w14:textId="77777777" w:rsidTr="00A6728B">
        <w:tc>
          <w:tcPr>
            <w:tcW w:w="0" w:type="auto"/>
            <w:shd w:val="clear" w:color="auto" w:fill="auto"/>
          </w:tcPr>
          <w:p w14:paraId="7C7B181D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  <w:r w:rsidRPr="00D41EC7">
              <w:rPr>
                <w:sz w:val="18"/>
                <w:szCs w:val="18"/>
                <w:lang w:val="en-ZA"/>
              </w:rPr>
              <w:lastRenderedPageBreak/>
              <w:t xml:space="preserve">MTT </w:t>
            </w:r>
            <w:r w:rsidRPr="00D41EC7">
              <w:rPr>
                <w:sz w:val="18"/>
                <w:szCs w:val="18"/>
                <w:lang w:val="en-ZA"/>
              </w:rPr>
              <w:fldChar w:fldCharType="begin"/>
            </w:r>
            <w:r>
              <w:rPr>
                <w:sz w:val="18"/>
                <w:szCs w:val="18"/>
                <w:lang w:val="en-ZA"/>
              </w:rPr>
              <w:instrText xml:space="preserve"> ADDIN EN.CITE &lt;EndNote&gt;&lt;Cite&gt;&lt;Author&gt;Jensen&lt;/Author&gt;&lt;Year&gt;2015&lt;/Year&gt;&lt;RecNum&gt;366&lt;/RecNum&gt;&lt;DisplayText&gt;[3]&lt;/DisplayText&gt;&lt;record&gt;&lt;rec-number&gt;366&lt;/rec-number&gt;&lt;foreign-keys&gt;&lt;key app="EN" db-id="9wvf05rpgzpfxmee0t55av0urt252w2p5s0t" timestamp="1452758508"&gt;366&lt;/key&gt;&lt;key app="ENWeb" db-id=""&gt;0&lt;/key&gt;&lt;/foreign-keys&gt;&lt;ref-type name="Report"&gt;27&lt;/ref-type&gt;&lt;contributors&gt;&lt;authors&gt;&lt;author&gt;Jensen, Lise Kvistgaard.&lt;/author&gt;&lt;author&gt;Knarvik, Undine.&lt;/author&gt;&lt;author&gt;Pedersen, Claus Duedal.&lt;/author&gt;&lt;author&gt;Tangene, Wenche.&lt;/author&gt;&lt;author&gt;Whitehouse, Diane.&lt;/author&gt;&lt;/authors&gt;&lt;/contributors&gt;&lt;titles&gt;&lt;title&gt;Deliverable 3.4 Personalised Blueprint for telemedicine deployment: validated and tested version version&lt;/title&gt;&lt;/titles&gt;&lt;keywords&gt;&lt;keyword&gt;Blueprint, business plan, champion, change management, compelling need, decisionmakers, doers, eHealth, financing, healthcare professionals, large-scale deployment, legal and security experts, legislation, legal and security guidelines, legal and securi&lt;/keyword&gt;&lt;/keywords&gt;&lt;dates&gt;&lt;year&gt;2015&lt;/year&gt;&lt;/dates&gt;&lt;urls&gt;&lt;related-urls&gt;&lt;url&gt;http://www.telemedicine-momentum.eu/wp-content/uploads/2015/02/D3.4_v1.0_ValidatedBlueprint.pdf&lt;/url&gt;&lt;/related-urls&gt;&lt;/urls&gt;&lt;research-notes&gt;Telemedicine Scale Up&lt;/research-notes&gt;&lt;language&gt;English&lt;/language&gt;&lt;access-date&gt;18 November 2017&lt;/access-date&gt;&lt;/record&gt;&lt;/Cite&gt;&lt;/EndNote&gt;</w:instrText>
            </w:r>
            <w:r w:rsidRPr="00D41EC7">
              <w:rPr>
                <w:sz w:val="18"/>
                <w:szCs w:val="18"/>
                <w:lang w:val="en-ZA"/>
              </w:rPr>
              <w:fldChar w:fldCharType="separate"/>
            </w:r>
            <w:r>
              <w:rPr>
                <w:noProof/>
                <w:sz w:val="18"/>
                <w:szCs w:val="18"/>
                <w:lang w:val="en-ZA"/>
              </w:rPr>
              <w:t>[3]</w:t>
            </w:r>
            <w:r w:rsidRPr="00D41EC7">
              <w:rPr>
                <w:sz w:val="18"/>
                <w:szCs w:val="18"/>
                <w:lang w:val="en-ZA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19591E61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sz w:val="18"/>
                <w:szCs w:val="18"/>
                <w:lang w:val="en-US"/>
              </w:rPr>
              <w:t>Survey, user and implementation experience</w:t>
            </w:r>
          </w:p>
        </w:tc>
        <w:tc>
          <w:tcPr>
            <w:tcW w:w="0" w:type="auto"/>
            <w:shd w:val="clear" w:color="auto" w:fill="auto"/>
          </w:tcPr>
          <w:p w14:paraId="0AEF1CE0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sz w:val="18"/>
                <w:szCs w:val="18"/>
                <w:lang w:val="en-US"/>
              </w:rPr>
              <w:t xml:space="preserve">No </w:t>
            </w:r>
            <w:r>
              <w:rPr>
                <w:sz w:val="18"/>
                <w:szCs w:val="18"/>
                <w:lang w:val="en-US"/>
              </w:rPr>
              <w:t xml:space="preserve">specific </w:t>
            </w:r>
            <w:r w:rsidRPr="00D41EC7">
              <w:rPr>
                <w:sz w:val="18"/>
                <w:szCs w:val="18"/>
                <w:lang w:val="en-US"/>
              </w:rPr>
              <w:t>details provided but tools used: practical experience, Model for Assessment of Telemedicine (MAST), Common Working Model (CALLIOPE project)</w:t>
            </w:r>
          </w:p>
        </w:tc>
        <w:tc>
          <w:tcPr>
            <w:tcW w:w="0" w:type="auto"/>
            <w:shd w:val="clear" w:color="auto" w:fill="auto"/>
          </w:tcPr>
          <w:p w14:paraId="1233623E" w14:textId="77777777" w:rsidR="00C0703D" w:rsidRPr="00E07119" w:rsidRDefault="00C0703D" w:rsidP="00A6728B">
            <w:pPr>
              <w:spacing w:after="0" w:line="240" w:lineRule="auto"/>
              <w:contextualSpacing/>
              <w:jc w:val="left"/>
              <w:rPr>
                <w:color w:val="000000" w:themeColor="text1"/>
                <w:sz w:val="18"/>
                <w:szCs w:val="18"/>
                <w:lang w:val="en-US"/>
              </w:rPr>
            </w:pPr>
            <w:r w:rsidRPr="00E07119">
              <w:rPr>
                <w:b/>
                <w:color w:val="000000" w:themeColor="text1"/>
                <w:sz w:val="18"/>
                <w:szCs w:val="18"/>
                <w:lang w:val="en-US"/>
              </w:rPr>
              <w:t>Components:</w:t>
            </w:r>
            <w:r w:rsidRPr="00E07119">
              <w:rPr>
                <w:color w:val="000000" w:themeColor="text1"/>
                <w:sz w:val="18"/>
                <w:szCs w:val="18"/>
                <w:lang w:val="en-US"/>
              </w:rPr>
              <w:t xml:space="preserve"> Two core prerequisites followed by four domains and four levels/ elements with 18 critical success factors (CSF) and 51 indicators for telemedicine implementation</w:t>
            </w:r>
          </w:p>
          <w:p w14:paraId="584CA616" w14:textId="77777777" w:rsidR="00C0703D" w:rsidRPr="00E07119" w:rsidRDefault="00C0703D" w:rsidP="00A6728B">
            <w:pPr>
              <w:spacing w:after="0" w:line="240" w:lineRule="auto"/>
              <w:contextualSpacing/>
              <w:jc w:val="left"/>
              <w:rPr>
                <w:b/>
                <w:color w:val="000000" w:themeColor="text1"/>
                <w:sz w:val="18"/>
                <w:szCs w:val="18"/>
                <w:lang w:val="en-US"/>
              </w:rPr>
            </w:pPr>
          </w:p>
          <w:p w14:paraId="0F8C715D" w14:textId="77777777" w:rsidR="00C0703D" w:rsidRPr="00E07119" w:rsidRDefault="00C0703D" w:rsidP="00A6728B">
            <w:pPr>
              <w:spacing w:after="0" w:line="240" w:lineRule="auto"/>
              <w:contextualSpacing/>
              <w:jc w:val="left"/>
              <w:rPr>
                <w:color w:val="000000" w:themeColor="text1"/>
                <w:sz w:val="18"/>
                <w:szCs w:val="18"/>
                <w:lang w:val="en-US"/>
              </w:rPr>
            </w:pPr>
            <w:r w:rsidRPr="00E07119">
              <w:rPr>
                <w:b/>
                <w:color w:val="000000" w:themeColor="text1"/>
                <w:sz w:val="18"/>
                <w:szCs w:val="18"/>
                <w:lang w:val="en-US"/>
              </w:rPr>
              <w:t>Core Prerequisites:</w:t>
            </w:r>
            <w:r w:rsidRPr="00E07119">
              <w:rPr>
                <w:color w:val="000000" w:themeColor="text1"/>
                <w:sz w:val="18"/>
                <w:szCs w:val="18"/>
                <w:lang w:val="en-US"/>
              </w:rPr>
              <w:t xml:space="preserve"> IT system design and evidenced based intervention</w:t>
            </w:r>
            <w:r>
              <w:rPr>
                <w:color w:val="000000" w:themeColor="text1"/>
                <w:sz w:val="18"/>
                <w:szCs w:val="18"/>
                <w:lang w:val="en-US"/>
              </w:rPr>
              <w:t xml:space="preserve"> -</w:t>
            </w:r>
          </w:p>
          <w:p w14:paraId="19E5A852" w14:textId="77777777" w:rsidR="00C0703D" w:rsidRPr="00E07119" w:rsidRDefault="00C0703D" w:rsidP="00A6728B">
            <w:pPr>
              <w:pStyle w:val="ListParagraph"/>
              <w:numPr>
                <w:ilvl w:val="0"/>
                <w:numId w:val="3"/>
              </w:numPr>
              <w:jc w:val="left"/>
              <w:rPr>
                <w:color w:val="000000" w:themeColor="text1"/>
                <w:sz w:val="18"/>
                <w:szCs w:val="18"/>
                <w:lang w:val="en-US"/>
              </w:rPr>
            </w:pPr>
            <w:r w:rsidRPr="00E07119">
              <w:rPr>
                <w:b/>
                <w:color w:val="000000" w:themeColor="text1"/>
                <w:sz w:val="18"/>
                <w:szCs w:val="18"/>
                <w:lang w:val="en-US"/>
              </w:rPr>
              <w:t xml:space="preserve">Context: </w:t>
            </w:r>
            <w:r w:rsidRPr="00E07119">
              <w:rPr>
                <w:color w:val="000000" w:themeColor="text1"/>
                <w:sz w:val="18"/>
                <w:szCs w:val="18"/>
                <w:lang w:val="en-US"/>
              </w:rPr>
              <w:t>C</w:t>
            </w:r>
            <w:r>
              <w:rPr>
                <w:color w:val="000000" w:themeColor="text1"/>
                <w:sz w:val="18"/>
                <w:szCs w:val="18"/>
                <w:lang w:val="en-US"/>
              </w:rPr>
              <w:t xml:space="preserve">ritical success factor (CSF) - </w:t>
            </w:r>
            <w:r w:rsidRPr="00E07119">
              <w:rPr>
                <w:color w:val="000000" w:themeColor="text1"/>
                <w:sz w:val="18"/>
                <w:szCs w:val="18"/>
                <w:lang w:val="en-US"/>
              </w:rPr>
              <w:t>Cultural readiness, compelling need</w:t>
            </w:r>
          </w:p>
          <w:p w14:paraId="1A7719B9" w14:textId="77777777" w:rsidR="00C0703D" w:rsidRPr="00E07119" w:rsidRDefault="00C0703D" w:rsidP="00A6728B">
            <w:pPr>
              <w:pStyle w:val="ListParagraph"/>
              <w:numPr>
                <w:ilvl w:val="0"/>
                <w:numId w:val="3"/>
              </w:numPr>
              <w:jc w:val="left"/>
              <w:rPr>
                <w:color w:val="000000" w:themeColor="text1"/>
                <w:sz w:val="18"/>
                <w:szCs w:val="18"/>
                <w:lang w:val="en-US"/>
              </w:rPr>
            </w:pPr>
            <w:r w:rsidRPr="00E07119">
              <w:rPr>
                <w:b/>
                <w:color w:val="000000" w:themeColor="text1"/>
                <w:sz w:val="18"/>
                <w:szCs w:val="18"/>
                <w:lang w:val="en-US"/>
              </w:rPr>
              <w:t>People:</w:t>
            </w:r>
            <w:r>
              <w:rPr>
                <w:color w:val="000000" w:themeColor="text1"/>
                <w:sz w:val="18"/>
                <w:szCs w:val="18"/>
                <w:lang w:val="en-US"/>
              </w:rPr>
              <w:t xml:space="preserve"> CSF -</w:t>
            </w:r>
            <w:r w:rsidRPr="00E07119">
              <w:rPr>
                <w:color w:val="000000" w:themeColor="text1"/>
                <w:sz w:val="18"/>
                <w:szCs w:val="18"/>
                <w:lang w:val="en-US"/>
              </w:rPr>
              <w:t xml:space="preserve"> Leadership, stakeholder involvement, patient centeredness and user friendliness</w:t>
            </w:r>
          </w:p>
          <w:p w14:paraId="66229011" w14:textId="77777777" w:rsidR="00C0703D" w:rsidRPr="00E07119" w:rsidRDefault="00C0703D" w:rsidP="00A6728B">
            <w:pPr>
              <w:pStyle w:val="ListParagraph"/>
              <w:numPr>
                <w:ilvl w:val="0"/>
                <w:numId w:val="3"/>
              </w:numPr>
              <w:jc w:val="left"/>
              <w:rPr>
                <w:color w:val="000000" w:themeColor="text1"/>
                <w:sz w:val="18"/>
                <w:szCs w:val="18"/>
                <w:lang w:val="en-US"/>
              </w:rPr>
            </w:pPr>
            <w:r w:rsidRPr="00E07119">
              <w:rPr>
                <w:b/>
                <w:color w:val="000000" w:themeColor="text1"/>
                <w:sz w:val="18"/>
                <w:szCs w:val="18"/>
                <w:lang w:val="en-US"/>
              </w:rPr>
              <w:t>Plan:</w:t>
            </w:r>
            <w:r>
              <w:rPr>
                <w:color w:val="000000" w:themeColor="text1"/>
                <w:sz w:val="18"/>
                <w:szCs w:val="18"/>
                <w:lang w:val="en-US"/>
              </w:rPr>
              <w:t xml:space="preserve"> CSF - </w:t>
            </w:r>
            <w:r w:rsidRPr="00E07119">
              <w:rPr>
                <w:color w:val="000000" w:themeColor="text1"/>
                <w:sz w:val="18"/>
                <w:szCs w:val="18"/>
                <w:lang w:val="en-US"/>
              </w:rPr>
              <w:t>Resource aggregation, primary client, business plan, change management, legal and security conditions, potential for scale-up</w:t>
            </w:r>
          </w:p>
          <w:p w14:paraId="56FDCF6A" w14:textId="77777777" w:rsidR="00C0703D" w:rsidRPr="00E07119" w:rsidRDefault="00C0703D" w:rsidP="00A6728B">
            <w:pPr>
              <w:pStyle w:val="ListParagraph"/>
              <w:numPr>
                <w:ilvl w:val="0"/>
                <w:numId w:val="3"/>
              </w:numPr>
              <w:jc w:val="left"/>
              <w:rPr>
                <w:color w:val="000000" w:themeColor="text1"/>
                <w:sz w:val="18"/>
                <w:szCs w:val="18"/>
                <w:lang w:val="en-US"/>
              </w:rPr>
            </w:pPr>
            <w:r w:rsidRPr="00E07119">
              <w:rPr>
                <w:b/>
                <w:color w:val="000000" w:themeColor="text1"/>
                <w:sz w:val="18"/>
                <w:szCs w:val="18"/>
                <w:lang w:val="en-US"/>
              </w:rPr>
              <w:t>Run:</w:t>
            </w:r>
            <w:r>
              <w:rPr>
                <w:color w:val="000000" w:themeColor="text1"/>
                <w:sz w:val="18"/>
                <w:szCs w:val="18"/>
                <w:lang w:val="en-US"/>
              </w:rPr>
              <w:t xml:space="preserve"> CSF - </w:t>
            </w:r>
            <w:r w:rsidRPr="00E07119">
              <w:rPr>
                <w:color w:val="000000" w:themeColor="text1"/>
                <w:sz w:val="18"/>
                <w:szCs w:val="18"/>
                <w:lang w:val="en-US"/>
              </w:rPr>
              <w:t xml:space="preserve">Legal and security guidelines, legal and security experts, privacy awareness, IT and </w:t>
            </w:r>
            <w:proofErr w:type="spellStart"/>
            <w:r w:rsidRPr="00E07119">
              <w:rPr>
                <w:color w:val="000000" w:themeColor="text1"/>
                <w:sz w:val="18"/>
                <w:szCs w:val="18"/>
                <w:lang w:val="en-US"/>
              </w:rPr>
              <w:t>eHealth</w:t>
            </w:r>
            <w:proofErr w:type="spellEnd"/>
            <w:r w:rsidRPr="00E07119">
              <w:rPr>
                <w:color w:val="000000" w:themeColor="text1"/>
                <w:sz w:val="18"/>
                <w:szCs w:val="18"/>
                <w:lang w:val="en-US"/>
              </w:rPr>
              <w:t xml:space="preserve"> infrastructure, service monitoring and market procurement</w:t>
            </w:r>
          </w:p>
          <w:p w14:paraId="620AFD48" w14:textId="77777777" w:rsidR="00C0703D" w:rsidRPr="00E07119" w:rsidRDefault="00C0703D" w:rsidP="00A6728B">
            <w:pPr>
              <w:spacing w:after="0" w:line="240" w:lineRule="auto"/>
              <w:contextualSpacing/>
              <w:jc w:val="left"/>
              <w:rPr>
                <w:b/>
                <w:color w:val="000000" w:themeColor="text1"/>
                <w:sz w:val="18"/>
                <w:szCs w:val="18"/>
                <w:lang w:val="en-US"/>
              </w:rPr>
            </w:pPr>
          </w:p>
          <w:p w14:paraId="5AA3A2F3" w14:textId="77777777" w:rsidR="00C0703D" w:rsidRPr="00E07119" w:rsidRDefault="00C0703D" w:rsidP="00A6728B">
            <w:pPr>
              <w:spacing w:after="0" w:line="240" w:lineRule="auto"/>
              <w:contextualSpacing/>
              <w:jc w:val="left"/>
              <w:rPr>
                <w:color w:val="000000" w:themeColor="text1"/>
                <w:sz w:val="18"/>
                <w:szCs w:val="18"/>
                <w:lang w:val="en-US"/>
              </w:rPr>
            </w:pPr>
            <w:r w:rsidRPr="00E07119">
              <w:rPr>
                <w:b/>
                <w:color w:val="000000" w:themeColor="text1"/>
                <w:sz w:val="18"/>
                <w:szCs w:val="18"/>
                <w:lang w:val="en-US"/>
              </w:rPr>
              <w:t>Levels/ elements:</w:t>
            </w:r>
            <w:r w:rsidRPr="00E07119">
              <w:rPr>
                <w:color w:val="000000" w:themeColor="text1"/>
                <w:sz w:val="18"/>
                <w:szCs w:val="18"/>
                <w:lang w:val="en-US"/>
              </w:rPr>
              <w:t xml:space="preserve"> Strategy and </w:t>
            </w:r>
            <w:r w:rsidRPr="00E07119">
              <w:rPr>
                <w:color w:val="000000" w:themeColor="text1"/>
                <w:sz w:val="18"/>
                <w:szCs w:val="18"/>
                <w:lang w:val="en-US"/>
              </w:rPr>
              <w:lastRenderedPageBreak/>
              <w:t>management, Organization and management, Legal and security, Technology and market</w:t>
            </w:r>
          </w:p>
        </w:tc>
        <w:tc>
          <w:tcPr>
            <w:tcW w:w="0" w:type="auto"/>
            <w:shd w:val="clear" w:color="auto" w:fill="auto"/>
          </w:tcPr>
          <w:p w14:paraId="52AF1E6A" w14:textId="77777777" w:rsidR="00C0703D" w:rsidRPr="00D41EC7" w:rsidRDefault="00C0703D" w:rsidP="00A67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Theme="minorEastAsia"/>
                <w:sz w:val="18"/>
                <w:szCs w:val="18"/>
                <w:lang w:val="en-US" w:eastAsia="ja-JP"/>
              </w:rPr>
            </w:pPr>
            <w:r w:rsidRPr="00D41EC7">
              <w:rPr>
                <w:b/>
                <w:color w:val="000000"/>
                <w:sz w:val="18"/>
                <w:szCs w:val="18"/>
              </w:rPr>
              <w:lastRenderedPageBreak/>
              <w:t xml:space="preserve">Phases (keywords = phase/ steps/ sequencing) phases are mentioned such as </w:t>
            </w:r>
            <w:r w:rsidRPr="00D41EC7">
              <w:rPr>
                <w:color w:val="000000"/>
                <w:sz w:val="18"/>
                <w:szCs w:val="18"/>
              </w:rPr>
              <w:t>scale-up phase, test phase, pilot phase, transition phase, various phases of implementation are mentioned but it does not form part of the framework and dependencies. Stages are used but more “</w:t>
            </w:r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>stages of a pilot process” p33 or “They also indicated that the toolkit might be used more than once at different</w:t>
            </w:r>
          </w:p>
          <w:p w14:paraId="232EB60E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proofErr w:type="gramStart"/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>stages</w:t>
            </w:r>
            <w:proofErr w:type="gramEnd"/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 xml:space="preserve"> of telemedicine deployment” p33. The timetable refers to some stages bu</w:t>
            </w:r>
            <w:r>
              <w:rPr>
                <w:rFonts w:eastAsiaTheme="minorEastAsia"/>
                <w:sz w:val="18"/>
                <w:szCs w:val="18"/>
                <w:lang w:val="en-US" w:eastAsia="ja-JP"/>
              </w:rPr>
              <w:t>t it’s not integral to the frame</w:t>
            </w:r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 xml:space="preserve">work. </w:t>
            </w:r>
          </w:p>
          <w:p w14:paraId="520AFFFE" w14:textId="77777777" w:rsidR="00C0703D" w:rsidRPr="00D41EC7" w:rsidRDefault="00C0703D" w:rsidP="00A672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Theme="minorEastAsia"/>
                <w:b/>
                <w:sz w:val="18"/>
                <w:szCs w:val="18"/>
                <w:lang w:val="en-US" w:eastAsia="ja-JP"/>
              </w:rPr>
            </w:pPr>
          </w:p>
          <w:p w14:paraId="0B0B8300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  <w:r w:rsidRPr="00D41EC7">
              <w:rPr>
                <w:b/>
                <w:sz w:val="18"/>
                <w:szCs w:val="18"/>
              </w:rPr>
              <w:t>Considerations:</w:t>
            </w:r>
            <w:r w:rsidRPr="00D41EC7">
              <w:rPr>
                <w:sz w:val="18"/>
                <w:szCs w:val="18"/>
              </w:rPr>
              <w:t xml:space="preserve"> </w:t>
            </w:r>
            <w:r w:rsidRPr="00D41EC7">
              <w:rPr>
                <w:b/>
                <w:sz w:val="18"/>
                <w:szCs w:val="18"/>
                <w:lang w:val="en-US"/>
              </w:rPr>
              <w:t>Critical success factors (18)</w:t>
            </w:r>
            <w:r w:rsidRPr="00D41EC7">
              <w:rPr>
                <w:sz w:val="18"/>
                <w:szCs w:val="18"/>
                <w:lang w:val="en-US"/>
              </w:rPr>
              <w:t xml:space="preserve"> and supporting indicators</w:t>
            </w:r>
            <w:r w:rsidRPr="00D41EC7">
              <w:rPr>
                <w:sz w:val="18"/>
                <w:szCs w:val="18"/>
              </w:rPr>
              <w:t xml:space="preserve"> (51)</w:t>
            </w:r>
          </w:p>
          <w:p w14:paraId="53AD54AA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</w:p>
          <w:p w14:paraId="3B95EA68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  <w:r w:rsidRPr="00D41EC7">
              <w:rPr>
                <w:b/>
                <w:sz w:val="18"/>
                <w:szCs w:val="18"/>
              </w:rPr>
              <w:t xml:space="preserve">Relationships: </w:t>
            </w:r>
            <w:r w:rsidRPr="00D41EC7">
              <w:rPr>
                <w:sz w:val="18"/>
                <w:szCs w:val="18"/>
              </w:rPr>
              <w:t>Two core prerequisites must be met, followed by the critical success factors and supporting indicators. Tools and techniques included to guide self-assessment process</w:t>
            </w:r>
          </w:p>
        </w:tc>
        <w:tc>
          <w:tcPr>
            <w:tcW w:w="0" w:type="auto"/>
            <w:shd w:val="clear" w:color="auto" w:fill="auto"/>
          </w:tcPr>
          <w:p w14:paraId="014E59CC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  <w:r w:rsidRPr="00D41EC7">
              <w:rPr>
                <w:sz w:val="18"/>
                <w:szCs w:val="18"/>
                <w:lang w:val="en-US"/>
              </w:rPr>
              <w:t>Validated with UNITED4Health project in Kristiansand, Norway</w:t>
            </w:r>
          </w:p>
        </w:tc>
      </w:tr>
      <w:tr w:rsidR="00C0703D" w:rsidRPr="00D41EC7" w14:paraId="0F5CB685" w14:textId="77777777" w:rsidTr="00A6728B">
        <w:tc>
          <w:tcPr>
            <w:tcW w:w="0" w:type="auto"/>
            <w:shd w:val="clear" w:color="auto" w:fill="auto"/>
          </w:tcPr>
          <w:p w14:paraId="2B779C7C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  <w:r w:rsidRPr="00D41EC7">
              <w:rPr>
                <w:sz w:val="18"/>
                <w:szCs w:val="18"/>
                <w:lang w:val="en-ZA"/>
              </w:rPr>
              <w:lastRenderedPageBreak/>
              <w:t xml:space="preserve">SF </w:t>
            </w:r>
            <w:r w:rsidRPr="00D41EC7">
              <w:rPr>
                <w:sz w:val="18"/>
                <w:szCs w:val="18"/>
                <w:lang w:val="en-ZA"/>
              </w:rPr>
              <w:fldChar w:fldCharType="begin"/>
            </w:r>
            <w:r>
              <w:rPr>
                <w:sz w:val="18"/>
                <w:szCs w:val="18"/>
                <w:lang w:val="en-ZA"/>
              </w:rPr>
              <w:instrText xml:space="preserve"> ADDIN EN.CITE &lt;EndNote&gt;&lt;Cite&gt;&lt;Author&gt;Yamey&lt;/Author&gt;&lt;Year&gt;2011&lt;/Year&gt;&lt;RecNum&gt;40&lt;/RecNum&gt;&lt;DisplayText&gt;[4]&lt;/DisplayText&gt;&lt;record&gt;&lt;rec-number&gt;40&lt;/rec-number&gt;&lt;foreign-keys&gt;&lt;key app="EN" db-id="9wvf05rpgzpfxmee0t55av0urt252w2p5s0t" timestamp="1452756075"&gt;40&lt;/key&gt;&lt;key app="ENWeb" db-id=""&gt;0&lt;/key&gt;&lt;/foreign-keys&gt;&lt;ref-type name="Journal Article"&gt;17&lt;/ref-type&gt;&lt;contributors&gt;&lt;authors&gt;&lt;author&gt;Yamey, G.&lt;/author&gt;&lt;/authors&gt;&lt;/contributors&gt;&lt;titles&gt;&lt;title&gt;Scaling up global health interventions: A proposed framework for success&lt;/title&gt;&lt;secondary-title&gt;PLoS Med&lt;/secondary-title&gt;&lt;/titles&gt;&lt;periodical&gt;&lt;full-title&gt;PLoS Med&lt;/full-title&gt;&lt;/periodical&gt;&lt;pages&gt;e1001049&lt;/pages&gt;&lt;volume&gt;8&lt;/volume&gt;&lt;number&gt;6&lt;/number&gt;&lt;dates&gt;&lt;year&gt;2011&lt;/year&gt;&lt;/dates&gt;&lt;publisher&gt;Public Library of Science&lt;/publisher&gt;&lt;urls&gt;&lt;/urls&gt;&lt;electronic-resource-num&gt;https://doi.org/10.1371/journal.pmed.1001049&lt;/electronic-resource-num&gt;&lt;research-notes&gt;Scaling up Framework&lt;/research-notes&gt;&lt;access-date&gt;18 November 2017&lt;/access-date&gt;&lt;/record&gt;&lt;/Cite&gt;&lt;/EndNote&gt;</w:instrText>
            </w:r>
            <w:r w:rsidRPr="00D41EC7">
              <w:rPr>
                <w:sz w:val="18"/>
                <w:szCs w:val="18"/>
                <w:lang w:val="en-ZA"/>
              </w:rPr>
              <w:fldChar w:fldCharType="separate"/>
            </w:r>
            <w:r>
              <w:rPr>
                <w:noProof/>
                <w:sz w:val="18"/>
                <w:szCs w:val="18"/>
                <w:lang w:val="en-ZA"/>
              </w:rPr>
              <w:t>[4]</w:t>
            </w:r>
            <w:r w:rsidRPr="00D41EC7">
              <w:rPr>
                <w:sz w:val="18"/>
                <w:szCs w:val="18"/>
                <w:lang w:val="en-ZA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26BB16B1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sz w:val="18"/>
                <w:szCs w:val="18"/>
                <w:lang w:val="en-US"/>
              </w:rPr>
              <w:t>Literature review, interviews</w:t>
            </w:r>
          </w:p>
        </w:tc>
        <w:tc>
          <w:tcPr>
            <w:tcW w:w="0" w:type="auto"/>
            <w:shd w:val="clear" w:color="auto" w:fill="auto"/>
          </w:tcPr>
          <w:p w14:paraId="72624F60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sz w:val="18"/>
                <w:szCs w:val="18"/>
                <w:lang w:val="en-US"/>
              </w:rPr>
              <w:t>Adapted two typologies: constraints to scaling, and elements of scaling up.</w:t>
            </w:r>
          </w:p>
          <w:p w14:paraId="408C163A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sz w:val="18"/>
                <w:szCs w:val="18"/>
                <w:lang w:val="en-US"/>
              </w:rPr>
              <w:t>Diffusion and social network theories and implementation experience</w:t>
            </w:r>
          </w:p>
        </w:tc>
        <w:tc>
          <w:tcPr>
            <w:tcW w:w="0" w:type="auto"/>
            <w:shd w:val="clear" w:color="auto" w:fill="auto"/>
          </w:tcPr>
          <w:p w14:paraId="593D8EC1" w14:textId="77777777" w:rsidR="00C0703D" w:rsidRPr="00D41EC7" w:rsidRDefault="00C0703D" w:rsidP="00A67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b/>
                <w:sz w:val="18"/>
                <w:szCs w:val="18"/>
                <w:lang w:val="en-US"/>
              </w:rPr>
              <w:t>Components:</w:t>
            </w:r>
            <w:r w:rsidRPr="00D41EC7">
              <w:rPr>
                <w:sz w:val="18"/>
                <w:szCs w:val="18"/>
                <w:lang w:val="en-US"/>
              </w:rPr>
              <w:t xml:space="preserve"> Six success factor attribute categories and 13 success factors</w:t>
            </w:r>
          </w:p>
          <w:p w14:paraId="299A5A3B" w14:textId="77777777" w:rsidR="00C0703D" w:rsidRPr="00D41EC7" w:rsidRDefault="00C0703D" w:rsidP="00A6728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b/>
                <w:sz w:val="18"/>
                <w:szCs w:val="18"/>
                <w:lang w:val="en-US"/>
              </w:rPr>
              <w:t>Specific tool or service being scaled up:</w:t>
            </w:r>
            <w:r w:rsidRPr="00D41EC7">
              <w:rPr>
                <w:sz w:val="18"/>
                <w:szCs w:val="18"/>
                <w:lang w:val="en-US"/>
              </w:rPr>
              <w:t xml:space="preserve"> simplicity, scientifically robust technical policies</w:t>
            </w:r>
          </w:p>
          <w:p w14:paraId="2184544A" w14:textId="77777777" w:rsidR="00C0703D" w:rsidRPr="00D41EC7" w:rsidRDefault="00C0703D" w:rsidP="00A6728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b/>
                <w:sz w:val="18"/>
                <w:szCs w:val="18"/>
                <w:lang w:val="en-US"/>
              </w:rPr>
              <w:t>Implementers:</w:t>
            </w:r>
            <w:r w:rsidRPr="00D41EC7">
              <w:rPr>
                <w:sz w:val="18"/>
                <w:szCs w:val="18"/>
                <w:lang w:val="en-US"/>
              </w:rPr>
              <w:t xml:space="preserve"> strong leadership and governance, engaging local implementers and other stakeholders, using both state and non-state actors as implementers</w:t>
            </w:r>
          </w:p>
          <w:p w14:paraId="6CA25FF7" w14:textId="77777777" w:rsidR="00C0703D" w:rsidRPr="00D41EC7" w:rsidRDefault="00C0703D" w:rsidP="00A6728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b/>
                <w:sz w:val="18"/>
                <w:szCs w:val="18"/>
                <w:lang w:val="en-US"/>
              </w:rPr>
              <w:t>Chosen delivery strategy:</w:t>
            </w:r>
            <w:r w:rsidRPr="00D41EC7">
              <w:rPr>
                <w:sz w:val="18"/>
                <w:szCs w:val="18"/>
                <w:lang w:val="en-US"/>
              </w:rPr>
              <w:t xml:space="preserve"> applying diffusion and social network theories, cascade and phased approaches to scale-up, tailoring scale-up to the local situation and decentralizing delivery, adopting and integrated approach to scale-up</w:t>
            </w:r>
          </w:p>
          <w:p w14:paraId="2C4872B4" w14:textId="77777777" w:rsidR="00C0703D" w:rsidRPr="00D41EC7" w:rsidRDefault="00C0703D" w:rsidP="00A6728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b/>
                <w:sz w:val="18"/>
                <w:szCs w:val="18"/>
                <w:lang w:val="en-US"/>
              </w:rPr>
              <w:t>‘‘Adopting’’ community:</w:t>
            </w:r>
            <w:r w:rsidRPr="00D41EC7">
              <w:rPr>
                <w:sz w:val="18"/>
                <w:szCs w:val="18"/>
                <w:lang w:val="en-US"/>
              </w:rPr>
              <w:t xml:space="preserve"> an engaged “activated” community</w:t>
            </w:r>
          </w:p>
          <w:p w14:paraId="7265337C" w14:textId="77777777" w:rsidR="00C0703D" w:rsidRPr="00D41EC7" w:rsidRDefault="00C0703D" w:rsidP="00A6728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b/>
                <w:sz w:val="18"/>
                <w:szCs w:val="18"/>
                <w:lang w:val="en-US"/>
              </w:rPr>
              <w:t>Socio-political context:</w:t>
            </w:r>
            <w:r w:rsidRPr="00D41EC7">
              <w:rPr>
                <w:sz w:val="18"/>
                <w:szCs w:val="18"/>
                <w:lang w:val="en-US"/>
              </w:rPr>
              <w:t xml:space="preserve"> political will and national policies, country ownership</w:t>
            </w:r>
          </w:p>
          <w:p w14:paraId="2F7522EB" w14:textId="77777777" w:rsidR="00C0703D" w:rsidRPr="00D41EC7" w:rsidRDefault="00C0703D" w:rsidP="00A6728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b/>
                <w:sz w:val="18"/>
                <w:szCs w:val="18"/>
                <w:lang w:val="en-US"/>
              </w:rPr>
              <w:t>Research context:</w:t>
            </w:r>
            <w:r w:rsidRPr="00D41EC7">
              <w:rPr>
                <w:sz w:val="18"/>
                <w:szCs w:val="18"/>
                <w:lang w:val="en-US"/>
              </w:rPr>
              <w:t xml:space="preserve"> incorporating research into implementation</w:t>
            </w:r>
          </w:p>
        </w:tc>
        <w:tc>
          <w:tcPr>
            <w:tcW w:w="0" w:type="auto"/>
            <w:shd w:val="clear" w:color="auto" w:fill="auto"/>
          </w:tcPr>
          <w:p w14:paraId="3BC9696A" w14:textId="77777777" w:rsidR="00C0703D" w:rsidRPr="00D41EC7" w:rsidRDefault="00C0703D" w:rsidP="00A67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Theme="minorEastAsia"/>
                <w:sz w:val="18"/>
                <w:szCs w:val="18"/>
                <w:lang w:val="en-US" w:eastAsia="ja-JP"/>
              </w:rPr>
            </w:pPr>
            <w:r w:rsidRPr="00D41EC7">
              <w:rPr>
                <w:b/>
                <w:color w:val="000000"/>
                <w:sz w:val="18"/>
                <w:szCs w:val="18"/>
              </w:rPr>
              <w:t>Phases (keywords = phase/ steps/ sequencing) List phases under “delivery strategy” “</w:t>
            </w:r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>A related concept is the notion of going to scale in a phased manner, beginning with a pilot program, followed by stepwise expansion, learning lessons along the way to help refine further expansion” p2  - this is a secondary reference from “</w:t>
            </w:r>
            <w:proofErr w:type="spellStart"/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>Quelapio</w:t>
            </w:r>
            <w:proofErr w:type="spellEnd"/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 xml:space="preserve"> MID, Mira NRC, </w:t>
            </w:r>
            <w:proofErr w:type="spellStart"/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>Orillaza</w:t>
            </w:r>
            <w:proofErr w:type="spellEnd"/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 xml:space="preserve">-Chi RB, Belen V, </w:t>
            </w:r>
            <w:proofErr w:type="spellStart"/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>Mun˜ez</w:t>
            </w:r>
            <w:proofErr w:type="spellEnd"/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 xml:space="preserve"> N, et al. (2010) Responding to the multidrug-resistant tuberculosis crisis: mainstreaming programmatic management to the Philippine National Tuberculosis </w:t>
            </w:r>
            <w:proofErr w:type="spellStart"/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>Programme</w:t>
            </w:r>
            <w:proofErr w:type="spellEnd"/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 xml:space="preserve">. </w:t>
            </w:r>
            <w:proofErr w:type="spellStart"/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>Int</w:t>
            </w:r>
            <w:proofErr w:type="spellEnd"/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 xml:space="preserve"> J </w:t>
            </w:r>
            <w:proofErr w:type="spellStart"/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>Tuberc</w:t>
            </w:r>
            <w:proofErr w:type="spellEnd"/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 xml:space="preserve"> Lung Dis 14: 751–757.”</w:t>
            </w:r>
          </w:p>
          <w:p w14:paraId="38DDCB65" w14:textId="77777777" w:rsidR="00C0703D" w:rsidRPr="00D41EC7" w:rsidRDefault="00C0703D" w:rsidP="00A672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Theme="minorEastAsia"/>
                <w:b/>
                <w:sz w:val="18"/>
                <w:szCs w:val="18"/>
                <w:lang w:val="en-US" w:eastAsia="ja-JP"/>
              </w:rPr>
            </w:pPr>
          </w:p>
          <w:p w14:paraId="2FD0AAE6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  <w:r w:rsidRPr="00D41EC7">
              <w:rPr>
                <w:b/>
                <w:sz w:val="18"/>
                <w:szCs w:val="18"/>
              </w:rPr>
              <w:t>Considerations:</w:t>
            </w:r>
            <w:r w:rsidRPr="00D41EC7">
              <w:rPr>
                <w:sz w:val="18"/>
                <w:szCs w:val="18"/>
              </w:rPr>
              <w:t xml:space="preserve"> Implementation success factors (13)</w:t>
            </w:r>
            <w:r w:rsidRPr="00D41EC7">
              <w:rPr>
                <w:b/>
                <w:sz w:val="18"/>
                <w:szCs w:val="18"/>
              </w:rPr>
              <w:t xml:space="preserve">, </w:t>
            </w:r>
            <w:r w:rsidRPr="00D41EC7">
              <w:rPr>
                <w:sz w:val="18"/>
                <w:szCs w:val="18"/>
              </w:rPr>
              <w:t>opportunities and challenges</w:t>
            </w:r>
          </w:p>
          <w:p w14:paraId="7338FEC9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</w:p>
          <w:p w14:paraId="6C935EED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  <w:r w:rsidRPr="00D41EC7">
              <w:rPr>
                <w:b/>
                <w:sz w:val="18"/>
                <w:szCs w:val="18"/>
              </w:rPr>
              <w:t>Relationships:</w:t>
            </w:r>
            <w:r w:rsidRPr="00D41EC7">
              <w:rPr>
                <w:sz w:val="18"/>
                <w:szCs w:val="18"/>
              </w:rPr>
              <w:t xml:space="preserve"> Strategies to consider when implementing and critical success factors.</w:t>
            </w:r>
          </w:p>
          <w:p w14:paraId="6CAD9851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sz w:val="18"/>
                <w:szCs w:val="18"/>
              </w:rPr>
              <w:t>Emphasis on learning by doing and feedback into strategies for implementation</w:t>
            </w:r>
          </w:p>
        </w:tc>
        <w:tc>
          <w:tcPr>
            <w:tcW w:w="0" w:type="auto"/>
            <w:shd w:val="clear" w:color="auto" w:fill="auto"/>
          </w:tcPr>
          <w:p w14:paraId="5AB93CC2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sz w:val="18"/>
                <w:szCs w:val="18"/>
              </w:rPr>
              <w:t>Developed to inform policy planners and makers</w:t>
            </w:r>
          </w:p>
        </w:tc>
      </w:tr>
      <w:tr w:rsidR="00C0703D" w:rsidRPr="00D41EC7" w14:paraId="7279F407" w14:textId="77777777" w:rsidTr="00A6728B">
        <w:tc>
          <w:tcPr>
            <w:tcW w:w="0" w:type="auto"/>
            <w:shd w:val="clear" w:color="auto" w:fill="auto"/>
          </w:tcPr>
          <w:p w14:paraId="72D2D033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  <w:r w:rsidRPr="00D41EC7">
              <w:rPr>
                <w:sz w:val="18"/>
                <w:szCs w:val="18"/>
                <w:lang w:val="en-ZA"/>
              </w:rPr>
              <w:t xml:space="preserve">SUF </w:t>
            </w:r>
            <w:r w:rsidRPr="00D41EC7">
              <w:rPr>
                <w:sz w:val="18"/>
                <w:szCs w:val="18"/>
                <w:lang w:val="en-ZA"/>
              </w:rPr>
              <w:fldChar w:fldCharType="begin"/>
            </w:r>
            <w:r>
              <w:rPr>
                <w:sz w:val="18"/>
                <w:szCs w:val="18"/>
                <w:lang w:val="en-ZA"/>
              </w:rPr>
              <w:instrText xml:space="preserve"> ADDIN EN.CITE &lt;EndNote&gt;&lt;Cite&gt;&lt;Author&gt;World Health Organization&lt;/Author&gt;&lt;Year&gt;2009&lt;/Year&gt;&lt;RecNum&gt;476&lt;/RecNum&gt;&lt;DisplayText&gt;[5]&lt;/DisplayText&gt;&lt;record&gt;&lt;rec-number&gt;476&lt;/rec-number&gt;&lt;foreign-keys&gt;&lt;key app="EN" db-id="9wvf05rpgzpfxmee0t55av0urt252w2p5s0t" timestamp="1452759204"&gt;476&lt;/key&gt;&lt;key app="ENWeb" db-id=""&gt;0&lt;/key&gt;&lt;/foreign-keys&gt;&lt;ref-type name="Report"&gt;27&lt;/ref-type&gt;&lt;contributors&gt;&lt;authors&gt;&lt;author&gt;World Health Organization,&lt;/author&gt;&lt;/authors&gt;&lt;/contributors&gt;&lt;titles&gt;&lt;title&gt;Practical guidance for scaling up health service innovations&lt;/title&gt;&lt;/titles&gt;&lt;keywords&gt;&lt;keyword&gt;1.Delivery of health care - standards. 2.Health services - standards. 3.Family planning services.&lt;/keyword&gt;&lt;keyword&gt;4.Reproductive health services - organization and administration. 5.Technology, Medical.&lt;/keyword&gt;&lt;keyword&gt;6.Technological innovations. 7.Practice guideline. I.World Health Organization.&lt;/keyword&gt;&lt;/keywords&gt;&lt;dates&gt;&lt;year&gt;2009&lt;/year&gt;&lt;/dates&gt;&lt;isbn&gt;9789241598521&lt;/isbn&gt;&lt;urls&gt;&lt;related-urls&gt;&lt;url&gt;http://apps.who.int/iris/bitstream/10665/44180/1/9789241598521_eng.pdf&lt;/url&gt;&lt;/related-urls&gt;&lt;/urls&gt;&lt;research-notes&gt;Implementation Research&lt;/research-notes&gt;&lt;access-date&gt;18 November 2017&lt;/access-date&gt;&lt;/record&gt;&lt;/Cite&gt;&lt;/EndNote&gt;</w:instrText>
            </w:r>
            <w:r w:rsidRPr="00D41EC7">
              <w:rPr>
                <w:sz w:val="18"/>
                <w:szCs w:val="18"/>
                <w:lang w:val="en-ZA"/>
              </w:rPr>
              <w:fldChar w:fldCharType="separate"/>
            </w:r>
            <w:r>
              <w:rPr>
                <w:noProof/>
                <w:sz w:val="18"/>
                <w:szCs w:val="18"/>
                <w:lang w:val="en-ZA"/>
              </w:rPr>
              <w:t>[5]</w:t>
            </w:r>
            <w:r w:rsidRPr="00D41EC7">
              <w:rPr>
                <w:sz w:val="18"/>
                <w:szCs w:val="18"/>
                <w:lang w:val="en-ZA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1C8A2419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sz w:val="18"/>
                <w:szCs w:val="18"/>
                <w:lang w:val="en-US"/>
              </w:rPr>
              <w:t xml:space="preserve">Strategic assessment, action research: literature </w:t>
            </w:r>
            <w:r w:rsidRPr="00D41EC7">
              <w:rPr>
                <w:sz w:val="18"/>
                <w:szCs w:val="18"/>
                <w:lang w:val="en-US"/>
              </w:rPr>
              <w:lastRenderedPageBreak/>
              <w:t>review, experience and evidence-based</w:t>
            </w:r>
          </w:p>
        </w:tc>
        <w:tc>
          <w:tcPr>
            <w:tcW w:w="0" w:type="auto"/>
            <w:shd w:val="clear" w:color="auto" w:fill="auto"/>
          </w:tcPr>
          <w:p w14:paraId="7A979863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lastRenderedPageBreak/>
              <w:t xml:space="preserve">Strategic planning, diffusion of innovation and through practical </w:t>
            </w:r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lastRenderedPageBreak/>
              <w:t>experience</w:t>
            </w:r>
          </w:p>
        </w:tc>
        <w:tc>
          <w:tcPr>
            <w:tcW w:w="0" w:type="auto"/>
            <w:shd w:val="clear" w:color="auto" w:fill="auto"/>
          </w:tcPr>
          <w:p w14:paraId="24BE0ED8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rFonts w:eastAsia="Times New Roman"/>
                <w:color w:val="000000"/>
                <w:sz w:val="18"/>
                <w:szCs w:val="18"/>
                <w:lang w:val="en-ZA"/>
              </w:rPr>
            </w:pPr>
            <w:r w:rsidRPr="00D41EC7">
              <w:rPr>
                <w:rFonts w:eastAsia="Times New Roman"/>
                <w:b/>
                <w:color w:val="000000"/>
                <w:sz w:val="18"/>
                <w:szCs w:val="18"/>
                <w:lang w:val="en-ZA"/>
              </w:rPr>
              <w:lastRenderedPageBreak/>
              <w:t>Components:</w:t>
            </w:r>
            <w:r w:rsidRPr="00D41EC7">
              <w:rPr>
                <w:rFonts w:eastAsia="Times New Roman"/>
                <w:color w:val="000000"/>
                <w:sz w:val="18"/>
                <w:szCs w:val="18"/>
                <w:lang w:val="en-ZA"/>
              </w:rPr>
              <w:t xml:space="preserve"> Five elements with scaling-up strategy as the main element, supported with strategic </w:t>
            </w:r>
            <w:r w:rsidRPr="00D41EC7">
              <w:rPr>
                <w:rFonts w:eastAsia="Times New Roman"/>
                <w:color w:val="000000"/>
                <w:sz w:val="18"/>
                <w:szCs w:val="18"/>
                <w:lang w:val="en-ZA"/>
              </w:rPr>
              <w:lastRenderedPageBreak/>
              <w:t>choices and recommendations with a nine step process and four key principles</w:t>
            </w:r>
          </w:p>
          <w:p w14:paraId="2A4C3821" w14:textId="77777777" w:rsidR="00C0703D" w:rsidRPr="00D41EC7" w:rsidRDefault="00C0703D" w:rsidP="00A6728B">
            <w:pPr>
              <w:pStyle w:val="ListParagraph"/>
              <w:numPr>
                <w:ilvl w:val="0"/>
                <w:numId w:val="5"/>
              </w:numPr>
              <w:ind w:left="319" w:hanging="284"/>
              <w:jc w:val="left"/>
              <w:rPr>
                <w:rFonts w:eastAsia="Times New Roman"/>
                <w:color w:val="000000"/>
                <w:sz w:val="18"/>
                <w:szCs w:val="18"/>
                <w:lang w:val="en-ZA"/>
              </w:rPr>
            </w:pPr>
            <w:r w:rsidRPr="00D41EC7">
              <w:rPr>
                <w:rFonts w:eastAsia="Times New Roman"/>
                <w:color w:val="000000"/>
                <w:sz w:val="18"/>
                <w:szCs w:val="18"/>
                <w:lang w:val="en-ZA"/>
              </w:rPr>
              <w:t>The innovation</w:t>
            </w:r>
          </w:p>
          <w:p w14:paraId="491224A7" w14:textId="77777777" w:rsidR="00C0703D" w:rsidRPr="00D41EC7" w:rsidRDefault="00C0703D" w:rsidP="00A6728B">
            <w:pPr>
              <w:pStyle w:val="ListParagraph"/>
              <w:numPr>
                <w:ilvl w:val="0"/>
                <w:numId w:val="5"/>
              </w:numPr>
              <w:ind w:left="319" w:hanging="284"/>
              <w:jc w:val="left"/>
              <w:rPr>
                <w:rFonts w:eastAsia="Times New Roman"/>
                <w:color w:val="000000"/>
                <w:sz w:val="18"/>
                <w:szCs w:val="18"/>
                <w:lang w:val="en-ZA"/>
              </w:rPr>
            </w:pPr>
            <w:r w:rsidRPr="00D41EC7">
              <w:rPr>
                <w:rFonts w:eastAsia="Times New Roman"/>
                <w:color w:val="000000"/>
                <w:sz w:val="18"/>
                <w:szCs w:val="18"/>
                <w:lang w:val="en-ZA"/>
              </w:rPr>
              <w:t>User organisation</w:t>
            </w:r>
          </w:p>
          <w:p w14:paraId="5814EC44" w14:textId="77777777" w:rsidR="00C0703D" w:rsidRPr="00D41EC7" w:rsidRDefault="00C0703D" w:rsidP="00A6728B">
            <w:pPr>
              <w:pStyle w:val="ListParagraph"/>
              <w:numPr>
                <w:ilvl w:val="0"/>
                <w:numId w:val="5"/>
              </w:numPr>
              <w:ind w:left="319" w:hanging="284"/>
              <w:jc w:val="left"/>
              <w:rPr>
                <w:rFonts w:eastAsia="Times New Roman"/>
                <w:color w:val="000000"/>
                <w:sz w:val="18"/>
                <w:szCs w:val="18"/>
                <w:lang w:val="en-ZA"/>
              </w:rPr>
            </w:pPr>
            <w:r w:rsidRPr="00D41EC7">
              <w:rPr>
                <w:rFonts w:eastAsia="Times New Roman"/>
                <w:color w:val="000000"/>
                <w:sz w:val="18"/>
                <w:szCs w:val="18"/>
                <w:lang w:val="en-ZA"/>
              </w:rPr>
              <w:t>Environment</w:t>
            </w:r>
          </w:p>
          <w:p w14:paraId="35B8BF20" w14:textId="77777777" w:rsidR="00C0703D" w:rsidRPr="00D41EC7" w:rsidRDefault="00C0703D" w:rsidP="00A6728B">
            <w:pPr>
              <w:pStyle w:val="ListParagraph"/>
              <w:numPr>
                <w:ilvl w:val="0"/>
                <w:numId w:val="5"/>
              </w:numPr>
              <w:ind w:left="319" w:hanging="284"/>
              <w:jc w:val="left"/>
              <w:rPr>
                <w:rFonts w:eastAsia="Times New Roman"/>
                <w:color w:val="000000"/>
                <w:sz w:val="18"/>
                <w:szCs w:val="18"/>
                <w:lang w:val="en-ZA"/>
              </w:rPr>
            </w:pPr>
            <w:r w:rsidRPr="00D41EC7">
              <w:rPr>
                <w:rFonts w:eastAsia="Times New Roman"/>
                <w:color w:val="000000"/>
                <w:sz w:val="18"/>
                <w:szCs w:val="18"/>
                <w:lang w:val="en-ZA"/>
              </w:rPr>
              <w:t>Resource team</w:t>
            </w:r>
          </w:p>
          <w:p w14:paraId="0B8900FA" w14:textId="77777777" w:rsidR="00C0703D" w:rsidRPr="00D41EC7" w:rsidRDefault="00C0703D" w:rsidP="00A6728B">
            <w:pPr>
              <w:pStyle w:val="ListParagraph"/>
              <w:numPr>
                <w:ilvl w:val="0"/>
                <w:numId w:val="5"/>
              </w:numPr>
              <w:ind w:left="319" w:hanging="284"/>
              <w:jc w:val="left"/>
              <w:rPr>
                <w:rFonts w:eastAsia="Times New Roman"/>
                <w:color w:val="000000"/>
                <w:sz w:val="18"/>
                <w:szCs w:val="18"/>
                <w:lang w:val="en-ZA"/>
              </w:rPr>
            </w:pPr>
            <w:r w:rsidRPr="00D41EC7">
              <w:rPr>
                <w:rFonts w:eastAsia="Times New Roman"/>
                <w:color w:val="000000"/>
                <w:sz w:val="18"/>
                <w:szCs w:val="18"/>
                <w:lang w:val="en-ZA"/>
              </w:rPr>
              <w:t>Scaling-up strategy: Type of scaling up - dissemination and advocacy, organisational process, costs/ resource mobilisation, monitoring and evaluation</w:t>
            </w:r>
          </w:p>
        </w:tc>
        <w:tc>
          <w:tcPr>
            <w:tcW w:w="0" w:type="auto"/>
            <w:shd w:val="clear" w:color="auto" w:fill="auto"/>
          </w:tcPr>
          <w:p w14:paraId="21F71BD6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 w:rsidRPr="00D41EC7">
              <w:rPr>
                <w:b/>
                <w:color w:val="000000"/>
                <w:sz w:val="18"/>
                <w:szCs w:val="18"/>
              </w:rPr>
              <w:lastRenderedPageBreak/>
              <w:t xml:space="preserve">Phases (keywords = phase/ steps/ sequencing) </w:t>
            </w:r>
            <w:r w:rsidRPr="00D41EC7">
              <w:rPr>
                <w:color w:val="000000"/>
                <w:sz w:val="18"/>
                <w:szCs w:val="18"/>
              </w:rPr>
              <w:t xml:space="preserve">strategic choice area where decisions on the type of scaling-up is selected </w:t>
            </w:r>
            <w:r w:rsidRPr="00D41EC7">
              <w:rPr>
                <w:color w:val="000000"/>
                <w:sz w:val="18"/>
                <w:szCs w:val="18"/>
              </w:rPr>
              <w:lastRenderedPageBreak/>
              <w:t>i.e. the pace to be phased or gradual rapid. “</w:t>
            </w:r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 xml:space="preserve">Gradual, phased expansion of the innovation is often needed for successful scaling up” p37 </w:t>
            </w:r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fldChar w:fldCharType="begin"/>
            </w:r>
            <w:r>
              <w:rPr>
                <w:rFonts w:eastAsiaTheme="minorEastAsia"/>
                <w:sz w:val="18"/>
                <w:szCs w:val="18"/>
                <w:lang w:val="en-US" w:eastAsia="ja-JP"/>
              </w:rPr>
              <w:instrText xml:space="preserve"> ADDIN EN.CITE &lt;EndNote&gt;&lt;Cite&gt;&lt;Author&gt;World Health Organization&lt;/Author&gt;&lt;Year&gt;2009&lt;/Year&gt;&lt;RecNum&gt;476&lt;/RecNum&gt;&lt;DisplayText&gt;[5]&lt;/DisplayText&gt;&lt;record&gt;&lt;rec-number&gt;476&lt;/rec-number&gt;&lt;foreign-keys&gt;&lt;key app="EN" db-id="9wvf05rpgzpfxmee0t55av0urt252w2p5s0t" timestamp="1452759204"&gt;476&lt;/key&gt;&lt;key app="ENWeb" db-id=""&gt;0&lt;/key&gt;&lt;/foreign-keys&gt;&lt;ref-type name="Report"&gt;27&lt;/ref-type&gt;&lt;contributors&gt;&lt;authors&gt;&lt;author&gt;World Health Organization,&lt;/author&gt;&lt;/authors&gt;&lt;/contributors&gt;&lt;titles&gt;&lt;title&gt;Practical guidance for scaling up health service innovations&lt;/title&gt;&lt;/titles&gt;&lt;keywords&gt;&lt;keyword&gt;1.Delivery of health care - standards. 2.Health services - standards. 3.Family planning services.&lt;/keyword&gt;&lt;keyword&gt;4.Reproductive health services - organization and administration. 5.Technology, Medical.&lt;/keyword&gt;&lt;keyword&gt;6.Technological innovations. 7.Practice guideline. I.World Health Organization.&lt;/keyword&gt;&lt;/keywords&gt;&lt;dates&gt;&lt;year&gt;2009&lt;/year&gt;&lt;/dates&gt;&lt;isbn&gt;9789241598521&lt;/isbn&gt;&lt;urls&gt;&lt;related-urls&gt;&lt;url&gt;http://apps.who.int/iris/bitstream/10665/44180/1/9789241598521_eng.pdf&lt;/url&gt;&lt;/related-urls&gt;&lt;/urls&gt;&lt;research-notes&gt;Implementation Research&lt;/research-notes&gt;&lt;access-date&gt;18 November 2017&lt;/access-date&gt;&lt;/record&gt;&lt;/Cite&gt;&lt;/EndNote&gt;</w:instrText>
            </w:r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fldChar w:fldCharType="separate"/>
            </w:r>
            <w:r>
              <w:rPr>
                <w:rFonts w:eastAsiaTheme="minorEastAsia"/>
                <w:noProof/>
                <w:sz w:val="18"/>
                <w:szCs w:val="18"/>
                <w:lang w:val="en-US" w:eastAsia="ja-JP"/>
              </w:rPr>
              <w:t>[5]</w:t>
            </w:r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fldChar w:fldCharType="end"/>
            </w:r>
          </w:p>
          <w:p w14:paraId="1FF3B03E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 w:rsidRPr="00D41EC7">
              <w:rPr>
                <w:color w:val="000000"/>
                <w:sz w:val="18"/>
                <w:szCs w:val="18"/>
              </w:rPr>
              <w:t xml:space="preserve"> Nine step process with pace selection to the type scaling</w:t>
            </w:r>
          </w:p>
          <w:p w14:paraId="62BD09A5" w14:textId="77777777" w:rsidR="00C0703D" w:rsidRPr="00D41EC7" w:rsidRDefault="00C0703D" w:rsidP="00A672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Theme="minorEastAsia"/>
                <w:b/>
                <w:sz w:val="18"/>
                <w:szCs w:val="18"/>
                <w:lang w:val="en-US" w:eastAsia="ja-JP"/>
              </w:rPr>
            </w:pPr>
          </w:p>
          <w:p w14:paraId="0927F7F4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  <w:r w:rsidRPr="00D41EC7">
              <w:rPr>
                <w:b/>
                <w:sz w:val="18"/>
                <w:szCs w:val="18"/>
              </w:rPr>
              <w:t>Considerations:</w:t>
            </w:r>
            <w:r w:rsidRPr="00D41EC7">
              <w:rPr>
                <w:sz w:val="18"/>
                <w:szCs w:val="18"/>
              </w:rPr>
              <w:t xml:space="preserve"> </w:t>
            </w:r>
            <w:r w:rsidRPr="00D41EC7">
              <w:rPr>
                <w:sz w:val="18"/>
                <w:szCs w:val="18"/>
                <w:lang w:val="en-US"/>
              </w:rPr>
              <w:t>Policy, organization, social sciences, technology transfer, diffusion of innovation, and research utilization approach</w:t>
            </w:r>
          </w:p>
          <w:p w14:paraId="5D600C87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</w:p>
          <w:p w14:paraId="48CD7C6C" w14:textId="77777777" w:rsidR="00C0703D" w:rsidRPr="00D41EC7" w:rsidRDefault="00C0703D" w:rsidP="00A67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Theme="minorEastAsia"/>
                <w:sz w:val="18"/>
                <w:szCs w:val="18"/>
                <w:lang w:val="en-US" w:eastAsia="ja-JP"/>
              </w:rPr>
            </w:pPr>
            <w:r w:rsidRPr="00D41EC7">
              <w:rPr>
                <w:b/>
                <w:sz w:val="18"/>
                <w:szCs w:val="18"/>
              </w:rPr>
              <w:t>Relationships:</w:t>
            </w:r>
            <w:r w:rsidRPr="00D41EC7">
              <w:rPr>
                <w:sz w:val="18"/>
                <w:szCs w:val="18"/>
              </w:rPr>
              <w:t xml:space="preserve"> </w:t>
            </w:r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>An open-systems perspective where scaling up is linked with the context in which the innovation is implemented.</w:t>
            </w:r>
          </w:p>
          <w:p w14:paraId="0E2B0BDC" w14:textId="77777777" w:rsidR="00C0703D" w:rsidRPr="00D41EC7" w:rsidRDefault="00C0703D" w:rsidP="00A67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Theme="minorEastAsia"/>
                <w:sz w:val="18"/>
                <w:szCs w:val="18"/>
                <w:lang w:val="en-US" w:eastAsia="ja-JP"/>
              </w:rPr>
            </w:pPr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>The design and implementation is driven by seeking “balance among the elements of the framework” supported with case information from the field.</w:t>
            </w:r>
          </w:p>
          <w:p w14:paraId="2472BB7C" w14:textId="77777777" w:rsidR="00C0703D" w:rsidRPr="00D41EC7" w:rsidRDefault="00C0703D" w:rsidP="00A67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>Attributes of success propose pointers for implementation.</w:t>
            </w:r>
          </w:p>
        </w:tc>
        <w:tc>
          <w:tcPr>
            <w:tcW w:w="0" w:type="auto"/>
            <w:shd w:val="clear" w:color="auto" w:fill="auto"/>
          </w:tcPr>
          <w:p w14:paraId="608F3F3D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sz w:val="18"/>
                <w:szCs w:val="18"/>
              </w:rPr>
              <w:lastRenderedPageBreak/>
              <w:t>Recommended for all WHO scale up programmes</w:t>
            </w:r>
          </w:p>
        </w:tc>
      </w:tr>
      <w:tr w:rsidR="00C0703D" w:rsidRPr="00D41EC7" w14:paraId="404F4F4A" w14:textId="77777777" w:rsidTr="00A6728B">
        <w:tc>
          <w:tcPr>
            <w:tcW w:w="0" w:type="auto"/>
            <w:shd w:val="clear" w:color="auto" w:fill="auto"/>
          </w:tcPr>
          <w:p w14:paraId="4B93ADD3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  <w:r w:rsidRPr="00D41EC7">
              <w:rPr>
                <w:sz w:val="18"/>
                <w:szCs w:val="18"/>
                <w:lang w:val="en-ZA"/>
              </w:rPr>
              <w:lastRenderedPageBreak/>
              <w:t xml:space="preserve">SUM </w:t>
            </w:r>
            <w:r w:rsidRPr="00D41EC7">
              <w:rPr>
                <w:sz w:val="18"/>
                <w:szCs w:val="18"/>
                <w:lang w:val="en-ZA"/>
              </w:rPr>
              <w:fldChar w:fldCharType="begin"/>
            </w:r>
            <w:r>
              <w:rPr>
                <w:sz w:val="18"/>
                <w:szCs w:val="18"/>
                <w:lang w:val="en-ZA"/>
              </w:rPr>
              <w:instrText xml:space="preserve"> ADDIN EN.CITE &lt;EndNote&gt;&lt;Cite&gt;&lt;Author&gt;Cooley&lt;/Author&gt;&lt;Year&gt;2006&lt;/Year&gt;&lt;RecNum&gt;470&lt;/RecNum&gt;&lt;DisplayText&gt;[8, 9]&lt;/DisplayText&gt;&lt;record&gt;&lt;rec-number&gt;470&lt;/rec-number&gt;&lt;foreign-keys&gt;&lt;key app="EN" db-id="9wvf05rpgzpfxmee0t55av0urt252w2p5s0t" timestamp="1452759161"&gt;470&lt;/key&gt;&lt;key app="ENWeb" db-id=""&gt;0&lt;/key&gt;&lt;/foreign-keys&gt;&lt;ref-type name="Report"&gt;27&lt;/ref-type&gt;&lt;contributors&gt;&lt;authors&gt;&lt;author&gt;Cooley, L&lt;/author&gt;&lt;author&gt;Kohl, R&lt;/author&gt;&lt;/authors&gt;&lt;/contributors&gt;&lt;auth-address&gt;www.msiworldwide.com&lt;/auth-address&gt;&lt;titles&gt;&lt;title&gt;Scaling up—From vision to large-scale change: A Management framework for practitioners&lt;/title&gt;&lt;/titles&gt;&lt;dates&gt;&lt;year&gt;2006&lt;/year&gt;&lt;/dates&gt;&lt;pub-location&gt;Washington DC&lt;/pub-location&gt;&lt;publisher&gt;Management Systems International (MSI)&lt;/publisher&gt;&lt;urls&gt;&lt;related-urls&gt;&lt;url&gt;www.msiworldwide.com&lt;/url&gt;&lt;/related-urls&gt;&lt;/urls&gt;&lt;research-notes&gt;Implementation Scaling-up Framework&lt;/research-notes&gt;&lt;/record&gt;&lt;/Cite&gt;&lt;Cite&gt;&lt;Author&gt;Cooley&lt;/Author&gt;&lt;Year&gt;2012&lt;/Year&gt;&lt;RecNum&gt;1159&lt;/RecNum&gt;&lt;record&gt;&lt;rec-number&gt;1159&lt;/rec-number&gt;&lt;foreign-keys&gt;&lt;key app="EN" db-id="9wvf05rpgzpfxmee0t55av0urt252w2p5s0t" timestamp="1511018855"&gt;1159&lt;/key&gt;&lt;/foreign-keys&gt;&lt;ref-type name="Report"&gt;27&lt;/ref-type&gt;&lt;contributors&gt;&lt;authors&gt;&lt;author&gt;Cooley, L&lt;/author&gt;&lt;author&gt;Rajani, R V&lt;/author&gt;&lt;/authors&gt;&lt;/contributors&gt;&lt;auth-address&gt;www.msiworldwide.com&lt;/auth-address&gt;&lt;titles&gt;&lt;title&gt;Scaling up—From vision to large-scale change: A Management framework for practitioners&lt;/title&gt;&lt;secondary-title&gt;Second Edition&lt;/secondary-title&gt;&lt;/titles&gt;&lt;dates&gt;&lt;year&gt;2012&lt;/year&gt;&lt;/dates&gt;&lt;pub-location&gt;Washington DC, USA&lt;/pub-location&gt;&lt;publisher&gt;Management Systems International&lt;/publisher&gt;&lt;urls&gt;&lt;related-urls&gt;&lt;url&gt;http://www.msiworldwide.com/wp-content/uploads/Scaling-Up-Framework.pdf&lt;/url&gt;&lt;/related-urls&gt;&lt;/urls&gt;&lt;research-notes&gt;Implementation Scaling-up Framework&lt;/research-notes&gt;&lt;access-date&gt;21 November 2017&lt;/access-date&gt;&lt;/record&gt;&lt;/Cite&gt;&lt;/EndNote&gt;</w:instrText>
            </w:r>
            <w:r w:rsidRPr="00D41EC7">
              <w:rPr>
                <w:sz w:val="18"/>
                <w:szCs w:val="18"/>
                <w:lang w:val="en-ZA"/>
              </w:rPr>
              <w:fldChar w:fldCharType="separate"/>
            </w:r>
            <w:r>
              <w:rPr>
                <w:noProof/>
                <w:sz w:val="18"/>
                <w:szCs w:val="18"/>
                <w:lang w:val="en-ZA"/>
              </w:rPr>
              <w:t>[8, 9]</w:t>
            </w:r>
            <w:r w:rsidRPr="00D41EC7">
              <w:rPr>
                <w:sz w:val="18"/>
                <w:szCs w:val="18"/>
                <w:lang w:val="en-ZA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7B804619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sz w:val="18"/>
                <w:szCs w:val="18"/>
              </w:rPr>
              <w:t>Applied research: literature review</w:t>
            </w:r>
            <w:r>
              <w:rPr>
                <w:sz w:val="18"/>
                <w:szCs w:val="18"/>
              </w:rPr>
              <w:t>, experience and field feedback</w:t>
            </w:r>
          </w:p>
        </w:tc>
        <w:tc>
          <w:tcPr>
            <w:tcW w:w="0" w:type="auto"/>
            <w:shd w:val="clear" w:color="auto" w:fill="auto"/>
          </w:tcPr>
          <w:p w14:paraId="030E341B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rFonts w:eastAsiaTheme="minorEastAsia"/>
                <w:sz w:val="18"/>
                <w:szCs w:val="18"/>
                <w:lang w:val="en-US" w:eastAsia="ja-JP"/>
              </w:rPr>
            </w:pPr>
            <w:r>
              <w:rPr>
                <w:sz w:val="18"/>
                <w:szCs w:val="18"/>
              </w:rPr>
              <w:t>Strategic management (planning, change management, operations)</w:t>
            </w:r>
          </w:p>
        </w:tc>
        <w:tc>
          <w:tcPr>
            <w:tcW w:w="0" w:type="auto"/>
            <w:shd w:val="clear" w:color="auto" w:fill="auto"/>
          </w:tcPr>
          <w:p w14:paraId="52F1AF92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  <w:r w:rsidRPr="00D41EC7">
              <w:rPr>
                <w:b/>
                <w:sz w:val="18"/>
                <w:szCs w:val="18"/>
              </w:rPr>
              <w:t>Components:</w:t>
            </w:r>
            <w:r w:rsidRPr="00D41EC7">
              <w:rPr>
                <w:sz w:val="18"/>
                <w:szCs w:val="18"/>
              </w:rPr>
              <w:t xml:space="preserve"> Three</w:t>
            </w:r>
            <w:r>
              <w:rPr>
                <w:sz w:val="18"/>
                <w:szCs w:val="18"/>
              </w:rPr>
              <w:t xml:space="preserve"> step process, ten tasks and </w:t>
            </w:r>
            <w:r w:rsidRPr="00D41EC7">
              <w:rPr>
                <w:sz w:val="18"/>
                <w:szCs w:val="18"/>
              </w:rPr>
              <w:t>questions</w:t>
            </w:r>
          </w:p>
          <w:p w14:paraId="1CE963FD" w14:textId="77777777" w:rsidR="00C0703D" w:rsidRPr="00D41EC7" w:rsidRDefault="00C0703D" w:rsidP="00A6728B">
            <w:pPr>
              <w:pStyle w:val="ListParagraph"/>
              <w:numPr>
                <w:ilvl w:val="0"/>
                <w:numId w:val="7"/>
              </w:numPr>
              <w:jc w:val="left"/>
              <w:rPr>
                <w:sz w:val="18"/>
                <w:szCs w:val="18"/>
              </w:rPr>
            </w:pPr>
            <w:r w:rsidRPr="00D41EC7">
              <w:rPr>
                <w:b/>
                <w:sz w:val="18"/>
                <w:szCs w:val="18"/>
              </w:rPr>
              <w:t>Develop a scaling up plan:</w:t>
            </w:r>
            <w:r w:rsidRPr="00D41EC7">
              <w:rPr>
                <w:sz w:val="18"/>
                <w:szCs w:val="18"/>
              </w:rPr>
              <w:t xml:space="preserve"> Create a vision, assess scalability, fill information gaps, prepare </w:t>
            </w:r>
            <w:r>
              <w:rPr>
                <w:sz w:val="18"/>
                <w:szCs w:val="18"/>
              </w:rPr>
              <w:t xml:space="preserve">a </w:t>
            </w:r>
            <w:r w:rsidRPr="00D41EC7">
              <w:rPr>
                <w:sz w:val="18"/>
                <w:szCs w:val="18"/>
              </w:rPr>
              <w:t>scaling up plan</w:t>
            </w:r>
          </w:p>
          <w:p w14:paraId="40AD9343" w14:textId="77777777" w:rsidR="00C0703D" w:rsidRPr="00D41EC7" w:rsidRDefault="00C0703D" w:rsidP="00A6728B">
            <w:pPr>
              <w:pStyle w:val="ListParagraph"/>
              <w:numPr>
                <w:ilvl w:val="0"/>
                <w:numId w:val="7"/>
              </w:numPr>
              <w:jc w:val="left"/>
              <w:rPr>
                <w:sz w:val="18"/>
                <w:szCs w:val="18"/>
              </w:rPr>
            </w:pPr>
            <w:r w:rsidRPr="00D41EC7">
              <w:rPr>
                <w:b/>
                <w:sz w:val="18"/>
                <w:szCs w:val="18"/>
              </w:rPr>
              <w:t>Establish the pre</w:t>
            </w:r>
            <w:r>
              <w:rPr>
                <w:b/>
                <w:sz w:val="18"/>
                <w:szCs w:val="18"/>
              </w:rPr>
              <w:t>-</w:t>
            </w:r>
            <w:r w:rsidRPr="00D41EC7">
              <w:rPr>
                <w:b/>
                <w:sz w:val="18"/>
                <w:szCs w:val="18"/>
              </w:rPr>
              <w:t>conditions for scaling up:</w:t>
            </w:r>
            <w:r w:rsidRPr="00D41EC7">
              <w:rPr>
                <w:sz w:val="18"/>
                <w:szCs w:val="18"/>
              </w:rPr>
              <w:t xml:space="preserve"> Legitimize change, build a constituency, realign and mobilise resources</w:t>
            </w:r>
          </w:p>
          <w:p w14:paraId="5DF74D93" w14:textId="77777777" w:rsidR="00C0703D" w:rsidRPr="00D41EC7" w:rsidRDefault="00C0703D" w:rsidP="00A6728B">
            <w:pPr>
              <w:pStyle w:val="ListParagraph"/>
              <w:numPr>
                <w:ilvl w:val="0"/>
                <w:numId w:val="7"/>
              </w:numPr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Implement</w:t>
            </w:r>
            <w:r w:rsidRPr="00D41EC7">
              <w:rPr>
                <w:b/>
                <w:sz w:val="18"/>
                <w:szCs w:val="18"/>
              </w:rPr>
              <w:t xml:space="preserve"> the scaling up process:</w:t>
            </w:r>
            <w:r>
              <w:rPr>
                <w:sz w:val="18"/>
                <w:szCs w:val="18"/>
              </w:rPr>
              <w:t xml:space="preserve"> Modify organisational structures</w:t>
            </w:r>
            <w:r w:rsidRPr="00D41EC7">
              <w:rPr>
                <w:sz w:val="18"/>
                <w:szCs w:val="18"/>
              </w:rPr>
              <w:t>, coordinate action, track performance and maintain momentum</w:t>
            </w:r>
          </w:p>
        </w:tc>
        <w:tc>
          <w:tcPr>
            <w:tcW w:w="0" w:type="auto"/>
            <w:shd w:val="clear" w:color="auto" w:fill="auto"/>
          </w:tcPr>
          <w:p w14:paraId="7367F13E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 w:rsidRPr="00D41EC7">
              <w:rPr>
                <w:b/>
                <w:color w:val="000000"/>
                <w:sz w:val="18"/>
                <w:szCs w:val="18"/>
              </w:rPr>
              <w:t xml:space="preserve">Phases (keywords = phase/ steps/ sequencing) </w:t>
            </w:r>
            <w:r w:rsidRPr="00D41EC7">
              <w:rPr>
                <w:color w:val="000000"/>
                <w:sz w:val="18"/>
                <w:szCs w:val="18"/>
              </w:rPr>
              <w:t>three step process with ten tasks</w:t>
            </w:r>
          </w:p>
          <w:p w14:paraId="759EC67D" w14:textId="77777777" w:rsidR="00C0703D" w:rsidRPr="00D41EC7" w:rsidRDefault="00C0703D" w:rsidP="00A672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Theme="minorEastAsia"/>
                <w:b/>
                <w:sz w:val="18"/>
                <w:szCs w:val="18"/>
                <w:lang w:val="en-US" w:eastAsia="ja-JP"/>
              </w:rPr>
            </w:pPr>
          </w:p>
          <w:p w14:paraId="6731AA0F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  <w:r w:rsidRPr="00D41EC7">
              <w:rPr>
                <w:b/>
                <w:sz w:val="18"/>
                <w:szCs w:val="18"/>
              </w:rPr>
              <w:t>Considerations:</w:t>
            </w:r>
            <w:r w:rsidRPr="00D41EC7">
              <w:rPr>
                <w:sz w:val="18"/>
                <w:szCs w:val="18"/>
              </w:rPr>
              <w:t xml:space="preserve"> Scale up, strategic planning and organisational developments</w:t>
            </w:r>
          </w:p>
          <w:p w14:paraId="7755FD01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</w:p>
          <w:p w14:paraId="38D7FD5C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  <w:r w:rsidRPr="00D41EC7">
              <w:rPr>
                <w:b/>
                <w:sz w:val="18"/>
                <w:szCs w:val="18"/>
              </w:rPr>
              <w:t>Relationships:</w:t>
            </w:r>
            <w:r w:rsidRPr="00D41EC7">
              <w:rPr>
                <w:sz w:val="18"/>
                <w:szCs w:val="18"/>
              </w:rPr>
              <w:t xml:space="preserve"> The </w:t>
            </w:r>
            <w:r>
              <w:rPr>
                <w:sz w:val="18"/>
                <w:szCs w:val="18"/>
              </w:rPr>
              <w:t>tasks</w:t>
            </w:r>
            <w:r w:rsidRPr="00D41EC7">
              <w:rPr>
                <w:sz w:val="18"/>
                <w:szCs w:val="18"/>
              </w:rPr>
              <w:t xml:space="preserve"> are recommended actions complemented with questions</w:t>
            </w:r>
            <w:r>
              <w:rPr>
                <w:sz w:val="18"/>
                <w:szCs w:val="18"/>
              </w:rPr>
              <w:t xml:space="preserve"> (developing and implementing scale-up plan)</w:t>
            </w:r>
            <w:r w:rsidRPr="00D41EC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and tools (planning and implementing scale-up strategy) to guide scaling</w:t>
            </w:r>
          </w:p>
        </w:tc>
        <w:tc>
          <w:tcPr>
            <w:tcW w:w="0" w:type="auto"/>
            <w:shd w:val="clear" w:color="auto" w:fill="auto"/>
          </w:tcPr>
          <w:p w14:paraId="511F7EC6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Field tests </w:t>
            </w:r>
            <w:r w:rsidRPr="00D41EC7">
              <w:rPr>
                <w:sz w:val="18"/>
                <w:szCs w:val="18"/>
              </w:rPr>
              <w:t xml:space="preserve">in </w:t>
            </w:r>
            <w:r>
              <w:rPr>
                <w:sz w:val="18"/>
                <w:szCs w:val="18"/>
              </w:rPr>
              <w:t xml:space="preserve">India, </w:t>
            </w:r>
            <w:r w:rsidRPr="00D41EC7">
              <w:rPr>
                <w:sz w:val="18"/>
                <w:szCs w:val="18"/>
              </w:rPr>
              <w:t xml:space="preserve">Nigeria and Mexico and </w:t>
            </w:r>
            <w:r>
              <w:rPr>
                <w:sz w:val="18"/>
                <w:szCs w:val="18"/>
              </w:rPr>
              <w:t>shared with</w:t>
            </w:r>
            <w:r w:rsidRPr="00D41EC7">
              <w:rPr>
                <w:sz w:val="18"/>
                <w:szCs w:val="18"/>
              </w:rPr>
              <w:t xml:space="preserve"> academic</w:t>
            </w:r>
            <w:r>
              <w:rPr>
                <w:sz w:val="18"/>
                <w:szCs w:val="18"/>
              </w:rPr>
              <w:t>, policy makers</w:t>
            </w:r>
            <w:r w:rsidRPr="00D41EC7">
              <w:rPr>
                <w:sz w:val="18"/>
                <w:szCs w:val="18"/>
              </w:rPr>
              <w:t xml:space="preserve"> and </w:t>
            </w:r>
            <w:r>
              <w:rPr>
                <w:sz w:val="18"/>
                <w:szCs w:val="18"/>
              </w:rPr>
              <w:t>practitioners</w:t>
            </w:r>
            <w:r w:rsidRPr="00D41EC7">
              <w:rPr>
                <w:sz w:val="18"/>
                <w:szCs w:val="18"/>
              </w:rPr>
              <w:t xml:space="preserve"> </w:t>
            </w:r>
          </w:p>
        </w:tc>
      </w:tr>
      <w:tr w:rsidR="00C0703D" w:rsidRPr="00D41EC7" w14:paraId="57908C59" w14:textId="77777777" w:rsidTr="00A6728B">
        <w:tc>
          <w:tcPr>
            <w:tcW w:w="0" w:type="auto"/>
            <w:shd w:val="clear" w:color="auto" w:fill="auto"/>
          </w:tcPr>
          <w:p w14:paraId="3DA1B029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  <w:r w:rsidRPr="00D41EC7">
              <w:rPr>
                <w:sz w:val="18"/>
                <w:szCs w:val="18"/>
                <w:lang w:val="en-US"/>
              </w:rPr>
              <w:t xml:space="preserve">THD </w:t>
            </w:r>
            <w:r w:rsidRPr="00D41EC7">
              <w:rPr>
                <w:sz w:val="18"/>
                <w:szCs w:val="18"/>
                <w:lang w:val="en-US"/>
              </w:rPr>
              <w:fldChar w:fldCharType="begin"/>
            </w:r>
            <w:r>
              <w:rPr>
                <w:sz w:val="18"/>
                <w:szCs w:val="18"/>
                <w:lang w:val="en-US"/>
              </w:rPr>
              <w:instrText xml:space="preserve"> ADDIN EN.CITE &lt;EndNote&gt;&lt;Cite&gt;&lt;Author&gt;Cruickshank&lt;/Author&gt;&lt;Year&gt;2010&lt;/Year&gt;&lt;RecNum&gt;920&lt;/RecNum&gt;&lt;DisplayText&gt;[10]&lt;/DisplayText&gt;&lt;record&gt;&lt;rec-number&gt;920&lt;/rec-number&gt;&lt;foreign-keys&gt;&lt;key app="EN" db-id="9wvf05rpgzpfxmee0t55av0urt252w2p5s0t" timestamp="1469187041"&gt;920&lt;/key&gt;&lt;/foreign-keys&gt;&lt;ref-type name="Book"&gt;6&lt;/ref-type&gt;&lt;contributors&gt;&lt;authors&gt;&lt;author&gt;Cruickshank, John&lt;/author&gt;&lt;author&gt;Beer, Gail&lt;/author&gt;&lt;/authors&gt;&lt;/contributors&gt;&lt;titles&gt;&lt;title&gt;Healthcare without walls: A framework for delivering telehealth at scale&lt;/title&gt;&lt;/titles&gt;&lt;dates&gt;&lt;year&gt;2010&lt;/year&gt;&lt;/dates&gt;&lt;publisher&gt;2020health.org&lt;/publisher&gt;&lt;isbn&gt;1907635122&lt;/isbn&gt;&lt;urls&gt;&lt;related-urls&gt;&lt;url&gt;http://www.2020health.org/2020health/Publications/Publications-2010/telehealth.html&lt;/url&gt;&lt;/related-urls&gt;&lt;/urls&gt;&lt;research-notes&gt;TD change management: &amp;quot;While technology is an important feature of providing&amp;#xD;telehealth, the real impact is through the redesign of&amp;#xD;pathways and the introduction of new models of care.&amp;#xD;The healthcare worker of the future will need to manage&amp;#xD;the design and implementation of new ways of working&amp;#xD;in the delivery of care more easily and speedily than at&amp;#xD;the present time. Thought needs to be given at national&amp;#xD;level as to how we train staff in the adoption of new&amp;#xD;technology and the supporting change management that&amp;#xD;surrounds such adoption&amp;quot; p48,&amp;#xD;P2, Scale up framework&amp;#xD;&amp;quot;benefits&amp;quot;&amp;#xD;&amp;quot;the benefits are derivable only through wholesale&amp;#xD;pathway redesign at a local level. This in itself is a&amp;#xD;costly change management exercise. Simply tacking&amp;#xD;telehealth onto existing pathways will not deliver&amp;#xD;the savings sought.&amp;quot;&lt;/research-notes&gt;&lt;access-date&gt;18 November 2017&lt;/access-date&gt;&lt;/record&gt;&lt;/Cite&gt;&lt;/EndNote&gt;</w:instrText>
            </w:r>
            <w:r w:rsidRPr="00D41EC7">
              <w:rPr>
                <w:sz w:val="18"/>
                <w:szCs w:val="18"/>
                <w:lang w:val="en-US"/>
              </w:rPr>
              <w:fldChar w:fldCharType="separate"/>
            </w:r>
            <w:r>
              <w:rPr>
                <w:noProof/>
                <w:sz w:val="18"/>
                <w:szCs w:val="18"/>
                <w:lang w:val="en-US"/>
              </w:rPr>
              <w:t>[10]</w:t>
            </w:r>
            <w:r w:rsidRPr="00D41EC7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7EEFEC68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sz w:val="18"/>
                <w:szCs w:val="18"/>
                <w:lang w:val="en-US"/>
              </w:rPr>
              <w:t xml:space="preserve">Literature review, </w:t>
            </w:r>
            <w:r w:rsidRPr="00D41EC7">
              <w:rPr>
                <w:sz w:val="18"/>
                <w:szCs w:val="18"/>
                <w:lang w:val="en-US"/>
              </w:rPr>
              <w:lastRenderedPageBreak/>
              <w:t>interviews,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D41EC7">
              <w:rPr>
                <w:sz w:val="18"/>
                <w:szCs w:val="18"/>
                <w:lang w:val="en-US"/>
              </w:rPr>
              <w:t>workshops and online engagement</w:t>
            </w:r>
          </w:p>
        </w:tc>
        <w:tc>
          <w:tcPr>
            <w:tcW w:w="0" w:type="auto"/>
            <w:shd w:val="clear" w:color="auto" w:fill="auto"/>
          </w:tcPr>
          <w:p w14:paraId="554D57FA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sz w:val="18"/>
                <w:szCs w:val="18"/>
                <w:lang w:val="en-US"/>
              </w:rPr>
              <w:lastRenderedPageBreak/>
              <w:t xml:space="preserve">Incorporated the Kaiser </w:t>
            </w:r>
            <w:r w:rsidRPr="00D41EC7">
              <w:rPr>
                <w:sz w:val="18"/>
                <w:szCs w:val="18"/>
                <w:lang w:val="en-US"/>
              </w:rPr>
              <w:lastRenderedPageBreak/>
              <w:t>‘pyramid of care’ model, risk sharing outcomes-based payment models</w:t>
            </w:r>
          </w:p>
        </w:tc>
        <w:tc>
          <w:tcPr>
            <w:tcW w:w="0" w:type="auto"/>
            <w:shd w:val="clear" w:color="auto" w:fill="auto"/>
          </w:tcPr>
          <w:p w14:paraId="1334F7F3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b/>
                <w:sz w:val="18"/>
                <w:szCs w:val="18"/>
                <w:lang w:val="en-US"/>
              </w:rPr>
              <w:lastRenderedPageBreak/>
              <w:t>Components:</w:t>
            </w:r>
            <w:r w:rsidRPr="00D41EC7">
              <w:rPr>
                <w:sz w:val="18"/>
                <w:szCs w:val="18"/>
                <w:lang w:val="en-US"/>
              </w:rPr>
              <w:t xml:space="preserve"> Five sections </w:t>
            </w:r>
            <w:r w:rsidRPr="00D41EC7">
              <w:rPr>
                <w:sz w:val="18"/>
                <w:szCs w:val="18"/>
                <w:lang w:val="en-US"/>
              </w:rPr>
              <w:lastRenderedPageBreak/>
              <w:t>supported with an action plan for four groups to action: local NHS, commissioned (national), corporate (central), industry and 11 key success factors</w:t>
            </w:r>
          </w:p>
          <w:p w14:paraId="7218EEDB" w14:textId="77777777" w:rsidR="00C0703D" w:rsidRPr="00D41EC7" w:rsidRDefault="00C0703D" w:rsidP="00A6728B">
            <w:pPr>
              <w:pStyle w:val="ListParagraph"/>
              <w:numPr>
                <w:ilvl w:val="0"/>
                <w:numId w:val="6"/>
              </w:numPr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b/>
                <w:sz w:val="18"/>
                <w:szCs w:val="18"/>
                <w:lang w:val="en-US"/>
              </w:rPr>
              <w:t>Policy context – the need for action:</w:t>
            </w:r>
            <w:r w:rsidRPr="00D41EC7">
              <w:rPr>
                <w:sz w:val="18"/>
                <w:szCs w:val="18"/>
                <w:lang w:val="en-US"/>
              </w:rPr>
              <w:t xml:space="preserve"> national policy drivers including the NHS White Paper; </w:t>
            </w:r>
          </w:p>
          <w:p w14:paraId="41902FA2" w14:textId="77777777" w:rsidR="00C0703D" w:rsidRPr="00D41EC7" w:rsidRDefault="00C0703D" w:rsidP="00A6728B">
            <w:pPr>
              <w:pStyle w:val="ListParagraph"/>
              <w:numPr>
                <w:ilvl w:val="0"/>
                <w:numId w:val="6"/>
              </w:numPr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b/>
                <w:sz w:val="18"/>
                <w:szCs w:val="18"/>
                <w:lang w:val="en-US"/>
              </w:rPr>
              <w:t>Commissioning and funding:</w:t>
            </w:r>
            <w:r w:rsidRPr="00D41EC7">
              <w:rPr>
                <w:sz w:val="18"/>
                <w:szCs w:val="18"/>
                <w:lang w:val="en-US"/>
              </w:rPr>
              <w:t xml:space="preserve"> the evidence; investment, funding and reimbursement options and preferred recommendations; </w:t>
            </w:r>
          </w:p>
          <w:p w14:paraId="53803F3B" w14:textId="77777777" w:rsidR="00C0703D" w:rsidRPr="00D41EC7" w:rsidRDefault="00C0703D" w:rsidP="00A6728B">
            <w:pPr>
              <w:pStyle w:val="ListParagraph"/>
              <w:numPr>
                <w:ilvl w:val="0"/>
                <w:numId w:val="6"/>
              </w:numPr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b/>
                <w:sz w:val="18"/>
                <w:szCs w:val="18"/>
                <w:lang w:val="en-US"/>
              </w:rPr>
              <w:t>Care redesign:</w:t>
            </w:r>
            <w:r w:rsidRPr="00D41EC7">
              <w:rPr>
                <w:sz w:val="18"/>
                <w:szCs w:val="18"/>
                <w:lang w:val="en-US"/>
              </w:rPr>
              <w:t xml:space="preserve"> how </w:t>
            </w:r>
            <w:proofErr w:type="spellStart"/>
            <w:r w:rsidRPr="00D41EC7">
              <w:rPr>
                <w:sz w:val="18"/>
                <w:szCs w:val="18"/>
                <w:lang w:val="en-US"/>
              </w:rPr>
              <w:t>telehealth</w:t>
            </w:r>
            <w:proofErr w:type="spellEnd"/>
            <w:r w:rsidRPr="00D41EC7">
              <w:rPr>
                <w:sz w:val="18"/>
                <w:szCs w:val="18"/>
                <w:lang w:val="en-US"/>
              </w:rPr>
              <w:t xml:space="preserve"> can be moved beyond ‘pilot-</w:t>
            </w:r>
            <w:proofErr w:type="spellStart"/>
            <w:r w:rsidRPr="00D41EC7">
              <w:rPr>
                <w:sz w:val="18"/>
                <w:szCs w:val="18"/>
                <w:lang w:val="en-US"/>
              </w:rPr>
              <w:t>itis</w:t>
            </w:r>
            <w:proofErr w:type="spellEnd"/>
            <w:r w:rsidRPr="00D41EC7">
              <w:rPr>
                <w:sz w:val="18"/>
                <w:szCs w:val="18"/>
                <w:lang w:val="en-US"/>
              </w:rPr>
              <w:t xml:space="preserve">’ towards mainstream care provision, including </w:t>
            </w:r>
            <w:proofErr w:type="spellStart"/>
            <w:r w:rsidRPr="00D41EC7">
              <w:rPr>
                <w:sz w:val="18"/>
                <w:szCs w:val="18"/>
                <w:lang w:val="en-US"/>
              </w:rPr>
              <w:t>organisational</w:t>
            </w:r>
            <w:proofErr w:type="spellEnd"/>
            <w:r w:rsidRPr="00D41EC7">
              <w:rPr>
                <w:sz w:val="18"/>
                <w:szCs w:val="18"/>
                <w:lang w:val="en-US"/>
              </w:rPr>
              <w:t xml:space="preserve"> change best practice, the patient experience and stakeholder engagement;</w:t>
            </w:r>
          </w:p>
          <w:p w14:paraId="7A068B0E" w14:textId="77777777" w:rsidR="00C0703D" w:rsidRPr="00D41EC7" w:rsidRDefault="00C0703D" w:rsidP="00A6728B">
            <w:pPr>
              <w:pStyle w:val="ListParagraph"/>
              <w:numPr>
                <w:ilvl w:val="0"/>
                <w:numId w:val="6"/>
              </w:numPr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b/>
                <w:sz w:val="18"/>
                <w:szCs w:val="18"/>
                <w:lang w:val="en-US"/>
              </w:rPr>
              <w:t>Service delivery:</w:t>
            </w:r>
            <w:r w:rsidRPr="00D41EC7">
              <w:rPr>
                <w:sz w:val="18"/>
                <w:szCs w:val="18"/>
                <w:lang w:val="en-US"/>
              </w:rPr>
              <w:t xml:space="preserve"> alternative service models, education and training, legal and ethical considerations; </w:t>
            </w:r>
          </w:p>
          <w:p w14:paraId="68118302" w14:textId="77777777" w:rsidR="00C0703D" w:rsidRPr="00D41EC7" w:rsidRDefault="00C0703D" w:rsidP="00A6728B">
            <w:pPr>
              <w:pStyle w:val="ListParagraph"/>
              <w:numPr>
                <w:ilvl w:val="0"/>
                <w:numId w:val="6"/>
              </w:numPr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b/>
                <w:sz w:val="18"/>
                <w:szCs w:val="18"/>
                <w:lang w:val="en-US"/>
              </w:rPr>
              <w:t>Enabling scale:</w:t>
            </w:r>
            <w:r w:rsidRPr="00D41EC7">
              <w:rPr>
                <w:sz w:val="18"/>
                <w:szCs w:val="18"/>
                <w:lang w:val="en-US"/>
              </w:rPr>
              <w:t xml:space="preserve"> implications for national and local infrastructure (both public and NHS), and standards; integration with core patient record systems, at a national and local level; market readiness. </w:t>
            </w:r>
          </w:p>
        </w:tc>
        <w:tc>
          <w:tcPr>
            <w:tcW w:w="0" w:type="auto"/>
            <w:shd w:val="clear" w:color="auto" w:fill="auto"/>
          </w:tcPr>
          <w:p w14:paraId="02DBC55D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 w:rsidRPr="00D41EC7">
              <w:rPr>
                <w:b/>
                <w:color w:val="000000"/>
                <w:sz w:val="18"/>
                <w:szCs w:val="18"/>
              </w:rPr>
              <w:lastRenderedPageBreak/>
              <w:t xml:space="preserve">Phases (keywords = phase/ steps/ </w:t>
            </w:r>
            <w:r w:rsidRPr="00D41EC7">
              <w:rPr>
                <w:b/>
                <w:color w:val="000000"/>
                <w:sz w:val="18"/>
                <w:szCs w:val="18"/>
              </w:rPr>
              <w:lastRenderedPageBreak/>
              <w:t xml:space="preserve">sequencing) </w:t>
            </w:r>
            <w:r w:rsidRPr="00D41EC7">
              <w:rPr>
                <w:color w:val="000000"/>
                <w:sz w:val="18"/>
                <w:szCs w:val="18"/>
              </w:rPr>
              <w:t>refer to transition phase but no phase or step approach outlined</w:t>
            </w:r>
          </w:p>
          <w:p w14:paraId="442F27E6" w14:textId="77777777" w:rsidR="00C0703D" w:rsidRPr="00D41EC7" w:rsidRDefault="00C0703D" w:rsidP="00A672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Theme="minorEastAsia"/>
                <w:b/>
                <w:sz w:val="18"/>
                <w:szCs w:val="18"/>
                <w:lang w:val="en-US" w:eastAsia="ja-JP"/>
              </w:rPr>
            </w:pPr>
          </w:p>
          <w:p w14:paraId="601A755A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b/>
                <w:sz w:val="18"/>
                <w:szCs w:val="18"/>
              </w:rPr>
              <w:t xml:space="preserve">Considerations: </w:t>
            </w:r>
            <w:r w:rsidRPr="00D41EC7">
              <w:rPr>
                <w:sz w:val="18"/>
                <w:szCs w:val="18"/>
                <w:lang w:val="en-US"/>
              </w:rPr>
              <w:t>Recommendations for government, the NHS and industry more broadly four groups for action</w:t>
            </w:r>
            <w:r w:rsidRPr="00D41EC7">
              <w:rPr>
                <w:b/>
                <w:sz w:val="18"/>
                <w:szCs w:val="18"/>
                <w:lang w:val="en-US"/>
              </w:rPr>
              <w:t xml:space="preserve">: </w:t>
            </w:r>
          </w:p>
          <w:p w14:paraId="7214E385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sz w:val="18"/>
                <w:szCs w:val="18"/>
                <w:lang w:val="en-US"/>
              </w:rPr>
              <w:t>Local NHS, commissioned (national), corporate (central), industry</w:t>
            </w:r>
          </w:p>
          <w:p w14:paraId="26695FC0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rFonts w:eastAsiaTheme="minorEastAsia"/>
                <w:b/>
                <w:sz w:val="18"/>
                <w:szCs w:val="18"/>
                <w:lang w:val="en-US" w:eastAsia="ja-JP"/>
              </w:rPr>
              <w:t>Key success factors (11):</w:t>
            </w:r>
            <w:r w:rsidRPr="00D41EC7">
              <w:rPr>
                <w:rFonts w:eastAsiaTheme="minorEastAsia"/>
                <w:sz w:val="18"/>
                <w:szCs w:val="18"/>
                <w:lang w:val="en-US" w:eastAsia="ja-JP"/>
              </w:rPr>
              <w:t xml:space="preserve"> </w:t>
            </w:r>
            <w:r w:rsidRPr="00D41EC7">
              <w:rPr>
                <w:sz w:val="18"/>
                <w:szCs w:val="18"/>
                <w:lang w:val="en-US"/>
              </w:rPr>
              <w:t>clinical leadership, locally and nationally; projects as a change initiative; project roll-out at the local level; project thresholds; build on successful pilots; build on where PCTs can offer the change management and leadership capacity; importance of available support, expertise and capability; importance of data quality from a range of data sources; need for greater publicity; effort involved in getting all stakeholders involved; contracting out of the management of patients with specific long term conditions</w:t>
            </w:r>
          </w:p>
          <w:p w14:paraId="338B1B19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</w:p>
          <w:p w14:paraId="7A9B5975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b/>
                <w:sz w:val="18"/>
                <w:szCs w:val="18"/>
              </w:rPr>
              <w:t xml:space="preserve">Relationships: </w:t>
            </w:r>
            <w:r w:rsidRPr="00D41EC7">
              <w:rPr>
                <w:sz w:val="18"/>
                <w:szCs w:val="18"/>
              </w:rPr>
              <w:t>Action plan with recommendations to support key issues and focus areas per action group and key success factors</w:t>
            </w:r>
          </w:p>
        </w:tc>
        <w:tc>
          <w:tcPr>
            <w:tcW w:w="0" w:type="auto"/>
            <w:shd w:val="clear" w:color="auto" w:fill="auto"/>
          </w:tcPr>
          <w:p w14:paraId="34C3D35E" w14:textId="77777777" w:rsidR="00C0703D" w:rsidRPr="00D41EC7" w:rsidRDefault="00C0703D" w:rsidP="00A6728B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D41EC7">
              <w:rPr>
                <w:sz w:val="18"/>
                <w:szCs w:val="18"/>
              </w:rPr>
              <w:lastRenderedPageBreak/>
              <w:t xml:space="preserve">Developed to inform </w:t>
            </w:r>
            <w:r w:rsidRPr="00D41EC7">
              <w:rPr>
                <w:sz w:val="18"/>
                <w:szCs w:val="18"/>
              </w:rPr>
              <w:lastRenderedPageBreak/>
              <w:t>policy planners and makers</w:t>
            </w:r>
          </w:p>
        </w:tc>
      </w:tr>
    </w:tbl>
    <w:p w14:paraId="5F650BF2" w14:textId="77777777" w:rsidR="00C0703D" w:rsidRDefault="00C0703D" w:rsidP="00C0703D">
      <w:pPr>
        <w:spacing w:after="0" w:line="240" w:lineRule="auto"/>
        <w:jc w:val="left"/>
        <w:rPr>
          <w:rFonts w:ascii="Arial" w:hAnsi="Arial"/>
          <w:b/>
          <w:bCs/>
          <w:color w:val="4F81BD" w:themeColor="accent1"/>
          <w:sz w:val="20"/>
          <w:szCs w:val="18"/>
        </w:rPr>
      </w:pPr>
    </w:p>
    <w:sectPr w:rsidR="00C0703D" w:rsidSect="00C070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6820" w:h="11900" w:orient="landscape"/>
      <w:pgMar w:top="1701" w:right="1701" w:bottom="1701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90A0E3" w14:textId="77777777" w:rsidR="00A6728B" w:rsidRDefault="00A6728B" w:rsidP="00C0703D">
      <w:pPr>
        <w:spacing w:after="0" w:line="240" w:lineRule="auto"/>
      </w:pPr>
      <w:r>
        <w:separator/>
      </w:r>
    </w:p>
  </w:endnote>
  <w:endnote w:type="continuationSeparator" w:id="0">
    <w:p w14:paraId="20190A87" w14:textId="77777777" w:rsidR="00A6728B" w:rsidRDefault="00A6728B" w:rsidP="00C07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yriad Pro SemiCond">
    <w:altName w:val="Times New Roma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D6B08F" w14:textId="77777777" w:rsidR="00941052" w:rsidRDefault="00941052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94F2F7" w14:textId="77777777" w:rsidR="00A6728B" w:rsidRDefault="00A6728B" w:rsidP="00C0703D">
    <w:pPr>
      <w:pStyle w:val="Footer"/>
      <w:jc w:val="right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941052">
      <w:rPr>
        <w:noProof/>
      </w:rP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 w:rsidR="00941052">
      <w:rPr>
        <w:noProof/>
      </w:rPr>
      <w:t>5</w:t>
    </w:r>
    <w: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4AFE9E" w14:textId="77777777" w:rsidR="00941052" w:rsidRDefault="00941052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88260B" w14:textId="77777777" w:rsidR="00A6728B" w:rsidRDefault="00A6728B" w:rsidP="00C0703D">
      <w:pPr>
        <w:spacing w:after="0" w:line="240" w:lineRule="auto"/>
      </w:pPr>
      <w:r>
        <w:separator/>
      </w:r>
    </w:p>
  </w:footnote>
  <w:footnote w:type="continuationSeparator" w:id="0">
    <w:p w14:paraId="3307E7DA" w14:textId="77777777" w:rsidR="00A6728B" w:rsidRDefault="00A6728B" w:rsidP="00C07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AF8D66" w14:textId="77777777" w:rsidR="00941052" w:rsidRDefault="00941052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3BFA12" w14:textId="77777777" w:rsidR="00A6728B" w:rsidRDefault="00A6728B" w:rsidP="00A6728B">
    <w:pPr>
      <w:pStyle w:val="Header"/>
      <w:jc w:val="right"/>
    </w:pPr>
    <w:bookmarkStart w:id="0" w:name="_GoBack"/>
    <w:r w:rsidRPr="00A6728B">
      <w:rPr>
        <w:lang w:val="en-US"/>
      </w:rPr>
      <w:drawing>
        <wp:inline distT="0" distB="0" distL="0" distR="0" wp14:anchorId="251D2974" wp14:editId="6ACC0541">
          <wp:extent cx="713848" cy="461571"/>
          <wp:effectExtent l="0" t="0" r="0" b="0"/>
          <wp:docPr id="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186" cy="461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noProof/>
        <w:lang w:val="en-US"/>
      </w:rPr>
      <w:drawing>
        <wp:inline distT="0" distB="0" distL="0" distR="0" wp14:anchorId="2FF27EB5" wp14:editId="04F3B568">
          <wp:extent cx="627983" cy="445135"/>
          <wp:effectExtent l="0" t="0" r="7620" b="1206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987" cy="4458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0"/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6BF11F" w14:textId="77777777" w:rsidR="00941052" w:rsidRDefault="00941052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17A6B"/>
    <w:multiLevelType w:val="hybridMultilevel"/>
    <w:tmpl w:val="AD88D6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5670E8E"/>
    <w:multiLevelType w:val="hybridMultilevel"/>
    <w:tmpl w:val="E4FC3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17205E"/>
    <w:multiLevelType w:val="hybridMultilevel"/>
    <w:tmpl w:val="1B8E86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BBC5993"/>
    <w:multiLevelType w:val="hybridMultilevel"/>
    <w:tmpl w:val="21EE15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7CD4535"/>
    <w:multiLevelType w:val="hybridMultilevel"/>
    <w:tmpl w:val="8A3A3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6A418D"/>
    <w:multiLevelType w:val="hybridMultilevel"/>
    <w:tmpl w:val="ACFCC5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B6173B"/>
    <w:multiLevelType w:val="multilevel"/>
    <w:tmpl w:val="0AFE006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>
    <w:nsid w:val="67EF0082"/>
    <w:multiLevelType w:val="hybridMultilevel"/>
    <w:tmpl w:val="756088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86530E2"/>
    <w:multiLevelType w:val="hybridMultilevel"/>
    <w:tmpl w:val="194CD4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A255798"/>
    <w:multiLevelType w:val="hybridMultilevel"/>
    <w:tmpl w:val="A70C055E"/>
    <w:lvl w:ilvl="0" w:tplc="4A482B2E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8"/>
  </w:num>
  <w:num w:numId="8">
    <w:abstractNumId w:val="1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03D"/>
    <w:rsid w:val="00060E44"/>
    <w:rsid w:val="002144AE"/>
    <w:rsid w:val="00272EAE"/>
    <w:rsid w:val="003E7ED7"/>
    <w:rsid w:val="004C2CCF"/>
    <w:rsid w:val="004F23AD"/>
    <w:rsid w:val="00553F5F"/>
    <w:rsid w:val="005C2BDD"/>
    <w:rsid w:val="00605896"/>
    <w:rsid w:val="00793B8F"/>
    <w:rsid w:val="007F4815"/>
    <w:rsid w:val="00800235"/>
    <w:rsid w:val="0082350B"/>
    <w:rsid w:val="00941052"/>
    <w:rsid w:val="009C5264"/>
    <w:rsid w:val="00A6728B"/>
    <w:rsid w:val="00B54E10"/>
    <w:rsid w:val="00BB7B4F"/>
    <w:rsid w:val="00C0703D"/>
    <w:rsid w:val="00C90E9D"/>
    <w:rsid w:val="00CE45C0"/>
    <w:rsid w:val="00E146EC"/>
    <w:rsid w:val="00E86142"/>
    <w:rsid w:val="00F71C13"/>
    <w:rsid w:val="00FC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6F7779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figures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03D"/>
    <w:pPr>
      <w:spacing w:after="200" w:line="480" w:lineRule="auto"/>
      <w:jc w:val="both"/>
    </w:pPr>
    <w:rPr>
      <w:rFonts w:eastAsiaTheme="minorHAnsi"/>
      <w:szCs w:val="20"/>
      <w:lang w:val="en-GB"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144AE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caps/>
      <w:sz w:val="24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144AE"/>
    <w:pPr>
      <w:keepNext/>
      <w:keepLines/>
      <w:spacing w:before="200"/>
      <w:outlineLvl w:val="1"/>
    </w:pPr>
    <w:rPr>
      <w:rFonts w:eastAsiaTheme="majorEastAsia" w:cstheme="majorBidi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144AE"/>
    <w:pPr>
      <w:spacing w:before="300" w:line="276" w:lineRule="auto"/>
      <w:outlineLvl w:val="2"/>
    </w:pPr>
    <w:rPr>
      <w:b/>
      <w:bCs/>
      <w:i/>
      <w:iCs/>
      <w:spacing w:val="15"/>
      <w:lang w:bidi="en-US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2144AE"/>
    <w:pPr>
      <w:keepNext/>
      <w:keepLines/>
      <w:spacing w:before="200"/>
      <w:outlineLvl w:val="3"/>
    </w:pPr>
    <w:rPr>
      <w:rFonts w:eastAsiaTheme="majorEastAsia" w:cstheme="majorBidi"/>
      <w:bCs/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rsid w:val="002144AE"/>
    <w:rPr>
      <w:rFonts w:eastAsiaTheme="minorHAnsi"/>
      <w:b/>
      <w:bCs/>
      <w:i/>
      <w:iCs/>
      <w:spacing w:val="15"/>
      <w:szCs w:val="20"/>
      <w:lang w:val="en-GB" w:eastAsia="en-US" w:bidi="en-US"/>
    </w:rPr>
  </w:style>
  <w:style w:type="paragraph" w:customStyle="1" w:styleId="Figure">
    <w:name w:val="Figure"/>
    <w:basedOn w:val="Normal"/>
    <w:autoRedefine/>
    <w:qFormat/>
    <w:rsid w:val="00800235"/>
    <w:pPr>
      <w:widowControl w:val="0"/>
      <w:autoSpaceDE w:val="0"/>
      <w:autoSpaceDN w:val="0"/>
      <w:adjustRightInd w:val="0"/>
    </w:pPr>
    <w:rPr>
      <w:sz w:val="24"/>
      <w:szCs w:val="24"/>
      <w14:ligatures w14:val="standard"/>
      <w14:cntxtAlts/>
    </w:rPr>
  </w:style>
  <w:style w:type="paragraph" w:styleId="TableofFigures">
    <w:name w:val="table of figures"/>
    <w:aliases w:val="List of Figures"/>
    <w:basedOn w:val="Title"/>
    <w:next w:val="Normal"/>
    <w:autoRedefine/>
    <w:uiPriority w:val="99"/>
    <w:unhideWhenUsed/>
    <w:qFormat/>
    <w:rsid w:val="007F4815"/>
    <w:rPr>
      <w:caps w:val="0"/>
    </w:rPr>
  </w:style>
  <w:style w:type="character" w:customStyle="1" w:styleId="Heading1Char">
    <w:name w:val="Heading 1 Char"/>
    <w:basedOn w:val="DefaultParagraphFont"/>
    <w:link w:val="Heading1"/>
    <w:uiPriority w:val="9"/>
    <w:rsid w:val="002144AE"/>
    <w:rPr>
      <w:rFonts w:eastAsiaTheme="majorEastAsia" w:cstheme="majorBidi"/>
      <w:b/>
      <w:bCs/>
      <w:caps/>
      <w:sz w:val="24"/>
      <w:szCs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144AE"/>
    <w:rPr>
      <w:rFonts w:eastAsiaTheme="majorEastAsia" w:cstheme="majorBidi"/>
      <w:b/>
      <w:bCs/>
      <w:sz w:val="24"/>
      <w:szCs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4AE"/>
    <w:rPr>
      <w:rFonts w:eastAsiaTheme="majorEastAsia" w:cstheme="majorBidi"/>
      <w:bCs/>
      <w:i/>
      <w:iCs/>
      <w:szCs w:val="20"/>
      <w:lang w:val="en-GB" w:eastAsia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2144AE"/>
    <w:pPr>
      <w:pBdr>
        <w:bottom w:val="single" w:sz="8" w:space="4" w:color="000000" w:themeColor="text1"/>
      </w:pBdr>
      <w:tabs>
        <w:tab w:val="center" w:pos="4249"/>
      </w:tabs>
      <w:spacing w:after="300" w:line="360" w:lineRule="auto"/>
      <w:contextualSpacing/>
      <w:jc w:val="center"/>
    </w:pPr>
    <w:rPr>
      <w:rFonts w:eastAsiaTheme="majorEastAsia" w:cstheme="majorBidi"/>
      <w:caps/>
      <w:spacing w:val="5"/>
      <w:kern w:val="28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2144AE"/>
    <w:rPr>
      <w:rFonts w:eastAsiaTheme="majorEastAsia" w:cstheme="majorBidi"/>
      <w:caps/>
      <w:spacing w:val="5"/>
      <w:kern w:val="28"/>
      <w:sz w:val="24"/>
      <w:szCs w:val="24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5A8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8C"/>
    <w:rPr>
      <w:rFonts w:ascii="Lucida Grande" w:hAnsi="Lucida Grande" w:cs="Lucida Grande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C070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autoRedefine/>
    <w:uiPriority w:val="35"/>
    <w:unhideWhenUsed/>
    <w:qFormat/>
    <w:rsid w:val="00C0703D"/>
    <w:pPr>
      <w:spacing w:after="120" w:line="240" w:lineRule="auto"/>
      <w:jc w:val="center"/>
    </w:pPr>
    <w:rPr>
      <w:rFonts w:ascii="Arial" w:hAnsi="Arial"/>
      <w:b/>
      <w:bCs/>
      <w:color w:val="4F81BD" w:themeColor="accent1"/>
      <w:sz w:val="20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C0703D"/>
    <w:pPr>
      <w:spacing w:after="0" w:line="240" w:lineRule="auto"/>
      <w:ind w:left="720"/>
      <w:contextualSpacing/>
    </w:pPr>
    <w:rPr>
      <w:rFonts w:eastAsiaTheme="minorEastAsia"/>
      <w:sz w:val="24"/>
      <w:lang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0703D"/>
    <w:rPr>
      <w:sz w:val="24"/>
      <w:szCs w:val="20"/>
      <w:lang w:val="en-GB"/>
    </w:rPr>
  </w:style>
  <w:style w:type="paragraph" w:customStyle="1" w:styleId="EndNoteBibliography">
    <w:name w:val="EndNote Bibliography"/>
    <w:basedOn w:val="Normal"/>
    <w:rsid w:val="00C0703D"/>
    <w:pPr>
      <w:spacing w:line="240" w:lineRule="auto"/>
    </w:pPr>
    <w:rPr>
      <w:lang w:val="en-US"/>
    </w:rPr>
  </w:style>
  <w:style w:type="paragraph" w:customStyle="1" w:styleId="Default">
    <w:name w:val="Default"/>
    <w:rsid w:val="00C0703D"/>
    <w:pPr>
      <w:widowControl w:val="0"/>
      <w:autoSpaceDE w:val="0"/>
      <w:autoSpaceDN w:val="0"/>
      <w:adjustRightInd w:val="0"/>
    </w:pPr>
    <w:rPr>
      <w:rFonts w:ascii="Myriad Pro SemiCond" w:hAnsi="Myriad Pro SemiCond" w:cs="Myriad Pro SemiCond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0703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703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03D"/>
    <w:rPr>
      <w:rFonts w:eastAsiaTheme="minorHAnsi"/>
      <w:szCs w:val="20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C0703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03D"/>
    <w:rPr>
      <w:rFonts w:eastAsiaTheme="minorHAnsi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figures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03D"/>
    <w:pPr>
      <w:spacing w:after="200" w:line="480" w:lineRule="auto"/>
      <w:jc w:val="both"/>
    </w:pPr>
    <w:rPr>
      <w:rFonts w:eastAsiaTheme="minorHAnsi"/>
      <w:szCs w:val="20"/>
      <w:lang w:val="en-GB"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144AE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caps/>
      <w:sz w:val="24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144AE"/>
    <w:pPr>
      <w:keepNext/>
      <w:keepLines/>
      <w:spacing w:before="200"/>
      <w:outlineLvl w:val="1"/>
    </w:pPr>
    <w:rPr>
      <w:rFonts w:eastAsiaTheme="majorEastAsia" w:cstheme="majorBidi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144AE"/>
    <w:pPr>
      <w:spacing w:before="300" w:line="276" w:lineRule="auto"/>
      <w:outlineLvl w:val="2"/>
    </w:pPr>
    <w:rPr>
      <w:b/>
      <w:bCs/>
      <w:i/>
      <w:iCs/>
      <w:spacing w:val="15"/>
      <w:lang w:bidi="en-US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2144AE"/>
    <w:pPr>
      <w:keepNext/>
      <w:keepLines/>
      <w:spacing w:before="200"/>
      <w:outlineLvl w:val="3"/>
    </w:pPr>
    <w:rPr>
      <w:rFonts w:eastAsiaTheme="majorEastAsia" w:cstheme="majorBidi"/>
      <w:bCs/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rsid w:val="002144AE"/>
    <w:rPr>
      <w:rFonts w:eastAsiaTheme="minorHAnsi"/>
      <w:b/>
      <w:bCs/>
      <w:i/>
      <w:iCs/>
      <w:spacing w:val="15"/>
      <w:szCs w:val="20"/>
      <w:lang w:val="en-GB" w:eastAsia="en-US" w:bidi="en-US"/>
    </w:rPr>
  </w:style>
  <w:style w:type="paragraph" w:customStyle="1" w:styleId="Figure">
    <w:name w:val="Figure"/>
    <w:basedOn w:val="Normal"/>
    <w:autoRedefine/>
    <w:qFormat/>
    <w:rsid w:val="00800235"/>
    <w:pPr>
      <w:widowControl w:val="0"/>
      <w:autoSpaceDE w:val="0"/>
      <w:autoSpaceDN w:val="0"/>
      <w:adjustRightInd w:val="0"/>
    </w:pPr>
    <w:rPr>
      <w:sz w:val="24"/>
      <w:szCs w:val="24"/>
      <w14:ligatures w14:val="standard"/>
      <w14:cntxtAlts/>
    </w:rPr>
  </w:style>
  <w:style w:type="paragraph" w:styleId="TableofFigures">
    <w:name w:val="table of figures"/>
    <w:aliases w:val="List of Figures"/>
    <w:basedOn w:val="Title"/>
    <w:next w:val="Normal"/>
    <w:autoRedefine/>
    <w:uiPriority w:val="99"/>
    <w:unhideWhenUsed/>
    <w:qFormat/>
    <w:rsid w:val="007F4815"/>
    <w:rPr>
      <w:caps w:val="0"/>
    </w:rPr>
  </w:style>
  <w:style w:type="character" w:customStyle="1" w:styleId="Heading1Char">
    <w:name w:val="Heading 1 Char"/>
    <w:basedOn w:val="DefaultParagraphFont"/>
    <w:link w:val="Heading1"/>
    <w:uiPriority w:val="9"/>
    <w:rsid w:val="002144AE"/>
    <w:rPr>
      <w:rFonts w:eastAsiaTheme="majorEastAsia" w:cstheme="majorBidi"/>
      <w:b/>
      <w:bCs/>
      <w:caps/>
      <w:sz w:val="24"/>
      <w:szCs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144AE"/>
    <w:rPr>
      <w:rFonts w:eastAsiaTheme="majorEastAsia" w:cstheme="majorBidi"/>
      <w:b/>
      <w:bCs/>
      <w:sz w:val="24"/>
      <w:szCs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4AE"/>
    <w:rPr>
      <w:rFonts w:eastAsiaTheme="majorEastAsia" w:cstheme="majorBidi"/>
      <w:bCs/>
      <w:i/>
      <w:iCs/>
      <w:szCs w:val="20"/>
      <w:lang w:val="en-GB" w:eastAsia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2144AE"/>
    <w:pPr>
      <w:pBdr>
        <w:bottom w:val="single" w:sz="8" w:space="4" w:color="000000" w:themeColor="text1"/>
      </w:pBdr>
      <w:tabs>
        <w:tab w:val="center" w:pos="4249"/>
      </w:tabs>
      <w:spacing w:after="300" w:line="360" w:lineRule="auto"/>
      <w:contextualSpacing/>
      <w:jc w:val="center"/>
    </w:pPr>
    <w:rPr>
      <w:rFonts w:eastAsiaTheme="majorEastAsia" w:cstheme="majorBidi"/>
      <w:caps/>
      <w:spacing w:val="5"/>
      <w:kern w:val="28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2144AE"/>
    <w:rPr>
      <w:rFonts w:eastAsiaTheme="majorEastAsia" w:cstheme="majorBidi"/>
      <w:caps/>
      <w:spacing w:val="5"/>
      <w:kern w:val="28"/>
      <w:sz w:val="24"/>
      <w:szCs w:val="24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5A8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8C"/>
    <w:rPr>
      <w:rFonts w:ascii="Lucida Grande" w:hAnsi="Lucida Grande" w:cs="Lucida Grande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C070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autoRedefine/>
    <w:uiPriority w:val="35"/>
    <w:unhideWhenUsed/>
    <w:qFormat/>
    <w:rsid w:val="00C0703D"/>
    <w:pPr>
      <w:spacing w:after="120" w:line="240" w:lineRule="auto"/>
      <w:jc w:val="center"/>
    </w:pPr>
    <w:rPr>
      <w:rFonts w:ascii="Arial" w:hAnsi="Arial"/>
      <w:b/>
      <w:bCs/>
      <w:color w:val="4F81BD" w:themeColor="accent1"/>
      <w:sz w:val="20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C0703D"/>
    <w:pPr>
      <w:spacing w:after="0" w:line="240" w:lineRule="auto"/>
      <w:ind w:left="720"/>
      <w:contextualSpacing/>
    </w:pPr>
    <w:rPr>
      <w:rFonts w:eastAsiaTheme="minorEastAsia"/>
      <w:sz w:val="24"/>
      <w:lang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0703D"/>
    <w:rPr>
      <w:sz w:val="24"/>
      <w:szCs w:val="20"/>
      <w:lang w:val="en-GB"/>
    </w:rPr>
  </w:style>
  <w:style w:type="paragraph" w:customStyle="1" w:styleId="EndNoteBibliography">
    <w:name w:val="EndNote Bibliography"/>
    <w:basedOn w:val="Normal"/>
    <w:rsid w:val="00C0703D"/>
    <w:pPr>
      <w:spacing w:line="240" w:lineRule="auto"/>
    </w:pPr>
    <w:rPr>
      <w:lang w:val="en-US"/>
    </w:rPr>
  </w:style>
  <w:style w:type="paragraph" w:customStyle="1" w:styleId="Default">
    <w:name w:val="Default"/>
    <w:rsid w:val="00C0703D"/>
    <w:pPr>
      <w:widowControl w:val="0"/>
      <w:autoSpaceDE w:val="0"/>
      <w:autoSpaceDN w:val="0"/>
      <w:adjustRightInd w:val="0"/>
    </w:pPr>
    <w:rPr>
      <w:rFonts w:ascii="Myriad Pro SemiCond" w:hAnsi="Myriad Pro SemiCond" w:cs="Myriad Pro SemiCond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0703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703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03D"/>
    <w:rPr>
      <w:rFonts w:eastAsiaTheme="minorHAnsi"/>
      <w:szCs w:val="20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C0703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03D"/>
    <w:rPr>
      <w:rFonts w:eastAsiaTheme="minorHAnsi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2915</Words>
  <Characters>18952</Characters>
  <Application>Microsoft Macintosh Word</Application>
  <DocSecurity>0</DocSecurity>
  <Lines>824</Lines>
  <Paragraphs>242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UKZN</Company>
  <LinksUpToDate>false</LinksUpToDate>
  <CharactersWithSpaces>21625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Laticha Walters</dc:creator>
  <cp:keywords/>
  <dc:description/>
  <cp:lastModifiedBy>Laticha Walters</cp:lastModifiedBy>
  <cp:revision>3</cp:revision>
  <dcterms:created xsi:type="dcterms:W3CDTF">2018-04-17T09:14:00Z</dcterms:created>
  <dcterms:modified xsi:type="dcterms:W3CDTF">2018-07-17T09:59:00Z</dcterms:modified>
  <cp:category/>
</cp:coreProperties>
</file>