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9D03C" w14:textId="77777777" w:rsidR="00FD6AE6" w:rsidRDefault="00F87C23" w:rsidP="00FD6AE6">
      <w:pPr>
        <w:pStyle w:val="Caption"/>
        <w:jc w:val="left"/>
      </w:pPr>
      <w:r>
        <w:t>Additional file 2</w:t>
      </w:r>
      <w:r w:rsidR="00FD6AE6">
        <w:t>: Detail results of the TD requirements mapping to identified frameworks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5"/>
        <w:gridCol w:w="1842"/>
        <w:gridCol w:w="1877"/>
        <w:gridCol w:w="1754"/>
        <w:gridCol w:w="1638"/>
        <w:gridCol w:w="1526"/>
        <w:gridCol w:w="1711"/>
        <w:gridCol w:w="1641"/>
      </w:tblGrid>
      <w:tr w:rsidR="00FD6AE6" w:rsidRPr="00CD1612" w14:paraId="12BA2FB2" w14:textId="77777777" w:rsidTr="00972FA9">
        <w:trPr>
          <w:tblHeader/>
        </w:trPr>
        <w:tc>
          <w:tcPr>
            <w:tcW w:w="0" w:type="auto"/>
            <w:shd w:val="clear" w:color="auto" w:fill="auto"/>
          </w:tcPr>
          <w:p w14:paraId="6AB66B61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TD requirement</w:t>
            </w:r>
          </w:p>
        </w:tc>
        <w:tc>
          <w:tcPr>
            <w:tcW w:w="0" w:type="auto"/>
            <w:shd w:val="clear" w:color="auto" w:fill="auto"/>
          </w:tcPr>
          <w:p w14:paraId="7342636B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ZA"/>
              </w:rPr>
            </w:pPr>
            <w:r w:rsidRPr="00CD1612">
              <w:rPr>
                <w:sz w:val="18"/>
                <w:szCs w:val="18"/>
                <w:lang w:val="en-ZA"/>
              </w:rPr>
              <w:t xml:space="preserve">MAPS </w:t>
            </w:r>
            <w:r w:rsidRPr="00CD1612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&lt;EndNote&gt;&lt;Cite&gt;&lt;Author&gt;World Health Organization&lt;/Author&gt;&lt;Year&gt;2015&lt;/Year&gt;&lt;RecNum&gt;735&lt;/RecNum&gt;&lt;DisplayText&gt;[1]&lt;/DisplayText&gt;&lt;record&gt;&lt;rec-number&gt;735&lt;/rec-number&gt;&lt;foreign-keys&gt;&lt;key app="EN" db-id="9wvf05rpgzpfxmee0t55av0urt252w2p5s0t" timestamp="1452762192"&gt;735&lt;/key&gt;&lt;key app="ENWeb" db-id=""&gt;0&lt;/key&gt;&lt;/foreign-keys&gt;&lt;ref-type name="Report"&gt;27&lt;/ref-type&gt;&lt;contributors&gt;&lt;authors&gt;&lt;author&gt;World Health Organization,&lt;/author&gt;&lt;/authors&gt;&lt;/contributors&gt;&lt;titles&gt;&lt;title&gt;The MAPS Toolkit mHealth Assessment and Planning for Scale&lt;/title&gt;&lt;/titles&gt;&lt;keywords&gt;&lt;keyword&gt;1.Cell Phones. 2.Delivery of Health Care. 3.Telemedicine - instrumentation. 4.Reproductive Health Services. 5.Maternal Welfare.&lt;/keyword&gt;&lt;/keywords&gt;&lt;dates&gt;&lt;year&gt;2015&lt;/year&gt;&lt;/dates&gt;&lt;isbn&gt;9789241509510&lt;/isbn&gt;&lt;urls&gt;&lt;related-urls&gt;&lt;url&gt;http://apps.who.int/iris/bitstream/10665/185238/1/9789241509510_eng.pdf&lt;/url&gt;&lt;/related-urls&gt;&lt;/urls&gt;&lt;access-date&gt;18 November 2017&lt;/access-date&gt;&lt;/record&gt;&lt;/Cite&gt;&lt;/EndNote&gt;</w:instrText>
            </w:r>
            <w:r w:rsidRPr="00CD1612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[1]</w:t>
            </w:r>
            <w:r w:rsidRPr="00CD1612">
              <w:rPr>
                <w:sz w:val="18"/>
                <w:szCs w:val="18"/>
                <w:lang w:val="en-ZA"/>
              </w:rPr>
              <w:fldChar w:fldCharType="end"/>
            </w:r>
          </w:p>
          <w:p w14:paraId="54ECF163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0F54400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mHA</w:t>
            </w:r>
            <w:proofErr w:type="spellEnd"/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begin"/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instrText xml:space="preserve"> ADDIN EN.CITE &lt;EndNote&gt;&lt;Cite&gt;&lt;Author&gt;Leon&lt;/Author&gt;&lt;Year&gt;2012&lt;/Year&gt;&lt;RecNum&gt;738&lt;/RecNum&gt;&lt;DisplayText&gt;[2]&lt;/DisplayText&gt;&lt;record&gt;&lt;rec-number&gt;738&lt;/rec-number&gt;&lt;foreign-keys&gt;&lt;key app="EN" db-id="9wvf05rpgzpfxmee0t55av0urt252w2p5s0t" timestamp="1452762219"&gt;738&lt;/key&gt;&lt;key app="ENWeb" db-id=""&gt;0&lt;/key&gt;&lt;/foreign-keys&gt;&lt;ref-type name="Journal Article"&gt;17&lt;/ref-type&gt;&lt;contributors&gt;&lt;authors&gt;&lt;author&gt;Leon, N&lt;/author&gt;&lt;author&gt;Schneider, H&lt;/author&gt;&lt;author&gt;Daviaud, E&lt;/author&gt;&lt;/authors&gt;&lt;/contributors&gt;&lt;auth-address&gt;natalie.leon@mrc.ac.za&lt;/auth-address&gt;&lt;titles&gt;&lt;title&gt;Applying a framework for assessing the health system challenges to scaling up mHealth in South Africa&lt;/title&gt;&lt;secondary-title&gt;BMC Medical Informatics and Decision Making&lt;/secondary-title&gt;&lt;/titles&gt;&lt;periodical&gt;&lt;full-title&gt;BMC Medical Informatics and Decision Making&lt;/full-title&gt;&lt;/periodical&gt;&lt;pages&gt;123&lt;/pages&gt;&lt;volume&gt;12&lt;/volume&gt;&lt;keywords&gt;&lt;keyword&gt;MHealth, Mobile phone technology, Health systems framework, Community-based health services, South Africa&lt;/keyword&gt;&lt;/keywords&gt;&lt;dates&gt;&lt;year&gt;2012&lt;/year&gt;&lt;/dates&gt;&lt;urls&gt;&lt;/urls&gt;&lt;electronic-resource-num&gt;https://doi.org/10.1186/1472-6947-12-123&lt;/electronic-resource-num&gt;&lt;remote-database-name&gt;BioMed Central&lt;/remote-database-name&gt;&lt;research-notes&gt;Scale up framework,Assessment Framework, Implementation Review, South Africa (SA)&lt;/research-notes&gt;&lt;language&gt;English&lt;/language&gt;&lt;access-date&gt;18 November 2017&lt;/access-date&gt;&lt;/record&gt;&lt;/Cite&gt;&lt;/EndNote&gt;</w:instrTex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separate"/>
            </w:r>
            <w:r>
              <w:rPr>
                <w:rFonts w:eastAsiaTheme="minorEastAsia"/>
                <w:noProof/>
                <w:sz w:val="18"/>
                <w:szCs w:val="18"/>
                <w:lang w:val="en-US" w:eastAsia="ja-JP"/>
              </w:rPr>
              <w:t>[2]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C3E7017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CD1612">
              <w:rPr>
                <w:sz w:val="18"/>
                <w:szCs w:val="18"/>
                <w:lang w:val="en-ZA"/>
              </w:rPr>
              <w:t xml:space="preserve">MTT </w:t>
            </w:r>
            <w:r w:rsidRPr="00CD1612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&lt;EndNote&gt;&lt;Cite&gt;&lt;Author&gt;Jensen&lt;/Author&gt;&lt;Year&gt;2015&lt;/Year&gt;&lt;RecNum&gt;366&lt;/RecNum&gt;&lt;DisplayText&gt;[3]&lt;/DisplayText&gt;&lt;record&gt;&lt;rec-number&gt;366&lt;/rec-number&gt;&lt;foreign-keys&gt;&lt;key app="EN" db-id="9wvf05rpgzpfxmee0t55av0urt252w2p5s0t" timestamp="1452758508"&gt;366&lt;/key&gt;&lt;key app="ENWeb" db-id=""&gt;0&lt;/key&gt;&lt;/foreign-keys&gt;&lt;ref-type name="Report"&gt;27&lt;/ref-type&gt;&lt;contributors&gt;&lt;authors&gt;&lt;author&gt;Jensen, Lise Kvistgaard.&lt;/author&gt;&lt;author&gt;Knarvik, Undine.&lt;/author&gt;&lt;author&gt;Pedersen, Claus Duedal.&lt;/author&gt;&lt;author&gt;Tangene, Wenche.&lt;/author&gt;&lt;author&gt;Whitehouse, Diane.&lt;/author&gt;&lt;/authors&gt;&lt;/contributors&gt;&lt;titles&gt;&lt;title&gt;Deliverable 3.4 Personalised Blueprint for telemedicine deployment: validated and tested version version&lt;/title&gt;&lt;/titles&gt;&lt;keywords&gt;&lt;keyword&gt;Blueprint, business plan, champion, change management, compelling need, decisionmakers, doers, eHealth, financing, healthcare professionals, large-scale deployment, legal and security experts, legislation, legal and security guidelines, legal and securi&lt;/keyword&gt;&lt;/keywords&gt;&lt;dates&gt;&lt;year&gt;2015&lt;/year&gt;&lt;/dates&gt;&lt;urls&gt;&lt;related-urls&gt;&lt;url&gt;http://www.telemedicine-momentum.eu/wp-content/uploads/2015/02/D3.4_v1.0_ValidatedBlueprint.pdf&lt;/url&gt;&lt;/related-urls&gt;&lt;/urls&gt;&lt;research-notes&gt;Telemedicine Scale Up&lt;/research-notes&gt;&lt;language&gt;English&lt;/language&gt;&lt;access-date&gt;18 November 2017&lt;/access-date&gt;&lt;/record&gt;&lt;/Cite&gt;&lt;/EndNote&gt;</w:instrText>
            </w:r>
            <w:r w:rsidRPr="00CD1612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[3]</w:t>
            </w:r>
            <w:r w:rsidRPr="00CD1612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025F1620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CD1612">
              <w:rPr>
                <w:sz w:val="18"/>
                <w:szCs w:val="18"/>
                <w:lang w:val="en-ZA"/>
              </w:rPr>
              <w:t xml:space="preserve">SF </w:t>
            </w:r>
            <w:r w:rsidRPr="00CD1612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&lt;EndNote&gt;&lt;Cite&gt;&lt;Author&gt;Yamey&lt;/Author&gt;&lt;Year&gt;2011&lt;/Year&gt;&lt;RecNum&gt;40&lt;/RecNum&gt;&lt;DisplayText&gt;[4]&lt;/DisplayText&gt;&lt;record&gt;&lt;rec-number&gt;40&lt;/rec-number&gt;&lt;foreign-keys&gt;&lt;key app="EN" db-id="9wvf05rpgzpfxmee0t55av0urt252w2p5s0t" timestamp="1452756075"&gt;40&lt;/key&gt;&lt;key app="ENWeb" db-id=""&gt;0&lt;/key&gt;&lt;/foreign-keys&gt;&lt;ref-type name="Journal Article"&gt;17&lt;/ref-type&gt;&lt;contributors&gt;&lt;authors&gt;&lt;author&gt;Yamey, G.&lt;/author&gt;&lt;/authors&gt;&lt;/contributors&gt;&lt;titles&gt;&lt;title&gt;Scaling up global health interventions: A proposed framework for success&lt;/title&gt;&lt;secondary-title&gt;PLoS Med&lt;/secondary-title&gt;&lt;/titles&gt;&lt;periodical&gt;&lt;full-title&gt;PLoS Med&lt;/full-title&gt;&lt;/periodical&gt;&lt;pages&gt;e1001049&lt;/pages&gt;&lt;volume&gt;8&lt;/volume&gt;&lt;number&gt;6&lt;/number&gt;&lt;dates&gt;&lt;year&gt;2011&lt;/year&gt;&lt;/dates&gt;&lt;publisher&gt;Public Library of Science&lt;/publisher&gt;&lt;urls&gt;&lt;/urls&gt;&lt;electronic-resource-num&gt;https://doi.org/10.1371/journal.pmed.1001049&lt;/electronic-resource-num&gt;&lt;research-notes&gt;Scaling up Framework&lt;/research-notes&gt;&lt;access-date&gt;18 November 2017&lt;/access-date&gt;&lt;/record&gt;&lt;/Cite&gt;&lt;/EndNote&gt;</w:instrText>
            </w:r>
            <w:r w:rsidRPr="00CD1612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[4]</w:t>
            </w:r>
            <w:r w:rsidRPr="00CD1612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4E06F2B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CD1612">
              <w:rPr>
                <w:sz w:val="18"/>
                <w:szCs w:val="18"/>
                <w:lang w:val="en-ZA"/>
              </w:rPr>
              <w:t xml:space="preserve">SUF </w:t>
            </w:r>
            <w:r w:rsidRPr="00CD1612">
              <w:rPr>
                <w:sz w:val="18"/>
                <w:szCs w:val="18"/>
                <w:lang w:val="en-ZA"/>
              </w:rPr>
              <w:fldChar w:fldCharType="begin">
                <w:fldData xml:space="preserve">PEVuZE5vdGU+PENpdGU+PEF1dGhvcj5Xb3JsZCBIZWFsdGggT3JnYW5pemF0aW9uPC9BdXRob3I+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</w:fldData>
              </w:fldChar>
            </w:r>
            <w:r>
              <w:rPr>
                <w:sz w:val="18"/>
                <w:szCs w:val="18"/>
                <w:lang w:val="en-ZA"/>
              </w:rPr>
              <w:instrText xml:space="preserve"> ADDIN EN.CITE </w:instrText>
            </w:r>
            <w:r>
              <w:rPr>
                <w:sz w:val="18"/>
                <w:szCs w:val="18"/>
                <w:lang w:val="en-ZA"/>
              </w:rPr>
              <w:fldChar w:fldCharType="begin">
                <w:fldData xml:space="preserve">PEVuZE5vdGU+PENpdGU+PEF1dGhvcj5Xb3JsZCBIZWFsdGggT3JnYW5pemF0aW9uPC9BdXRob3I+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</w:fldData>
              </w:fldChar>
            </w:r>
            <w:r>
              <w:rPr>
                <w:sz w:val="18"/>
                <w:szCs w:val="18"/>
                <w:lang w:val="en-ZA"/>
              </w:rPr>
              <w:instrText xml:space="preserve"> ADDIN EN.CITE.DATA </w:instrText>
            </w:r>
            <w:r>
              <w:rPr>
                <w:sz w:val="18"/>
                <w:szCs w:val="18"/>
                <w:lang w:val="en-ZA"/>
              </w:rPr>
            </w:r>
            <w:r>
              <w:rPr>
                <w:sz w:val="18"/>
                <w:szCs w:val="18"/>
                <w:lang w:val="en-ZA"/>
              </w:rPr>
              <w:fldChar w:fldCharType="end"/>
            </w:r>
            <w:r w:rsidRPr="00CD1612">
              <w:rPr>
                <w:sz w:val="18"/>
                <w:szCs w:val="18"/>
                <w:lang w:val="en-ZA"/>
              </w:rPr>
            </w:r>
            <w:r w:rsidRPr="00CD1612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[5, 6, 7]</w:t>
            </w:r>
            <w:r w:rsidRPr="00CD1612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0115782E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CD1612">
              <w:rPr>
                <w:sz w:val="18"/>
                <w:szCs w:val="18"/>
                <w:lang w:val="en-ZA"/>
              </w:rPr>
              <w:t xml:space="preserve">SUM </w:t>
            </w:r>
            <w:r w:rsidRPr="00CD1612">
              <w:rPr>
                <w:sz w:val="18"/>
                <w:szCs w:val="18"/>
                <w:lang w:val="en-ZA"/>
              </w:rPr>
              <w:fldChar w:fldCharType="begin"/>
            </w:r>
            <w:r>
              <w:rPr>
                <w:sz w:val="18"/>
                <w:szCs w:val="18"/>
                <w:lang w:val="en-ZA"/>
              </w:rPr>
              <w:instrText xml:space="preserve"> ADDIN EN.CITE &lt;EndNote&gt;&lt;Cite&gt;&lt;Author&gt;Cooley&lt;/Author&gt;&lt;Year&gt;2006&lt;/Year&gt;&lt;RecNum&gt;470&lt;/RecNum&gt;&lt;DisplayText&gt;[8, 9]&lt;/DisplayText&gt;&lt;record&gt;&lt;rec-number&gt;470&lt;/rec-number&gt;&lt;foreign-keys&gt;&lt;key app="EN" db-id="9wvf05rpgzpfxmee0t55av0urt252w2p5s0t" timestamp="1452759161"&gt;470&lt;/key&gt;&lt;key app="ENWeb" db-id=""&gt;0&lt;/key&gt;&lt;/foreign-keys&gt;&lt;ref-type name="Report"&gt;27&lt;/ref-type&gt;&lt;contributors&gt;&lt;authors&gt;&lt;author&gt;Cooley, L&lt;/author&gt;&lt;author&gt;Kohl, R&lt;/author&gt;&lt;/authors&gt;&lt;/contributors&gt;&lt;auth-address&gt;www.msiworldwide.com&lt;/auth-address&gt;&lt;titles&gt;&lt;title&gt;Scaling up—From vision to large-scale change: A Management framework for practitioners&lt;/title&gt;&lt;/titles&gt;&lt;dates&gt;&lt;year&gt;2006&lt;/year&gt;&lt;/dates&gt;&lt;pub-location&gt;Washington DC&lt;/pub-location&gt;&lt;publisher&gt;Management Systems International (MSI)&lt;/publisher&gt;&lt;urls&gt;&lt;related-urls&gt;&lt;url&gt;www.msiworldwide.com&lt;/url&gt;&lt;/related-urls&gt;&lt;/urls&gt;&lt;research-notes&gt;Implementation Scaling-up Framework&lt;/research-notes&gt;&lt;/record&gt;&lt;/Cite&gt;&lt;Cite&gt;&lt;Author&gt;Cooley&lt;/Author&gt;&lt;Year&gt;2012&lt;/Year&gt;&lt;RecNum&gt;1159&lt;/RecNum&gt;&lt;record&gt;&lt;rec-number&gt;1159&lt;/rec-number&gt;&lt;foreign-keys&gt;&lt;key app="EN" db-id="9wvf05rpgzpfxmee0t55av0urt252w2p5s0t" timestamp="1511018855"&gt;1159&lt;/key&gt;&lt;/foreign-keys&gt;&lt;ref-type name="Report"&gt;27&lt;/ref-type&gt;&lt;contributors&gt;&lt;authors&gt;&lt;author&gt;Cooley, L&lt;/author&gt;&lt;author&gt;Rajani, R V&lt;/author&gt;&lt;/authors&gt;&lt;/contributors&gt;&lt;auth-address&gt;www.msiworldwide.com&lt;/auth-address&gt;&lt;titles&gt;&lt;title&gt;Scaling up—From vision to large-scale change: A Management framework for practitioners&lt;/title&gt;&lt;secondary-title&gt;Second Edition&lt;/secondary-title&gt;&lt;/titles&gt;&lt;dates&gt;&lt;year&gt;2012&lt;/year&gt;&lt;/dates&gt;&lt;pub-location&gt;Washington DC, USA&lt;/pub-location&gt;&lt;publisher&gt;Management Systems International&lt;/publisher&gt;&lt;urls&gt;&lt;related-urls&gt;&lt;url&gt;http://www.msiworldwide.com/wp-content/uploads/Scaling-Up-Framework.pdf&lt;/url&gt;&lt;/related-urls&gt;&lt;/urls&gt;&lt;research-notes&gt;Implementation Scaling-up Framework&lt;/research-notes&gt;&lt;access-date&gt;21 November 2017&lt;/access-date&gt;&lt;/record&gt;&lt;/Cite&gt;&lt;/EndNote&gt;</w:instrText>
            </w:r>
            <w:r w:rsidRPr="00CD1612">
              <w:rPr>
                <w:sz w:val="18"/>
                <w:szCs w:val="18"/>
                <w:lang w:val="en-ZA"/>
              </w:rPr>
              <w:fldChar w:fldCharType="separate"/>
            </w:r>
            <w:r>
              <w:rPr>
                <w:noProof/>
                <w:sz w:val="18"/>
                <w:szCs w:val="18"/>
                <w:lang w:val="en-ZA"/>
              </w:rPr>
              <w:t>[8, 9]</w:t>
            </w:r>
            <w:r w:rsidRPr="00CD1612">
              <w:rPr>
                <w:sz w:val="18"/>
                <w:szCs w:val="18"/>
                <w:lang w:val="en-ZA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2FB01FA1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</w:rPr>
            </w:pPr>
            <w:r w:rsidRPr="00CD1612">
              <w:rPr>
                <w:sz w:val="18"/>
                <w:szCs w:val="18"/>
                <w:lang w:val="en-US"/>
              </w:rPr>
              <w:t xml:space="preserve">THD </w:t>
            </w:r>
            <w:r w:rsidRPr="00CD1612">
              <w:rPr>
                <w:sz w:val="18"/>
                <w:szCs w:val="18"/>
                <w:lang w:val="en-US"/>
              </w:rPr>
              <w:fldChar w:fldCharType="begin"/>
            </w:r>
            <w:r>
              <w:rPr>
                <w:sz w:val="18"/>
                <w:szCs w:val="18"/>
                <w:lang w:val="en-US"/>
              </w:rPr>
              <w:instrText xml:space="preserve"> ADDIN EN.CITE &lt;EndNote&gt;&lt;Cite&gt;&lt;Author&gt;Cruickshank&lt;/Author&gt;&lt;Year&gt;2010&lt;/Year&gt;&lt;RecNum&gt;920&lt;/RecNum&gt;&lt;DisplayText&gt;[10]&lt;/DisplayText&gt;&lt;record&gt;&lt;rec-number&gt;920&lt;/rec-number&gt;&lt;foreign-keys&gt;&lt;key app="EN" db-id="9wvf05rpgzpfxmee0t55av0urt252w2p5s0t" timestamp="1469187041"&gt;920&lt;/key&gt;&lt;/foreign-keys&gt;&lt;ref-type name="Book"&gt;6&lt;/ref-type&gt;&lt;contributors&gt;&lt;authors&gt;&lt;author&gt;Cruickshank, John&lt;/author&gt;&lt;author&gt;Beer, Gail&lt;/author&gt;&lt;/authors&gt;&lt;/contributors&gt;&lt;titles&gt;&lt;title&gt;Healthcare without walls: A framework for delivering telehealth at scale&lt;/title&gt;&lt;/titles&gt;&lt;dates&gt;&lt;year&gt;2010&lt;/year&gt;&lt;/dates&gt;&lt;publisher&gt;2020health.org&lt;/publisher&gt;&lt;isbn&gt;1907635122&lt;/isbn&gt;&lt;urls&gt;&lt;related-urls&gt;&lt;url&gt;http://www.2020health.org/2020health/Publications/Publications-2010/telehealth.html&lt;/url&gt;&lt;/related-urls&gt;&lt;/urls&gt;&lt;research-notes&gt;TD change management: &amp;quot;While technology is an important feature of providing&amp;#xD;telehealth, the real impact is through the redesign of&amp;#xD;pathways and the introduction of new models of care.&amp;#xD;The healthcare worker of the future will need to manage&amp;#xD;the design and implementation of new ways of working&amp;#xD;in the delivery of care more easily and speedily than at&amp;#xD;the present time. Thought needs to be given at national&amp;#xD;level as to how we train staff in the adoption of new&amp;#xD;technology and the supporting change management that&amp;#xD;surrounds such adoption&amp;quot; p48,&amp;#xD;P2, Scale up framework&amp;#xD;&amp;quot;benefits&amp;quot;&amp;#xD;&amp;quot;the benefits are derivable only through wholesale&amp;#xD;pathway redesign at a local level. This in itself is a&amp;#xD;costly change management exercise. Simply tacking&amp;#xD;telehealth onto existing pathways will not deliver&amp;#xD;the savings sought.&amp;quot;&lt;/research-notes&gt;&lt;access-date&gt;18 November 2017&lt;/access-date&gt;&lt;/record&gt;&lt;/Cite&gt;&lt;/EndNote&gt;</w:instrText>
            </w:r>
            <w:r w:rsidRPr="00CD1612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noProof/>
                <w:sz w:val="18"/>
                <w:szCs w:val="18"/>
                <w:lang w:val="en-US"/>
              </w:rPr>
              <w:t>[10]</w:t>
            </w:r>
            <w:r w:rsidRPr="00CD1612">
              <w:rPr>
                <w:sz w:val="18"/>
                <w:szCs w:val="18"/>
                <w:lang w:val="en-US"/>
              </w:rPr>
              <w:fldChar w:fldCharType="end"/>
            </w:r>
          </w:p>
        </w:tc>
      </w:tr>
      <w:tr w:rsidR="00FD6AE6" w:rsidRPr="00CD1612" w14:paraId="2E4D61DC" w14:textId="77777777" w:rsidTr="00972FA9">
        <w:tc>
          <w:tcPr>
            <w:tcW w:w="0" w:type="auto"/>
            <w:shd w:val="clear" w:color="auto" w:fill="auto"/>
          </w:tcPr>
          <w:p w14:paraId="0BC4743B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TD scale-up need</w:t>
            </w:r>
          </w:p>
          <w:p w14:paraId="0AABABE1" w14:textId="77777777" w:rsidR="00FD6AE6" w:rsidRPr="00651A65" w:rsidRDefault="00FD6AE6" w:rsidP="00972FA9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(Evidenced-based health system need that is prioritized, technologically appropriate and culturally sensitive)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end"/>
            </w:r>
          </w:p>
          <w:p w14:paraId="76ED878D" w14:textId="77777777" w:rsidR="00FD6AE6" w:rsidRPr="00651A65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176263F" w14:textId="77777777" w:rsidR="00FD6AE6" w:rsidRDefault="00FD6AE6" w:rsidP="00972FA9">
            <w:pPr>
              <w:pStyle w:val="Default"/>
              <w:ind w:left="57" w:hanging="5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Under domain 3 – Scientific basis – it is required for “project teams to demonstrate:</w:t>
            </w:r>
          </w:p>
          <w:p w14:paraId="7CA5FE0C" w14:textId="77777777" w:rsidR="00FD6AE6" w:rsidRPr="00CD1612" w:rsidRDefault="00FD6AE6" w:rsidP="00FD6AE6">
            <w:pPr>
              <w:pStyle w:val="Default"/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that</w:t>
            </w:r>
            <w:proofErr w:type="gramEnd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 xml:space="preserve"> the </w:t>
            </w:r>
            <w:proofErr w:type="spellStart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mHealth</w:t>
            </w:r>
            <w:proofErr w:type="spellEnd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 xml:space="preserve"> product is aligned with scientifically validated health interventions</w:t>
            </w:r>
          </w:p>
          <w:p w14:paraId="07101749" w14:textId="77777777" w:rsidR="00FD6AE6" w:rsidRPr="00CD1612" w:rsidRDefault="00FD6AE6" w:rsidP="00FD6AE6">
            <w:pPr>
              <w:pStyle w:val="Default"/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general</w:t>
            </w:r>
            <w:proofErr w:type="gramEnd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 xml:space="preserve"> evidence of the effect of the </w:t>
            </w:r>
            <w:proofErr w:type="spellStart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mHealth</w:t>
            </w:r>
            <w:proofErr w:type="spellEnd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 xml:space="preserve"> product on identifiable problems; </w:t>
            </w:r>
          </w:p>
          <w:p w14:paraId="0F5A07FD" w14:textId="77777777" w:rsidR="00FD6AE6" w:rsidRPr="00CD1612" w:rsidRDefault="00FD6AE6" w:rsidP="00FD6AE6">
            <w:pPr>
              <w:pStyle w:val="Default"/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context</w:t>
            </w:r>
            <w:proofErr w:type="gramEnd"/>
            <w:r w:rsidRPr="00CD1612">
              <w:rPr>
                <w:rFonts w:ascii="Times New Roman" w:hAnsi="Times New Roman" w:cs="Times New Roman"/>
                <w:sz w:val="18"/>
                <w:szCs w:val="18"/>
              </w:rPr>
              <w:t>-specific evidence supporting the appropriateness of the tool for a certain setting (e.g. the content has been adapted and validated for local use)” p12</w:t>
            </w:r>
          </w:p>
        </w:tc>
        <w:tc>
          <w:tcPr>
            <w:tcW w:w="0" w:type="auto"/>
            <w:shd w:val="clear" w:color="auto" w:fill="auto"/>
          </w:tcPr>
          <w:p w14:paraId="0BF13ECB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b/>
                <w:sz w:val="18"/>
                <w:szCs w:val="18"/>
                <w:lang w:val="en-US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Cost-effectiveness: The cost-effectiveness of </w:t>
            </w:r>
            <w:proofErr w:type="spell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mHealth</w:t>
            </w:r>
            <w:proofErr w:type="spell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strategies is evaluated. </w:t>
            </w:r>
            <w:proofErr w:type="spellStart"/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mHealth</w:t>
            </w:r>
            <w:proofErr w:type="spellEnd"/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interventions are weighed up against other priority and evidence-based interventions (in terms of the costs, resources and capacity requirements), and opportunity costs are routinely considered. Unintended consequences of introducing new technology within a weak health system are monitored to minimize negative effects.” P6</w:t>
            </w:r>
          </w:p>
        </w:tc>
        <w:tc>
          <w:tcPr>
            <w:tcW w:w="0" w:type="auto"/>
            <w:shd w:val="clear" w:color="auto" w:fill="auto"/>
          </w:tcPr>
          <w:p w14:paraId="4102A8F8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E</w:t>
            </w:r>
            <w:r w:rsidR="00FD6AE6" w:rsidRPr="00CD1612">
              <w:rPr>
                <w:color w:val="000000" w:themeColor="text1"/>
                <w:sz w:val="18"/>
                <w:szCs w:val="18"/>
                <w:lang w:val="en-US"/>
              </w:rPr>
              <w:t>videnced based intervention</w:t>
            </w:r>
          </w:p>
        </w:tc>
        <w:tc>
          <w:tcPr>
            <w:tcW w:w="0" w:type="auto"/>
            <w:shd w:val="clear" w:color="auto" w:fill="auto"/>
          </w:tcPr>
          <w:p w14:paraId="1E1906EA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b/>
                <w:sz w:val="18"/>
                <w:szCs w:val="18"/>
                <w:lang w:val="en-US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Simmons and </w:t>
            </w:r>
            <w:proofErr w:type="spell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Shiffman</w:t>
            </w:r>
            <w:proofErr w:type="spell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argue</w:t>
            </w:r>
          </w:p>
          <w:p w14:paraId="412B0A29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that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successful scale-up ‘‘requires the</w:t>
            </w:r>
          </w:p>
          <w:p w14:paraId="2B31A7DA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systematic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use of evidence to guide the</w:t>
            </w:r>
          </w:p>
          <w:p w14:paraId="2B0131AF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process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and incorporate new learning’’ p3 although evidence-based need is not seen as a requisite but using research evidence to inform the scaling process.</w:t>
            </w:r>
          </w:p>
        </w:tc>
        <w:tc>
          <w:tcPr>
            <w:tcW w:w="0" w:type="auto"/>
            <w:shd w:val="clear" w:color="auto" w:fill="auto"/>
          </w:tcPr>
          <w:p w14:paraId="67DBD818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rFonts w:eastAsia="Times New Roman"/>
                <w:color w:val="000000"/>
                <w:sz w:val="18"/>
                <w:szCs w:val="18"/>
                <w:lang w:val="en-ZA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Plan on being cautious about initiating scale-up before the required evidence is Available” p9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begin"/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instrText xml:space="preserve"> ADDIN EN.CITE &lt;EndNote&gt;&lt;Cite&gt;&lt;Author&gt;World Health Organization&lt;/Author&gt;&lt;Year&gt;2011&lt;/Year&gt;&lt;RecNum&gt;753&lt;/RecNum&gt;&lt;DisplayText&gt;[7]&lt;/DisplayText&gt;&lt;record&gt;&lt;rec-number&gt;753&lt;/rec-number&gt;&lt;foreign-keys&gt;&lt;key app="EN" db-id="9wvf05rpgzpfxmee0t55av0urt252w2p5s0t" timestamp="1453288410"&gt;753&lt;/key&gt;&lt;/foreign-keys&gt;&lt;ref-type name="Book"&gt;6&lt;/ref-type&gt;&lt;contributors&gt;&lt;authors&gt;&lt;author&gt;World Health Organization,&lt;/author&gt;&lt;/authors&gt;&lt;/contributors&gt;&lt;titles&gt;&lt;title&gt;Beginning with the end in mind: planning pilot projects and other programmatic research for successful scaling up&lt;/title&gt;&lt;/titles&gt;&lt;keywords&gt;&lt;keyword&gt;1.Health planning. 2.Strategic planning. 3.Research. 4.Technology, Medical. 5.Technological innovations.&lt;/keyword&gt;&lt;keyword&gt;I.World Health Organization. II.ExpandNet.&lt;/keyword&gt;&lt;/keywords&gt;&lt;dates&gt;&lt;year&gt;2011&lt;/year&gt;&lt;/dates&gt;&lt;pub-location&gt;France&lt;/pub-location&gt;&lt;publisher&gt;WHO&lt;/publisher&gt;&lt;isbn&gt;9789241502320&lt;/isbn&gt;&lt;urls&gt;&lt;related-urls&gt;&lt;url&gt;http://www.expandnet.net/PDFs/ExpandNet-WHO%20-%20Beginning%20with%20the%20end%20in%20mind%20-%202011.pdf&lt;/url&gt;&lt;/related-urls&gt;&lt;/urls&gt;&lt;remote-database-provider&gt;NLM&lt;/remote-database-provider&gt;&lt;language&gt;Eng&lt;/language&gt;&lt;access-date&gt;18 November 2017&lt;/access-date&gt;&lt;/record&gt;&lt;/Cite&gt;&lt;/EndNote&gt;</w:instrTex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separate"/>
            </w:r>
            <w:r>
              <w:rPr>
                <w:rFonts w:eastAsiaTheme="minorEastAsia"/>
                <w:noProof/>
                <w:sz w:val="18"/>
                <w:szCs w:val="18"/>
                <w:lang w:val="en-US" w:eastAsia="ja-JP"/>
              </w:rPr>
              <w:t>[7]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7FE0288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Taking the time to do an evaluation, assessment, and</w:t>
            </w:r>
          </w:p>
          <w:p w14:paraId="66B4183C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comparison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with alternatives is important</w:t>
            </w:r>
          </w:p>
          <w:p w14:paraId="2612A751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and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, ideally, should be done by someone</w:t>
            </w:r>
          </w:p>
          <w:p w14:paraId="34A98905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who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is detached and independent” p18</w:t>
            </w:r>
          </w:p>
        </w:tc>
        <w:tc>
          <w:tcPr>
            <w:tcW w:w="0" w:type="auto"/>
            <w:shd w:val="clear" w:color="auto" w:fill="auto"/>
          </w:tcPr>
          <w:p w14:paraId="66FA604D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sz w:val="18"/>
                <w:szCs w:val="18"/>
                <w:lang w:val="en-US"/>
              </w:rPr>
              <w:t>Under the section Business case and commissioning it is highlighted that 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On the back of WSD results and other relevant evidence, prepare a full cost-benefit analysis around the national potential from scaling up </w:t>
            </w:r>
            <w:proofErr w:type="spell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telehealth</w:t>
            </w:r>
            <w:proofErr w:type="spell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” p8</w:t>
            </w:r>
          </w:p>
        </w:tc>
      </w:tr>
      <w:tr w:rsidR="00FD6AE6" w:rsidRPr="00CD1612" w14:paraId="1621B0CA" w14:textId="77777777" w:rsidTr="00972FA9">
        <w:tc>
          <w:tcPr>
            <w:tcW w:w="0" w:type="auto"/>
            <w:shd w:val="clear" w:color="auto" w:fill="auto"/>
          </w:tcPr>
          <w:p w14:paraId="69B0005F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Change management</w:t>
            </w:r>
          </w:p>
          <w:p w14:paraId="200B3958" w14:textId="77777777" w:rsidR="00FD6AE6" w:rsidRPr="00B4230F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 w:rsidRPr="00B4230F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Consideration for TD’s impact on existing routine operations: practice guidelines, changes in clinical and administrative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 xml:space="preserve">workflow, workload, and staffing structures)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69A3AFF8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color w:val="000000"/>
                <w:sz w:val="18"/>
                <w:szCs w:val="18"/>
              </w:rPr>
              <w:lastRenderedPageBreak/>
              <w:t>Change is considered under financial management and “health system cost” and workflow although not referred to as change management</w:t>
            </w:r>
          </w:p>
        </w:tc>
        <w:tc>
          <w:tcPr>
            <w:tcW w:w="0" w:type="auto"/>
            <w:shd w:val="clear" w:color="auto" w:fill="auto"/>
          </w:tcPr>
          <w:p w14:paraId="47A2B67A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483F4A0D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="00FD6AE6" w:rsidRPr="00CD1612">
              <w:rPr>
                <w:color w:val="000000" w:themeColor="text1"/>
                <w:sz w:val="18"/>
                <w:szCs w:val="18"/>
              </w:rPr>
              <w:t>hange management</w:t>
            </w:r>
          </w:p>
        </w:tc>
        <w:tc>
          <w:tcPr>
            <w:tcW w:w="0" w:type="auto"/>
            <w:shd w:val="clear" w:color="auto" w:fill="auto"/>
          </w:tcPr>
          <w:p w14:paraId="3F08A57F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49C1CBA2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</w:t>
            </w:r>
            <w:r w:rsidR="00FD6AE6" w:rsidRPr="00CD1612">
              <w:rPr>
                <w:color w:val="000000"/>
                <w:sz w:val="18"/>
                <w:szCs w:val="18"/>
              </w:rPr>
              <w:t>he term</w:t>
            </w:r>
            <w:r w:rsidR="00FD6AE6" w:rsidRPr="00CD1612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FD6AE6" w:rsidRPr="00CD1612">
              <w:rPr>
                <w:color w:val="000000"/>
                <w:sz w:val="18"/>
                <w:szCs w:val="18"/>
              </w:rPr>
              <w:t>change used throughout</w:t>
            </w:r>
          </w:p>
        </w:tc>
        <w:tc>
          <w:tcPr>
            <w:tcW w:w="0" w:type="auto"/>
            <w:shd w:val="clear" w:color="auto" w:fill="auto"/>
          </w:tcPr>
          <w:p w14:paraId="2AADDF2B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  <w:lang w:val="en-US" w:eastAsia="ja-JP"/>
              </w:rPr>
              <w:t>C</w:t>
            </w:r>
            <w:r w:rsidR="00FD6AE6">
              <w:rPr>
                <w:rFonts w:eastAsiaTheme="minorEastAsia"/>
                <w:sz w:val="18"/>
                <w:szCs w:val="18"/>
                <w:lang w:val="en-US" w:eastAsia="ja-JP"/>
              </w:rPr>
              <w:t>hange management, b</w:t>
            </w:r>
            <w:r w:rsidR="00FD6AE6" w:rsidRPr="00CD1612">
              <w:rPr>
                <w:rFonts w:eastAsiaTheme="minorEastAsia"/>
                <w:sz w:val="18"/>
                <w:szCs w:val="18"/>
                <w:lang w:val="en-US" w:eastAsia="ja-JP"/>
              </w:rPr>
              <w:t>usiness process reengineering</w:t>
            </w:r>
          </w:p>
        </w:tc>
        <w:tc>
          <w:tcPr>
            <w:tcW w:w="0" w:type="auto"/>
            <w:shd w:val="clear" w:color="auto" w:fill="auto"/>
          </w:tcPr>
          <w:p w14:paraId="6B573BE0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hange management</w:t>
            </w:r>
          </w:p>
          <w:p w14:paraId="0CA0F69E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D6AE6" w:rsidRPr="00CD1612" w14:paraId="33D98DC4" w14:textId="77777777" w:rsidTr="00972FA9">
        <w:tc>
          <w:tcPr>
            <w:tcW w:w="0" w:type="auto"/>
            <w:shd w:val="clear" w:color="auto" w:fill="auto"/>
          </w:tcPr>
          <w:p w14:paraId="2588015D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Clinic setting</w:t>
            </w:r>
          </w:p>
          <w:p w14:paraId="6DA9074D" w14:textId="77777777" w:rsidR="00FD6AE6" w:rsidRPr="0003511A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physical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TD room considerations for patient privacy, confidentiality, equipment, and layout)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088A0FDC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>
              <w:rPr>
                <w:color w:val="000000"/>
                <w:sz w:val="18"/>
                <w:szCs w:val="18"/>
              </w:rPr>
              <w:t xml:space="preserve">referred to physical </w:t>
            </w:r>
            <w:r w:rsidR="00FD6AE6" w:rsidRPr="00CD1612">
              <w:rPr>
                <w:color w:val="000000"/>
                <w:sz w:val="18"/>
                <w:szCs w:val="18"/>
              </w:rPr>
              <w:t>infrastructure</w:t>
            </w:r>
            <w:r w:rsidR="00FD6AE6" w:rsidRPr="00CD1612">
              <w:rPr>
                <w:b/>
                <w:color w:val="000000"/>
                <w:sz w:val="18"/>
                <w:szCs w:val="18"/>
              </w:rPr>
              <w:t xml:space="preserve"> “</w:t>
            </w:r>
            <w:r w:rsidR="00FD6AE6" w:rsidRPr="00CD1612">
              <w:rPr>
                <w:color w:val="000000"/>
                <w:sz w:val="18"/>
                <w:szCs w:val="18"/>
              </w:rPr>
              <w:t>When deploying mobile-based communications systems in low-resource settings, projects will inevitably encounter technical barriers in the forms of lack of connectivity, physical infrastructure a</w:t>
            </w:r>
            <w:r w:rsidR="00FD6AE6">
              <w:rPr>
                <w:color w:val="000000"/>
                <w:sz w:val="18"/>
                <w:szCs w:val="18"/>
              </w:rPr>
              <w:t>nd unstable power sources” p72</w:t>
            </w:r>
          </w:p>
        </w:tc>
        <w:tc>
          <w:tcPr>
            <w:tcW w:w="0" w:type="auto"/>
            <w:shd w:val="clear" w:color="auto" w:fill="auto"/>
          </w:tcPr>
          <w:p w14:paraId="338F1A34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 w:rsidRPr="00CD1612">
              <w:rPr>
                <w:color w:val="000000"/>
                <w:sz w:val="18"/>
                <w:szCs w:val="18"/>
              </w:rPr>
              <w:t>referred more to policy and ICT environment</w:t>
            </w:r>
          </w:p>
        </w:tc>
        <w:tc>
          <w:tcPr>
            <w:tcW w:w="0" w:type="auto"/>
            <w:shd w:val="clear" w:color="auto" w:fill="auto"/>
          </w:tcPr>
          <w:p w14:paraId="13ED07F9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>o specific but general consideration:</w:t>
            </w:r>
          </w:p>
        </w:tc>
        <w:tc>
          <w:tcPr>
            <w:tcW w:w="0" w:type="auto"/>
            <w:shd w:val="clear" w:color="auto" w:fill="auto"/>
          </w:tcPr>
          <w:p w14:paraId="07578F16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 w:rsidRPr="00CD1612">
              <w:rPr>
                <w:color w:val="000000"/>
                <w:sz w:val="18"/>
                <w:szCs w:val="18"/>
              </w:rPr>
              <w:t>environmental characteristics and environment of the change are considered</w:t>
            </w:r>
          </w:p>
          <w:p w14:paraId="4518F83D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69F80D4E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 w:rsidRPr="00CD1612">
              <w:rPr>
                <w:color w:val="000000"/>
                <w:sz w:val="18"/>
                <w:szCs w:val="18"/>
              </w:rPr>
              <w:t>implementation capacity</w:t>
            </w:r>
          </w:p>
        </w:tc>
        <w:tc>
          <w:tcPr>
            <w:tcW w:w="0" w:type="auto"/>
            <w:shd w:val="clear" w:color="auto" w:fill="auto"/>
          </w:tcPr>
          <w:p w14:paraId="6C235EAC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 w:rsidRPr="00CD1612">
              <w:rPr>
                <w:color w:val="000000"/>
                <w:sz w:val="18"/>
                <w:szCs w:val="18"/>
              </w:rPr>
              <w:t>social</w:t>
            </w:r>
            <w:r w:rsidR="00FD6AE6">
              <w:rPr>
                <w:color w:val="000000"/>
                <w:sz w:val="18"/>
                <w:szCs w:val="18"/>
              </w:rPr>
              <w:t>, external</w:t>
            </w:r>
            <w:r w:rsidR="00FD6AE6" w:rsidRPr="00CD1612">
              <w:rPr>
                <w:color w:val="000000"/>
                <w:sz w:val="18"/>
                <w:szCs w:val="18"/>
              </w:rPr>
              <w:t xml:space="preserve"> environments are considered</w:t>
            </w:r>
          </w:p>
        </w:tc>
        <w:tc>
          <w:tcPr>
            <w:tcW w:w="0" w:type="auto"/>
            <w:shd w:val="clear" w:color="auto" w:fill="auto"/>
          </w:tcPr>
          <w:p w14:paraId="23F3D78F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N</w:t>
            </w:r>
            <w:r w:rsidR="00FD6AE6">
              <w:rPr>
                <w:color w:val="000000" w:themeColor="text1"/>
                <w:sz w:val="18"/>
                <w:szCs w:val="18"/>
              </w:rPr>
              <w:t xml:space="preserve">o specific but general consideration: </w:t>
            </w:r>
            <w:r w:rsidR="00FD6AE6" w:rsidRPr="00CD1612">
              <w:rPr>
                <w:color w:val="000000"/>
                <w:sz w:val="18"/>
                <w:szCs w:val="18"/>
              </w:rPr>
              <w:t>clinical governance and patient considerations</w:t>
            </w:r>
          </w:p>
          <w:p w14:paraId="5CA15227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FD6AE6" w:rsidRPr="00CD1612" w14:paraId="34BA2B55" w14:textId="77777777" w:rsidTr="00972FA9">
        <w:tc>
          <w:tcPr>
            <w:tcW w:w="0" w:type="auto"/>
            <w:shd w:val="clear" w:color="auto" w:fill="auto"/>
          </w:tcPr>
          <w:p w14:paraId="3C206BC0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Availability</w:t>
            </w:r>
          </w:p>
          <w:p w14:paraId="42D26C88" w14:textId="77777777" w:rsidR="00FD6AE6" w:rsidRPr="00C61FB6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(TD at nearest point of care)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D9A77B3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  <w:r w:rsidR="00FD6AE6" w:rsidRPr="00CD1612">
              <w:rPr>
                <w:color w:val="000000"/>
                <w:sz w:val="18"/>
                <w:szCs w:val="18"/>
              </w:rPr>
              <w:t>vailability considered</w:t>
            </w:r>
          </w:p>
        </w:tc>
        <w:tc>
          <w:tcPr>
            <w:tcW w:w="0" w:type="auto"/>
            <w:shd w:val="clear" w:color="auto" w:fill="auto"/>
          </w:tcPr>
          <w:p w14:paraId="49EEBCC8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</w:t>
            </w:r>
            <w:r w:rsidR="00FD6AE6" w:rsidRPr="00CD1612">
              <w:rPr>
                <w:color w:val="000000"/>
                <w:sz w:val="18"/>
                <w:szCs w:val="18"/>
              </w:rPr>
              <w:t>oint of care consideration</w:t>
            </w:r>
          </w:p>
        </w:tc>
        <w:tc>
          <w:tcPr>
            <w:tcW w:w="0" w:type="auto"/>
            <w:shd w:val="clear" w:color="auto" w:fill="auto"/>
          </w:tcPr>
          <w:p w14:paraId="66CD2BAE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</w:t>
            </w:r>
            <w:r w:rsidR="00FD6AE6" w:rsidRPr="00CD1612">
              <w:rPr>
                <w:color w:val="000000" w:themeColor="text1"/>
                <w:sz w:val="18"/>
                <w:szCs w:val="18"/>
              </w:rPr>
              <w:t>vailability consideration</w:t>
            </w:r>
          </w:p>
        </w:tc>
        <w:tc>
          <w:tcPr>
            <w:tcW w:w="0" w:type="auto"/>
            <w:shd w:val="clear" w:color="auto" w:fill="auto"/>
          </w:tcPr>
          <w:p w14:paraId="6811A90C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</w:t>
            </w:r>
            <w:r w:rsidR="00FD6AE6" w:rsidRPr="00CD1612">
              <w:rPr>
                <w:sz w:val="18"/>
                <w:szCs w:val="18"/>
                <w:lang w:val="en-US"/>
              </w:rPr>
              <w:t>o specific consideration</w:t>
            </w:r>
          </w:p>
          <w:p w14:paraId="088F0E59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73262FC4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  <w:r w:rsidR="00FD6AE6" w:rsidRPr="00CD1612">
              <w:rPr>
                <w:sz w:val="18"/>
                <w:szCs w:val="18"/>
                <w:lang w:val="en-US"/>
              </w:rPr>
              <w:t xml:space="preserve"> more reference to policy and political support availability</w:t>
            </w:r>
          </w:p>
        </w:tc>
        <w:tc>
          <w:tcPr>
            <w:tcW w:w="0" w:type="auto"/>
            <w:shd w:val="clear" w:color="auto" w:fill="auto"/>
          </w:tcPr>
          <w:p w14:paraId="1B035E54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</w:t>
            </w:r>
            <w:r w:rsidR="00FD6AE6" w:rsidRPr="00CD1612">
              <w:rPr>
                <w:sz w:val="18"/>
                <w:szCs w:val="18"/>
                <w:lang w:val="en-US"/>
              </w:rPr>
              <w:t>o specific consideration</w:t>
            </w:r>
          </w:p>
          <w:p w14:paraId="6B46742F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8E42DB5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  <w:r w:rsidR="00FD6AE6" w:rsidRPr="00CD1612">
              <w:rPr>
                <w:color w:val="000000"/>
                <w:sz w:val="18"/>
                <w:szCs w:val="18"/>
              </w:rPr>
              <w:t>vailability considered</w:t>
            </w:r>
          </w:p>
        </w:tc>
      </w:tr>
      <w:tr w:rsidR="00FD6AE6" w:rsidRPr="00CD1612" w14:paraId="2A77267C" w14:textId="77777777" w:rsidTr="00972FA9">
        <w:tc>
          <w:tcPr>
            <w:tcW w:w="0" w:type="auto"/>
            <w:shd w:val="clear" w:color="auto" w:fill="auto"/>
          </w:tcPr>
          <w:p w14:paraId="651D26A8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Alignment</w:t>
            </w:r>
          </w:p>
          <w:p w14:paraId="2A60DF83" w14:textId="77777777" w:rsidR="00FD6AE6" w:rsidRPr="0001064F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(TD aligned to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eHealth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governance)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616B6E51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onsideration for partnership sustainability</w:t>
            </w:r>
          </w:p>
        </w:tc>
        <w:tc>
          <w:tcPr>
            <w:tcW w:w="0" w:type="auto"/>
            <w:shd w:val="clear" w:color="auto" w:fill="auto"/>
          </w:tcPr>
          <w:p w14:paraId="71740F6F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  <w:r w:rsidR="00FD6AE6">
              <w:rPr>
                <w:color w:val="000000"/>
                <w:sz w:val="18"/>
                <w:szCs w:val="18"/>
              </w:rPr>
              <w:t>trategic leadership ensures alignment</w:t>
            </w:r>
          </w:p>
        </w:tc>
        <w:tc>
          <w:tcPr>
            <w:tcW w:w="0" w:type="auto"/>
            <w:shd w:val="clear" w:color="auto" w:fill="auto"/>
          </w:tcPr>
          <w:p w14:paraId="0C8118C0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 xml:space="preserve">ot a key consideration. Consideration for alignment towards the service but no scale-up alignment to overall </w:t>
            </w:r>
            <w:proofErr w:type="spellStart"/>
            <w:r w:rsidR="00FD6AE6" w:rsidRPr="00CD1612">
              <w:rPr>
                <w:color w:val="000000"/>
                <w:sz w:val="18"/>
                <w:szCs w:val="18"/>
              </w:rPr>
              <w:t>ehealth</w:t>
            </w:r>
            <w:proofErr w:type="spellEnd"/>
            <w:r w:rsidR="00FD6AE6" w:rsidRPr="00CD1612">
              <w:rPr>
                <w:color w:val="000000"/>
                <w:sz w:val="18"/>
                <w:szCs w:val="18"/>
              </w:rPr>
              <w:t xml:space="preserve"> governance</w:t>
            </w:r>
          </w:p>
        </w:tc>
        <w:tc>
          <w:tcPr>
            <w:tcW w:w="0" w:type="auto"/>
            <w:shd w:val="clear" w:color="auto" w:fill="auto"/>
          </w:tcPr>
          <w:p w14:paraId="4F9F484E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</w:t>
            </w:r>
            <w:r w:rsidR="00FD6AE6" w:rsidRPr="00CD1612">
              <w:rPr>
                <w:color w:val="000000"/>
                <w:sz w:val="18"/>
                <w:szCs w:val="18"/>
              </w:rPr>
              <w:t xml:space="preserve">overnance mentioned but no consideration of scale-up alignment to </w:t>
            </w:r>
            <w:proofErr w:type="spellStart"/>
            <w:r w:rsidR="00FD6AE6" w:rsidRPr="00CD1612">
              <w:rPr>
                <w:color w:val="000000"/>
                <w:sz w:val="18"/>
                <w:szCs w:val="18"/>
              </w:rPr>
              <w:t>ehealth</w:t>
            </w:r>
            <w:proofErr w:type="spellEnd"/>
            <w:r w:rsidR="00FD6AE6" w:rsidRPr="00CD1612">
              <w:rPr>
                <w:color w:val="000000"/>
                <w:sz w:val="18"/>
                <w:szCs w:val="18"/>
              </w:rPr>
              <w:t xml:space="preserve"> governance</w:t>
            </w:r>
          </w:p>
          <w:p w14:paraId="2CA5A7E9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6A276BBC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color w:val="000000"/>
                <w:sz w:val="18"/>
                <w:szCs w:val="18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Alignment with policy and </w:t>
            </w:r>
            <w:proofErr w:type="spell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programme</w:t>
            </w:r>
            <w:proofErr w:type="spell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priorities” p12 (2009)</w:t>
            </w:r>
          </w:p>
        </w:tc>
        <w:tc>
          <w:tcPr>
            <w:tcW w:w="0" w:type="auto"/>
            <w:shd w:val="clear" w:color="auto" w:fill="auto"/>
          </w:tcPr>
          <w:p w14:paraId="055D0030" w14:textId="77777777" w:rsidR="00FD6AE6" w:rsidRPr="00A5613B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b/>
                <w:color w:val="000000"/>
                <w:sz w:val="18"/>
                <w:szCs w:val="18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In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cases where the values and norms of the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adopting and originating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organizations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are dissimilar, part of the scaling-up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effort requires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transform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ing the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model or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aligning theses values so that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lastRenderedPageBreak/>
              <w:t>transfer can</w:t>
            </w:r>
            <w:r>
              <w:rPr>
                <w:rFonts w:eastAsiaTheme="minorEastAsia"/>
                <w:sz w:val="18"/>
                <w:szCs w:val="18"/>
                <w:lang w:val="en-US" w:eastAsia="ja-JP"/>
              </w:rPr>
              <w:t xml:space="preserve"> 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occur” P39</w:t>
            </w:r>
          </w:p>
          <w:p w14:paraId="5BDCF2B3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6579EE2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color w:val="000000"/>
                <w:sz w:val="18"/>
                <w:szCs w:val="18"/>
              </w:rPr>
              <w:lastRenderedPageBreak/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If good governance is already in place within NHS </w:t>
            </w:r>
            <w:proofErr w:type="spell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organisations</w:t>
            </w:r>
            <w:proofErr w:type="spell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, these practices should form the basis of any contract with private providers” p57</w:t>
            </w:r>
          </w:p>
        </w:tc>
      </w:tr>
      <w:tr w:rsidR="00FD6AE6" w:rsidRPr="00CD1612" w14:paraId="4E8F9503" w14:textId="77777777" w:rsidTr="00972FA9">
        <w:tc>
          <w:tcPr>
            <w:tcW w:w="0" w:type="auto"/>
            <w:shd w:val="clear" w:color="auto" w:fill="auto"/>
          </w:tcPr>
          <w:p w14:paraId="380C297B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Architecture</w:t>
            </w:r>
          </w:p>
          <w:p w14:paraId="45A023A2" w14:textId="77777777" w:rsidR="00FD6AE6" w:rsidRPr="00AE425F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(TD information technology architectural plan to leverage on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eHealth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architecture)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2B83D06D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C</w:t>
            </w:r>
            <w:r w:rsidR="00FD6AE6" w:rsidRPr="00CD1612">
              <w:rPr>
                <w:sz w:val="18"/>
                <w:szCs w:val="18"/>
                <w:lang w:val="en-US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7ADF9F84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</w:t>
            </w:r>
            <w:r w:rsidR="00FD6AE6" w:rsidRPr="00CD1612">
              <w:rPr>
                <w:sz w:val="18"/>
                <w:szCs w:val="18"/>
                <w:lang w:val="en-US"/>
              </w:rPr>
              <w:t>o specific consideration</w:t>
            </w:r>
          </w:p>
          <w:p w14:paraId="6FF77473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33B5665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</w:t>
            </w:r>
            <w:r w:rsidR="00FD6AE6" w:rsidRPr="00CD1612">
              <w:rPr>
                <w:sz w:val="18"/>
                <w:szCs w:val="18"/>
                <w:lang w:val="en-US"/>
              </w:rPr>
              <w:t>o specific consideration for architecture but infrastructure was considered</w:t>
            </w:r>
          </w:p>
        </w:tc>
        <w:tc>
          <w:tcPr>
            <w:tcW w:w="0" w:type="auto"/>
            <w:shd w:val="clear" w:color="auto" w:fill="auto"/>
          </w:tcPr>
          <w:p w14:paraId="166E027D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156225D2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71519A70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629EC0E2" w14:textId="77777777" w:rsidR="00FD6AE6" w:rsidRPr="00CD1612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sz w:val="18"/>
                <w:szCs w:val="18"/>
                <w:lang w:val="en-US"/>
              </w:rPr>
              <w:t>“</w:t>
            </w: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there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is a need to build an architecture that supports that diversity, allowing acute, community, mental health and GP systems to exchange information,</w:t>
            </w:r>
          </w:p>
          <w:p w14:paraId="7F5A843A" w14:textId="77777777" w:rsidR="00FD6AE6" w:rsidRPr="00362DC1" w:rsidRDefault="00FD6AE6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and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the Coalition Government’s commitment to continuing the Summary Care Record becomes important in this context” p72</w:t>
            </w:r>
          </w:p>
        </w:tc>
      </w:tr>
      <w:tr w:rsidR="00FD6AE6" w:rsidRPr="00CD1612" w14:paraId="2C96710E" w14:textId="77777777" w:rsidTr="00972FA9">
        <w:tc>
          <w:tcPr>
            <w:tcW w:w="0" w:type="auto"/>
            <w:shd w:val="clear" w:color="auto" w:fill="auto"/>
          </w:tcPr>
          <w:p w14:paraId="75547C50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Information security</w:t>
            </w:r>
          </w:p>
          <w:p w14:paraId="4531FC4D" w14:textId="77777777" w:rsidR="00FD6AE6" w:rsidRPr="00DA36E9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 w:rsidRPr="00DA36E9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comply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with legislation and best practices)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29A8FDE6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32137EC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3C6B2AA2" w14:textId="77777777" w:rsidR="00FD6AE6" w:rsidRPr="00CD1612" w:rsidRDefault="00FD6AE6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sz w:val="18"/>
                <w:szCs w:val="18"/>
                <w:lang w:val="en-US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A legal risk assessment is a process that runs parallel to an information security risk Assessment” p20</w:t>
            </w:r>
          </w:p>
        </w:tc>
        <w:tc>
          <w:tcPr>
            <w:tcW w:w="0" w:type="auto"/>
            <w:shd w:val="clear" w:color="auto" w:fill="auto"/>
          </w:tcPr>
          <w:p w14:paraId="764F50C8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5BDAF0E1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7957DB0D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3A7B7078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</w:tr>
      <w:tr w:rsidR="00FD6AE6" w:rsidRPr="00CD1612" w14:paraId="3BC813AD" w14:textId="77777777" w:rsidTr="00972FA9">
        <w:tc>
          <w:tcPr>
            <w:tcW w:w="0" w:type="auto"/>
            <w:shd w:val="clear" w:color="auto" w:fill="auto"/>
          </w:tcPr>
          <w:p w14:paraId="227BE82D" w14:textId="77777777" w:rsidR="00FD6AE6" w:rsidRDefault="00FD6AE6" w:rsidP="00972FA9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Automation systems</w:t>
            </w:r>
          </w:p>
          <w:p w14:paraId="0686C1C5" w14:textId="77777777" w:rsidR="00FD6AE6" w:rsidRPr="00DA36E9" w:rsidRDefault="00FD6AE6" w:rsidP="00972FA9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electronic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health information systems)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AC4579D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96212F3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227DEA4B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391F5F1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21950F52" w14:textId="77777777" w:rsidR="00FD6AE6" w:rsidRPr="00CD1612" w:rsidRDefault="00351CC5" w:rsidP="00972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6E797E6C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</w:t>
            </w:r>
            <w:r w:rsidR="00FD6AE6" w:rsidRPr="00CD1612">
              <w:rPr>
                <w:color w:val="000000"/>
                <w:sz w:val="18"/>
                <w:szCs w:val="18"/>
              </w:rPr>
              <w:t>o specific consideration</w:t>
            </w:r>
          </w:p>
        </w:tc>
        <w:tc>
          <w:tcPr>
            <w:tcW w:w="0" w:type="auto"/>
            <w:shd w:val="clear" w:color="auto" w:fill="auto"/>
          </w:tcPr>
          <w:p w14:paraId="45F3F9EF" w14:textId="77777777" w:rsidR="00FD6AE6" w:rsidRPr="00CD1612" w:rsidRDefault="00351CC5" w:rsidP="00972FA9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="00FD6AE6"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2A9F0495" w14:textId="77777777" w:rsidTr="00972FA9">
        <w:tc>
          <w:tcPr>
            <w:tcW w:w="0" w:type="auto"/>
            <w:shd w:val="clear" w:color="auto" w:fill="auto"/>
          </w:tcPr>
          <w:p w14:paraId="05A7A320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User interface</w:t>
            </w:r>
          </w:p>
          <w:p w14:paraId="0B29BCD9" w14:textId="77777777" w:rsidR="00136B84" w:rsidRPr="00DA36E9" w:rsidRDefault="00136B84" w:rsidP="00136B84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 w:rsidRPr="00DA36E9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user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-friendly to enable data accuracy and completeness)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5B3E897A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92CF37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1C844C5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1A722723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285428A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3FA87EB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3E10EE9E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 the different types of interfaces</w:t>
            </w:r>
          </w:p>
        </w:tc>
      </w:tr>
      <w:tr w:rsidR="00136B84" w:rsidRPr="00CD1612" w14:paraId="3B1A2275" w14:textId="77777777" w:rsidTr="00972FA9">
        <w:tc>
          <w:tcPr>
            <w:tcW w:w="0" w:type="auto"/>
            <w:shd w:val="clear" w:color="auto" w:fill="auto"/>
          </w:tcPr>
          <w:p w14:paraId="317F9229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Sustainability</w:t>
            </w:r>
          </w:p>
          <w:p w14:paraId="0616F40F" w14:textId="77777777" w:rsidR="00136B84" w:rsidRPr="008F29CF" w:rsidRDefault="00136B84" w:rsidP="00136B84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alignment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to universal health coverage)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399D89AA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BB70AA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820CF4E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DBDE25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08A0F8E1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227877FA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29F7A0E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 xml:space="preserve">onsidered </w:t>
            </w:r>
          </w:p>
        </w:tc>
      </w:tr>
      <w:tr w:rsidR="00136B84" w:rsidRPr="00CD1612" w14:paraId="28B22C27" w14:textId="77777777" w:rsidTr="00972FA9">
        <w:tc>
          <w:tcPr>
            <w:tcW w:w="0" w:type="auto"/>
            <w:shd w:val="clear" w:color="auto" w:fill="auto"/>
          </w:tcPr>
          <w:p w14:paraId="74A8C542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Operational plan and budget</w:t>
            </w:r>
          </w:p>
          <w:p w14:paraId="09A47542" w14:textId="77777777" w:rsidR="00136B84" w:rsidRPr="008F29CF" w:rsidRDefault="00136B84" w:rsidP="00136B84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planning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for sustained scale-up funding)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0533174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 xml:space="preserve">onsidered </w:t>
            </w:r>
          </w:p>
        </w:tc>
        <w:tc>
          <w:tcPr>
            <w:tcW w:w="0" w:type="auto"/>
            <w:shd w:val="clear" w:color="auto" w:fill="auto"/>
          </w:tcPr>
          <w:p w14:paraId="140FEDE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4225C5B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3E1E529F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2C547B8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01299E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24A6A91B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748CF96C" w14:textId="77777777" w:rsidTr="00972FA9">
        <w:tc>
          <w:tcPr>
            <w:tcW w:w="0" w:type="auto"/>
            <w:shd w:val="clear" w:color="auto" w:fill="auto"/>
          </w:tcPr>
          <w:p w14:paraId="5654A89C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Incentives</w:t>
            </w:r>
          </w:p>
          <w:p w14:paraId="08D55DB7" w14:textId="77777777" w:rsidR="00136B84" w:rsidRPr="008F29CF" w:rsidRDefault="00136B84" w:rsidP="00136B84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attract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and retain dermatologists)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C78DE5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3F5A30A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417C99C3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423B39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48AD9B5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72C6F1B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EAF423E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484B327D" w14:textId="77777777" w:rsidTr="00972FA9">
        <w:tc>
          <w:tcPr>
            <w:tcW w:w="0" w:type="auto"/>
            <w:shd w:val="clear" w:color="auto" w:fill="auto"/>
          </w:tcPr>
          <w:p w14:paraId="5F498737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 xml:space="preserve">Benefits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realisation</w:t>
            </w:r>
            <w:proofErr w:type="spellEnd"/>
          </w:p>
          <w:p w14:paraId="22D520E0" w14:textId="77777777" w:rsidR="00136B84" w:rsidRPr="00FB1273" w:rsidRDefault="00136B84" w:rsidP="00136B84">
            <w:pPr>
              <w:pStyle w:val="Default"/>
              <w:contextualSpacing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(TD benefits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realisation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management approach)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655AE75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6B692C99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Benefits were identified although uncertainty as to how it can be sustained</w:t>
            </w:r>
          </w:p>
        </w:tc>
        <w:tc>
          <w:tcPr>
            <w:tcW w:w="0" w:type="auto"/>
            <w:shd w:val="clear" w:color="auto" w:fill="auto"/>
          </w:tcPr>
          <w:p w14:paraId="3CE0D46E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 xml:space="preserve">onsideration for cost benefit </w:t>
            </w:r>
            <w:r>
              <w:rPr>
                <w:color w:val="000000"/>
                <w:sz w:val="18"/>
                <w:szCs w:val="18"/>
              </w:rPr>
              <w:t>analysis and measuring patient benefits</w:t>
            </w:r>
          </w:p>
        </w:tc>
        <w:tc>
          <w:tcPr>
            <w:tcW w:w="0" w:type="auto"/>
            <w:shd w:val="clear" w:color="auto" w:fill="auto"/>
          </w:tcPr>
          <w:p w14:paraId="18425AB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449E5D9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 xml:space="preserve">onsideration for </w:t>
            </w:r>
            <w:r>
              <w:rPr>
                <w:color w:val="000000"/>
                <w:sz w:val="18"/>
                <w:szCs w:val="18"/>
              </w:rPr>
              <w:t xml:space="preserve">cost versus </w:t>
            </w:r>
            <w:r w:rsidRPr="00CD1612">
              <w:rPr>
                <w:color w:val="000000"/>
                <w:sz w:val="18"/>
                <w:szCs w:val="18"/>
              </w:rPr>
              <w:t>benefits although benefits realisation management not specific</w:t>
            </w:r>
          </w:p>
        </w:tc>
        <w:tc>
          <w:tcPr>
            <w:tcW w:w="0" w:type="auto"/>
            <w:shd w:val="clear" w:color="auto" w:fill="auto"/>
          </w:tcPr>
          <w:p w14:paraId="0A795E86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6D2BE709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value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of clinic and economic benefits identified and recommended for management</w:t>
            </w:r>
          </w:p>
        </w:tc>
      </w:tr>
      <w:tr w:rsidR="00136B84" w:rsidRPr="00CD1612" w14:paraId="4B07EF70" w14:textId="77777777" w:rsidTr="00972FA9">
        <w:tc>
          <w:tcPr>
            <w:tcW w:w="0" w:type="auto"/>
            <w:shd w:val="clear" w:color="auto" w:fill="auto"/>
          </w:tcPr>
          <w:p w14:paraId="07DCC6BF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Benefits communication</w:t>
            </w:r>
          </w:p>
          <w:p w14:paraId="3BC13EFD" w14:textId="77777777" w:rsidR="00136B84" w:rsidRPr="00FB1273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(TD contribution to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ehealth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indicators)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F9A533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E764C2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B5352D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Patient benefit indicators</w:t>
            </w:r>
          </w:p>
        </w:tc>
        <w:tc>
          <w:tcPr>
            <w:tcW w:w="0" w:type="auto"/>
            <w:shd w:val="clear" w:color="auto" w:fill="auto"/>
          </w:tcPr>
          <w:p w14:paraId="469E25E6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3C20C517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Dissemination and advocacy</w:t>
            </w:r>
          </w:p>
          <w:p w14:paraId="5035E9B5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3F53A33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Impacts of scaling, tangible milestones, strategic communications</w:t>
            </w:r>
          </w:p>
        </w:tc>
        <w:tc>
          <w:tcPr>
            <w:tcW w:w="0" w:type="auto"/>
            <w:shd w:val="clear" w:color="auto" w:fill="auto"/>
          </w:tcPr>
          <w:p w14:paraId="06AA36E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6056AD48" w14:textId="77777777" w:rsidTr="00972FA9">
        <w:tc>
          <w:tcPr>
            <w:tcW w:w="0" w:type="auto"/>
            <w:shd w:val="clear" w:color="auto" w:fill="auto"/>
          </w:tcPr>
          <w:p w14:paraId="0A798125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Risk management</w:t>
            </w:r>
          </w:p>
          <w:p w14:paraId="725C19AB" w14:textId="77777777" w:rsidR="00136B84" w:rsidRPr="008F29CF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identify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, communicate and manage scale-up risks)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52519BE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  <w:r w:rsidRPr="00CD1612">
              <w:rPr>
                <w:color w:val="000000"/>
                <w:sz w:val="18"/>
                <w:szCs w:val="18"/>
              </w:rPr>
              <w:t>ome data security but not scale-up risks</w:t>
            </w:r>
          </w:p>
        </w:tc>
        <w:tc>
          <w:tcPr>
            <w:tcW w:w="0" w:type="auto"/>
            <w:shd w:val="clear" w:color="auto" w:fill="auto"/>
          </w:tcPr>
          <w:p w14:paraId="1FD78EAB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2B88F91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</w:t>
            </w:r>
            <w:r w:rsidRPr="00CD1612">
              <w:rPr>
                <w:color w:val="000000"/>
                <w:sz w:val="18"/>
                <w:szCs w:val="18"/>
              </w:rPr>
              <w:t>egal, security and implementation risks considered</w:t>
            </w:r>
          </w:p>
        </w:tc>
        <w:tc>
          <w:tcPr>
            <w:tcW w:w="0" w:type="auto"/>
            <w:shd w:val="clear" w:color="auto" w:fill="auto"/>
          </w:tcPr>
          <w:p w14:paraId="40C9697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09E08A6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6292D91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4C5B8F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48CB9480" w14:textId="77777777" w:rsidTr="00972FA9">
        <w:tc>
          <w:tcPr>
            <w:tcW w:w="0" w:type="auto"/>
            <w:shd w:val="clear" w:color="auto" w:fill="auto"/>
          </w:tcPr>
          <w:p w14:paraId="7842883B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Mobilisation</w:t>
            </w:r>
            <w:proofErr w:type="spellEnd"/>
          </w:p>
          <w:p w14:paraId="2B7140E9" w14:textId="77777777" w:rsidR="00136B84" w:rsidRPr="00DE34D4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34D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confirm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planned resources are approved)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32D3FFB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A04E30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885253A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26F2250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32840451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0DA671CB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5682E7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</w:tr>
      <w:tr w:rsidR="00136B84" w:rsidRPr="00CD1612" w14:paraId="17A6EA1C" w14:textId="77777777" w:rsidTr="00972FA9">
        <w:tc>
          <w:tcPr>
            <w:tcW w:w="0" w:type="auto"/>
            <w:shd w:val="clear" w:color="auto" w:fill="auto"/>
          </w:tcPr>
          <w:p w14:paraId="450CC359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Readiness</w:t>
            </w:r>
          </w:p>
          <w:p w14:paraId="15AF06CD" w14:textId="77777777" w:rsidR="00136B84" w:rsidRPr="00DE34D4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cut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>-over from implementation to operational scaled-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 xml:space="preserve">up state)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76A4954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230098F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8F92E7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3A77A8C6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1B929A36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6232BAC5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4F33F766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63FF3021" w14:textId="77777777" w:rsidTr="00972FA9">
        <w:tc>
          <w:tcPr>
            <w:tcW w:w="0" w:type="auto"/>
            <w:shd w:val="clear" w:color="auto" w:fill="auto"/>
          </w:tcPr>
          <w:p w14:paraId="796FF6C8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Training plan</w:t>
            </w:r>
          </w:p>
          <w:p w14:paraId="575B42DA" w14:textId="77777777" w:rsidR="00136B84" w:rsidRPr="00DE34D4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E34D4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end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-user clinical, administrative and project team training) 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63208A1F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725FBAC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D8E27C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31981CD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3398068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A3F4461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182F2731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0D8B7075" w14:textId="77777777" w:rsidTr="00972FA9">
        <w:tc>
          <w:tcPr>
            <w:tcW w:w="0" w:type="auto"/>
            <w:shd w:val="clear" w:color="auto" w:fill="auto"/>
          </w:tcPr>
          <w:p w14:paraId="4FE65E12" w14:textId="77777777" w:rsidR="00136B8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Support plan</w:t>
            </w:r>
          </w:p>
          <w:p w14:paraId="53B3AA96" w14:textId="77777777" w:rsidR="00136B84" w:rsidRPr="00DE34D4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support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during and post scale-up)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2EA4125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761336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16FDEA69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2616788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471A2689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514533A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  <w:tc>
          <w:tcPr>
            <w:tcW w:w="0" w:type="auto"/>
            <w:shd w:val="clear" w:color="auto" w:fill="auto"/>
          </w:tcPr>
          <w:p w14:paraId="66DB7E5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 w:rsidRPr="00CD1612">
              <w:rPr>
                <w:color w:val="000000"/>
                <w:sz w:val="18"/>
                <w:szCs w:val="18"/>
              </w:rPr>
              <w:t>onsidered</w:t>
            </w:r>
          </w:p>
        </w:tc>
      </w:tr>
      <w:tr w:rsidR="00136B84" w:rsidRPr="00CD1612" w14:paraId="558779DE" w14:textId="77777777" w:rsidTr="00972FA9">
        <w:tc>
          <w:tcPr>
            <w:tcW w:w="0" w:type="auto"/>
            <w:shd w:val="clear" w:color="auto" w:fill="auto"/>
          </w:tcPr>
          <w:p w14:paraId="3965F499" w14:textId="77777777" w:rsidR="00136B84" w:rsidRPr="00DE34D4" w:rsidRDefault="00136B84" w:rsidP="00136B84">
            <w:pPr>
              <w:pStyle w:val="Default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D1612">
              <w:rPr>
                <w:rFonts w:ascii="Times New Roman" w:hAnsi="Times New Roman"/>
                <w:b/>
                <w:sz w:val="18"/>
                <w:szCs w:val="18"/>
              </w:rPr>
              <w:t>Finalisation</w:t>
            </w:r>
            <w:proofErr w:type="spellEnd"/>
            <w:r w:rsidRPr="00CD1612">
              <w:rPr>
                <w:rFonts w:ascii="Times New Roman" w:hAnsi="Times New Roman"/>
                <w:b/>
                <w:sz w:val="18"/>
                <w:szCs w:val="18"/>
              </w:rPr>
              <w:t xml:space="preserve"> and close-out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(account for scale-up deliverables and resource transitioning) </w: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17655EF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26F9B560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54AFF6D2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D9CB30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F8DCE9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7E3C5597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  <w:tc>
          <w:tcPr>
            <w:tcW w:w="0" w:type="auto"/>
            <w:shd w:val="clear" w:color="auto" w:fill="auto"/>
          </w:tcPr>
          <w:p w14:paraId="6BAC8C19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  <w:r w:rsidRPr="00CD1612">
              <w:rPr>
                <w:color w:val="000000"/>
                <w:sz w:val="18"/>
                <w:szCs w:val="18"/>
              </w:rPr>
              <w:t xml:space="preserve"> specific consideration</w:t>
            </w:r>
          </w:p>
        </w:tc>
      </w:tr>
      <w:tr w:rsidR="00136B84" w:rsidRPr="00CD1612" w14:paraId="64670283" w14:textId="77777777" w:rsidTr="00972FA9">
        <w:tc>
          <w:tcPr>
            <w:tcW w:w="0" w:type="auto"/>
            <w:shd w:val="clear" w:color="auto" w:fill="auto"/>
          </w:tcPr>
          <w:p w14:paraId="495B0AF2" w14:textId="77777777" w:rsidR="00136B84" w:rsidRPr="00CD1612" w:rsidRDefault="00136B84" w:rsidP="00136B84">
            <w:pPr>
              <w:pStyle w:val="Default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Monitor and control </w:t>
            </w:r>
            <w:r w:rsidRPr="00DE34D4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progress of planned versus actual and corrective actions during planning, implementation and after scale-up)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i/>
                <w:sz w:val="18"/>
                <w:szCs w:val="18"/>
              </w:rPr>
              <w:instrText xml:space="preserve"> ADDIN EN.CITE &lt;EndNote&gt;&lt;Cite&gt;&lt;Author&gt;Walters&lt;/Author&gt;&lt;Year&gt;2017&lt;/Year&gt;&lt;RecNum&gt;995&lt;/RecNum&gt;&lt;DisplayText&gt;[11]&lt;/DisplayText&gt;&lt;record&gt;&lt;rec-number&gt;995&lt;/rec-number&gt;&lt;foreign-keys&gt;&lt;key app="EN" db-id="9wvf05rpgzpfxmee0t55av0urt252w2p5s0t" timestamp="1486120227"&gt;995&lt;/key&gt;&lt;/foreign-keys&gt;&lt;ref-type name="Unpublished Work"&gt;34&lt;/ref-type&gt;&lt;contributors&gt;&lt;authors&gt;&lt;author&gt;Walters, L E M&lt;/author&gt;&lt;author&gt;Scott, R E&lt;/author&gt;&lt;author&gt;Mars, M&lt;/author&gt;&lt;/authors&gt;&lt;/contributors&gt;&lt;titles&gt;&lt;title&gt;Design requirements for a Teledermatology Scale-up Framework&lt;/title&gt;&lt;/titles&gt;&lt;dates&gt;&lt;year&gt;2017&lt;/year&gt;&lt;/dates&gt;&lt;publisher&gt;[Under review]&lt;/publisher&gt;&lt;urls&gt;&lt;/urls&gt;&lt;research-notes&gt;Teledermatology scale-up framework requirements&lt;/research-notes&gt;&lt;language&gt;Eng&lt;/language&gt;&lt;access-date&gt;18 November 2017&lt;/access-date&gt;&lt;/record&gt;&lt;/Cite&gt;&lt;/EndNote&gt;</w:instrTex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 w:val="18"/>
                <w:szCs w:val="18"/>
              </w:rPr>
              <w:t>[11]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shd w:val="clear" w:color="auto" w:fill="auto"/>
          </w:tcPr>
          <w:p w14:paraId="44BFC2D3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  <w:r w:rsidRPr="00CD1612">
              <w:rPr>
                <w:color w:val="000000"/>
                <w:sz w:val="18"/>
                <w:szCs w:val="18"/>
              </w:rPr>
              <w:t xml:space="preserve">sed process monitoring and make “course corrections” </w:t>
            </w:r>
            <w:proofErr w:type="spellStart"/>
            <w:r w:rsidRPr="00CD1612">
              <w:rPr>
                <w:color w:val="000000"/>
                <w:sz w:val="18"/>
                <w:szCs w:val="18"/>
              </w:rPr>
              <w:t>pvii</w:t>
            </w:r>
            <w:proofErr w:type="spellEnd"/>
            <w:r w:rsidRPr="00CD1612">
              <w:rPr>
                <w:color w:val="000000"/>
                <w:sz w:val="18"/>
                <w:szCs w:val="18"/>
              </w:rPr>
              <w:t>. Axes of scale of monitoring and evaluation.</w:t>
            </w:r>
          </w:p>
        </w:tc>
        <w:tc>
          <w:tcPr>
            <w:tcW w:w="0" w:type="auto"/>
            <w:shd w:val="clear" w:color="auto" w:fill="auto"/>
          </w:tcPr>
          <w:p w14:paraId="0BA1FB7C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  <w:r w:rsidRPr="00CD1612">
              <w:rPr>
                <w:color w:val="000000"/>
                <w:sz w:val="18"/>
                <w:szCs w:val="18"/>
              </w:rPr>
              <w:t>sed terms monitoring and evaluation – although control element not considered.</w:t>
            </w:r>
          </w:p>
        </w:tc>
        <w:tc>
          <w:tcPr>
            <w:tcW w:w="0" w:type="auto"/>
            <w:shd w:val="clear" w:color="auto" w:fill="auto"/>
          </w:tcPr>
          <w:p w14:paraId="60398DED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color w:val="000000" w:themeColor="text1"/>
                <w:sz w:val="18"/>
                <w:szCs w:val="18"/>
                <w:lang w:val="en-US" w:eastAsia="ja-JP"/>
              </w:rPr>
            </w:pPr>
            <w:r w:rsidRPr="00CD1612">
              <w:rPr>
                <w:b/>
                <w:color w:val="000000" w:themeColor="text1"/>
                <w:sz w:val="18"/>
                <w:szCs w:val="18"/>
              </w:rPr>
              <w:t>“</w:t>
            </w:r>
            <w:proofErr w:type="gramStart"/>
            <w:r w:rsidRPr="00CD1612">
              <w:rPr>
                <w:rFonts w:eastAsiaTheme="minorEastAsia"/>
                <w:color w:val="000000" w:themeColor="text1"/>
                <w:sz w:val="18"/>
                <w:szCs w:val="18"/>
                <w:lang w:val="en-US" w:eastAsia="ja-JP"/>
              </w:rPr>
              <w:t>monitor</w:t>
            </w:r>
            <w:proofErr w:type="gramEnd"/>
            <w:r w:rsidRPr="00CD1612">
              <w:rPr>
                <w:rFonts w:eastAsiaTheme="minorEastAsia"/>
                <w:color w:val="000000" w:themeColor="text1"/>
                <w:sz w:val="18"/>
                <w:szCs w:val="18"/>
                <w:lang w:val="en-US" w:eastAsia="ja-JP"/>
              </w:rPr>
              <w:t xml:space="preserve"> the service” p31 does not relate to monitor during and after scale-up process and “The form of service monitoring explored here is technological in character” p26. Cost control are considered although not process controls to ensure continued performance and conformance</w:t>
            </w:r>
          </w:p>
        </w:tc>
        <w:tc>
          <w:tcPr>
            <w:tcW w:w="0" w:type="auto"/>
            <w:shd w:val="clear" w:color="auto" w:fill="auto"/>
          </w:tcPr>
          <w:p w14:paraId="1B069AB0" w14:textId="77777777" w:rsidR="00136B84" w:rsidRPr="00CD1612" w:rsidRDefault="00136B84" w:rsidP="00136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eastAsiaTheme="minorEastAsia"/>
                <w:sz w:val="18"/>
                <w:szCs w:val="18"/>
                <w:lang w:val="en-US" w:eastAsia="ja-JP"/>
              </w:rPr>
            </w:pPr>
            <w:r w:rsidRPr="00CD1612">
              <w:rPr>
                <w:b/>
                <w:color w:val="000000" w:themeColor="text1"/>
                <w:sz w:val="18"/>
                <w:szCs w:val="18"/>
              </w:rPr>
              <w:t>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The active participation of the community in planning, implementing, and monitoring interventions is widely cited as a crucial factor in successful scale-up” p3 “Incorporating research into implementation</w:t>
            </w:r>
          </w:p>
          <w:p w14:paraId="67690064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(</w:t>
            </w:r>
            <w:proofErr w:type="gramStart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‘‘learning</w:t>
            </w:r>
            <w:proofErr w:type="gramEnd"/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 xml:space="preserve"> and doing’’) p3 – lean on research to provide control/ feedback  information</w:t>
            </w:r>
          </w:p>
        </w:tc>
        <w:tc>
          <w:tcPr>
            <w:tcW w:w="0" w:type="auto"/>
            <w:shd w:val="clear" w:color="auto" w:fill="auto"/>
          </w:tcPr>
          <w:p w14:paraId="4240EDD8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</w:t>
            </w:r>
            <w:r w:rsidRPr="00CD1612">
              <w:rPr>
                <w:color w:val="000000" w:themeColor="text1"/>
                <w:sz w:val="18"/>
                <w:szCs w:val="18"/>
              </w:rPr>
              <w:t xml:space="preserve">efer to consideration for on-going monitoring and evaluation and linkages to decision making although control not </w:t>
            </w:r>
            <w:r>
              <w:rPr>
                <w:color w:val="000000" w:themeColor="text1"/>
                <w:sz w:val="18"/>
                <w:szCs w:val="18"/>
              </w:rPr>
              <w:t xml:space="preserve">specifically </w:t>
            </w:r>
            <w:r w:rsidRPr="00CD1612">
              <w:rPr>
                <w:color w:val="000000" w:themeColor="text1"/>
                <w:sz w:val="18"/>
                <w:szCs w:val="18"/>
              </w:rPr>
              <w:t>used</w:t>
            </w:r>
          </w:p>
        </w:tc>
        <w:tc>
          <w:tcPr>
            <w:tcW w:w="0" w:type="auto"/>
            <w:shd w:val="clear" w:color="auto" w:fill="auto"/>
          </w:tcPr>
          <w:p w14:paraId="4FF1586D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Pr="00CD1612">
              <w:rPr>
                <w:color w:val="000000" w:themeColor="text1"/>
                <w:sz w:val="18"/>
                <w:szCs w:val="18"/>
              </w:rPr>
              <w:t>onsideration for monitoring and evaluation “</w:t>
            </w:r>
            <w:r w:rsidRPr="00CD1612">
              <w:rPr>
                <w:rFonts w:eastAsiaTheme="minorEastAsia"/>
                <w:sz w:val="18"/>
                <w:szCs w:val="18"/>
                <w:lang w:val="en-US" w:eastAsia="ja-JP"/>
              </w:rPr>
              <w:t>Task 10 covers monitoring and evaluating progress and feeding that information back into public oversight and modification of the model” p38</w:t>
            </w:r>
          </w:p>
        </w:tc>
        <w:tc>
          <w:tcPr>
            <w:tcW w:w="0" w:type="auto"/>
            <w:shd w:val="clear" w:color="auto" w:fill="auto"/>
          </w:tcPr>
          <w:p w14:paraId="78DA2915" w14:textId="77777777" w:rsidR="00136B84" w:rsidRPr="00CD1612" w:rsidRDefault="00136B84" w:rsidP="00136B84">
            <w:pPr>
              <w:spacing w:after="0" w:line="240" w:lineRule="auto"/>
              <w:contextualSpacing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CD1612">
              <w:rPr>
                <w:color w:val="000000" w:themeColor="text1"/>
                <w:sz w:val="18"/>
                <w:szCs w:val="18"/>
              </w:rPr>
              <w:t xml:space="preserve">mphasis on </w:t>
            </w:r>
            <w:proofErr w:type="spellStart"/>
            <w:r w:rsidRPr="00CD1612">
              <w:rPr>
                <w:color w:val="000000" w:themeColor="text1"/>
                <w:sz w:val="18"/>
                <w:szCs w:val="18"/>
              </w:rPr>
              <w:t>telehealth</w:t>
            </w:r>
            <w:proofErr w:type="spellEnd"/>
            <w:r w:rsidRPr="00CD1612">
              <w:rPr>
                <w:color w:val="000000" w:themeColor="text1"/>
                <w:sz w:val="18"/>
                <w:szCs w:val="18"/>
              </w:rPr>
              <w:t xml:space="preserve"> using monitoring devices or technologies and not scale-up monitoring. Control is considered under local care re-design</w:t>
            </w:r>
          </w:p>
        </w:tc>
      </w:tr>
    </w:tbl>
    <w:p w14:paraId="5ED84D68" w14:textId="77777777" w:rsidR="00FD6AE6" w:rsidRDefault="00FD6AE6" w:rsidP="00FD6AE6"/>
    <w:p w14:paraId="2B1E6540" w14:textId="77777777" w:rsidR="00FD6AE6" w:rsidRPr="00214AFD" w:rsidRDefault="00FD6AE6" w:rsidP="00FD6AE6">
      <w:pPr>
        <w:rPr>
          <w:b/>
          <w:sz w:val="24"/>
        </w:rPr>
      </w:pPr>
      <w:r w:rsidRPr="00214AFD">
        <w:rPr>
          <w:b/>
          <w:sz w:val="24"/>
        </w:rPr>
        <w:lastRenderedPageBreak/>
        <w:t>References</w:t>
      </w:r>
    </w:p>
    <w:p w14:paraId="481F1341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54E91">
        <w:rPr>
          <w:noProof/>
        </w:rPr>
        <w:t>1.</w:t>
      </w:r>
      <w:r w:rsidRPr="00254E91">
        <w:rPr>
          <w:noProof/>
        </w:rPr>
        <w:tab/>
        <w:t xml:space="preserve">World Health Organization: The MAPS Toolkit mHealth Assessment and Planning for Scale. </w:t>
      </w:r>
      <w:hyperlink r:id="rId8" w:history="1">
        <w:r w:rsidRPr="00254E91">
          <w:rPr>
            <w:rStyle w:val="Hyperlink"/>
            <w:noProof/>
            <w:lang w:val="en-GB"/>
          </w:rPr>
          <w:t>http://apps.who.int/iris/bitstream/10665/185238/1/9789241509510_eng.pdf</w:t>
        </w:r>
      </w:hyperlink>
      <w:r w:rsidRPr="00254E91">
        <w:rPr>
          <w:noProof/>
        </w:rPr>
        <w:t xml:space="preserve"> (2015). Accessed 18 November 2017.</w:t>
      </w:r>
    </w:p>
    <w:p w14:paraId="6B3277A2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2.</w:t>
      </w:r>
      <w:r w:rsidRPr="00254E91">
        <w:rPr>
          <w:noProof/>
        </w:rPr>
        <w:tab/>
        <w:t xml:space="preserve">Leon N, Schneider H, Daviaud E: Applying a framework for assessing the health system challenges to scaling up mHealth in South Africa. </w:t>
      </w:r>
      <w:r w:rsidRPr="00254E91">
        <w:rPr>
          <w:i/>
          <w:noProof/>
        </w:rPr>
        <w:t>BMC Medical Informatics and Decision Making. (</w:t>
      </w:r>
      <w:r w:rsidRPr="00254E91">
        <w:rPr>
          <w:noProof/>
        </w:rPr>
        <w:t xml:space="preserve">2012); 12:123. </w:t>
      </w:r>
      <w:hyperlink r:id="rId9" w:history="1">
        <w:r w:rsidRPr="00254E91">
          <w:rPr>
            <w:rStyle w:val="Hyperlink"/>
            <w:noProof/>
            <w:lang w:val="en-GB"/>
          </w:rPr>
          <w:t>https://doi.org/10.1186/1472-6947-12-123</w:t>
        </w:r>
      </w:hyperlink>
      <w:r w:rsidRPr="00254E91">
        <w:rPr>
          <w:noProof/>
        </w:rPr>
        <w:t>.</w:t>
      </w:r>
    </w:p>
    <w:p w14:paraId="0A246596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3.</w:t>
      </w:r>
      <w:r w:rsidRPr="00254E91">
        <w:rPr>
          <w:noProof/>
        </w:rPr>
        <w:tab/>
        <w:t xml:space="preserve">Jensen LK, Knarvik U, Pedersen CD, Tangene W, Whitehouse D: Deliverable 3.4 Personalised Blueprint for telemedicine deployment: validated and tested version version. </w:t>
      </w:r>
      <w:hyperlink r:id="rId10" w:history="1">
        <w:r w:rsidRPr="00254E91">
          <w:rPr>
            <w:rStyle w:val="Hyperlink"/>
            <w:noProof/>
            <w:lang w:val="en-GB"/>
          </w:rPr>
          <w:t>http://www.telemedicine-momentum.eu/wp-content/uploads/2015/02/D3.4_v1.0_ValidatedBlueprint.pdf</w:t>
        </w:r>
      </w:hyperlink>
      <w:r w:rsidRPr="00254E91">
        <w:rPr>
          <w:noProof/>
        </w:rPr>
        <w:t xml:space="preserve"> (2015). Accessed 18 November 2017.</w:t>
      </w:r>
    </w:p>
    <w:p w14:paraId="3159D5FA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4.</w:t>
      </w:r>
      <w:r w:rsidRPr="00254E91">
        <w:rPr>
          <w:noProof/>
        </w:rPr>
        <w:tab/>
        <w:t xml:space="preserve">Yamey G: Scaling up global health interventions: A proposed framework for success. </w:t>
      </w:r>
      <w:r w:rsidRPr="00254E91">
        <w:rPr>
          <w:i/>
          <w:noProof/>
        </w:rPr>
        <w:t>PLoS Med. (</w:t>
      </w:r>
      <w:r w:rsidRPr="00254E91">
        <w:rPr>
          <w:noProof/>
        </w:rPr>
        <w:t xml:space="preserve">2011); 8(6):e1001049. </w:t>
      </w:r>
      <w:hyperlink r:id="rId11" w:history="1">
        <w:r w:rsidRPr="00254E91">
          <w:rPr>
            <w:rStyle w:val="Hyperlink"/>
            <w:noProof/>
            <w:lang w:val="en-GB"/>
          </w:rPr>
          <w:t>https://doi.org/10.1371/journal.pmed.1001049</w:t>
        </w:r>
      </w:hyperlink>
      <w:r w:rsidRPr="00254E91">
        <w:rPr>
          <w:noProof/>
        </w:rPr>
        <w:t>.</w:t>
      </w:r>
    </w:p>
    <w:p w14:paraId="5E72B148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5.</w:t>
      </w:r>
      <w:r w:rsidRPr="00254E91">
        <w:rPr>
          <w:noProof/>
        </w:rPr>
        <w:tab/>
        <w:t xml:space="preserve">World Health Organization: Practical guidance for scaling up health service innovations. </w:t>
      </w:r>
      <w:hyperlink r:id="rId12" w:history="1">
        <w:r w:rsidRPr="00254E91">
          <w:rPr>
            <w:rStyle w:val="Hyperlink"/>
            <w:noProof/>
            <w:lang w:val="en-GB"/>
          </w:rPr>
          <w:t>http://apps.who.int/iris/bitstream/10665/44180/1/9789241598521_eng.pdf</w:t>
        </w:r>
      </w:hyperlink>
      <w:r w:rsidRPr="00254E91">
        <w:rPr>
          <w:noProof/>
        </w:rPr>
        <w:t xml:space="preserve"> (2009). Accessed 18 November 2017.</w:t>
      </w:r>
    </w:p>
    <w:p w14:paraId="710812B6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6.</w:t>
      </w:r>
      <w:r w:rsidRPr="00254E91">
        <w:rPr>
          <w:noProof/>
        </w:rPr>
        <w:tab/>
        <w:t xml:space="preserve">World Health Organization: Nine steps for developing a scaling-up strategy. Geneva, Switzerland.: WHO and ExpandNET; (2010). </w:t>
      </w:r>
      <w:hyperlink r:id="rId13" w:history="1">
        <w:r w:rsidRPr="00254E91">
          <w:rPr>
            <w:rStyle w:val="Hyperlink"/>
            <w:noProof/>
            <w:lang w:val="en-GB"/>
          </w:rPr>
          <w:t>http://www.who.int/immunization/hpv/deliver/nine_steps_for_developing_a_scalingup_strategy_who_2010.pdf</w:t>
        </w:r>
      </w:hyperlink>
      <w:r w:rsidRPr="00254E91">
        <w:rPr>
          <w:noProof/>
        </w:rPr>
        <w:t>.</w:t>
      </w:r>
    </w:p>
    <w:p w14:paraId="5DC2BE1C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7.</w:t>
      </w:r>
      <w:r w:rsidRPr="00254E91">
        <w:rPr>
          <w:noProof/>
        </w:rPr>
        <w:tab/>
        <w:t xml:space="preserve">World Health Organization: Beginning with the end in mind: planning pilot projects and other programmatic research for successful scaling up. France: WHO; (2011). </w:t>
      </w:r>
      <w:hyperlink r:id="rId14" w:history="1">
        <w:r w:rsidRPr="00254E91">
          <w:rPr>
            <w:rStyle w:val="Hyperlink"/>
            <w:noProof/>
            <w:lang w:val="en-GB"/>
          </w:rPr>
          <w:t>http://www.expandnet.net/PDFs/ExpandNet-WHO - Beginning with the end in mind - 2011.pdf</w:t>
        </w:r>
      </w:hyperlink>
      <w:r w:rsidRPr="00254E91">
        <w:rPr>
          <w:noProof/>
        </w:rPr>
        <w:t>.</w:t>
      </w:r>
    </w:p>
    <w:p w14:paraId="13042AE4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8.</w:t>
      </w:r>
      <w:r w:rsidRPr="00254E91">
        <w:rPr>
          <w:noProof/>
        </w:rPr>
        <w:tab/>
        <w:t xml:space="preserve">Cooley L, Kohl R: Scaling up—From vision to large-scale change: A Management framework for practitioners. </w:t>
      </w:r>
      <w:hyperlink r:id="rId15" w:history="1">
        <w:r w:rsidRPr="00254E91">
          <w:rPr>
            <w:rStyle w:val="Hyperlink"/>
            <w:noProof/>
            <w:lang w:val="en-GB"/>
          </w:rPr>
          <w:t>http://www.msiworldwide.com</w:t>
        </w:r>
      </w:hyperlink>
      <w:r w:rsidRPr="00254E91">
        <w:rPr>
          <w:noProof/>
        </w:rPr>
        <w:t xml:space="preserve"> (2006). Accessed.</w:t>
      </w:r>
    </w:p>
    <w:p w14:paraId="21EE23D4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9.</w:t>
      </w:r>
      <w:r w:rsidRPr="00254E91">
        <w:rPr>
          <w:noProof/>
        </w:rPr>
        <w:tab/>
        <w:t xml:space="preserve">Cooley L, Rajani RV: Scaling up—From vision to large-scale change: A Management framework for practitioners. </w:t>
      </w:r>
      <w:hyperlink r:id="rId16" w:history="1">
        <w:r w:rsidRPr="00254E91">
          <w:rPr>
            <w:rStyle w:val="Hyperlink"/>
            <w:noProof/>
            <w:lang w:val="en-GB"/>
          </w:rPr>
          <w:t>http://www.msiworldwide.com/wp-content/uploads/Scaling-Up-Framework.pdf</w:t>
        </w:r>
      </w:hyperlink>
      <w:r w:rsidRPr="00254E91">
        <w:rPr>
          <w:noProof/>
        </w:rPr>
        <w:t xml:space="preserve"> (2012). Accessed 21 November 2017.</w:t>
      </w:r>
    </w:p>
    <w:p w14:paraId="47E13BEE" w14:textId="77777777" w:rsidR="00FD6AE6" w:rsidRPr="00254E91" w:rsidRDefault="00FD6AE6" w:rsidP="00FD6AE6">
      <w:pPr>
        <w:pStyle w:val="EndNoteBibliography"/>
        <w:spacing w:after="0"/>
        <w:ind w:left="720" w:hanging="720"/>
        <w:rPr>
          <w:noProof/>
        </w:rPr>
      </w:pPr>
      <w:r w:rsidRPr="00254E91">
        <w:rPr>
          <w:noProof/>
        </w:rPr>
        <w:t>10.</w:t>
      </w:r>
      <w:r w:rsidRPr="00254E91">
        <w:rPr>
          <w:noProof/>
        </w:rPr>
        <w:tab/>
        <w:t xml:space="preserve">Cruickshank J, Beer G: Healthcare without walls: A framework for delivering telehealth at scale: 2020health.org; (2010). </w:t>
      </w:r>
      <w:hyperlink r:id="rId17" w:history="1">
        <w:r w:rsidRPr="00254E91">
          <w:rPr>
            <w:rStyle w:val="Hyperlink"/>
            <w:noProof/>
            <w:lang w:val="en-GB"/>
          </w:rPr>
          <w:t>http://www.2020health.org/2020health/Publications/Publications-2010/telehealth.html</w:t>
        </w:r>
      </w:hyperlink>
      <w:r w:rsidRPr="00254E91">
        <w:rPr>
          <w:noProof/>
        </w:rPr>
        <w:t>.</w:t>
      </w:r>
    </w:p>
    <w:p w14:paraId="26C4F0FB" w14:textId="77777777" w:rsidR="00FD6AE6" w:rsidRPr="00254E91" w:rsidRDefault="00FD6AE6" w:rsidP="00FD6AE6">
      <w:pPr>
        <w:pStyle w:val="EndNoteBibliography"/>
        <w:ind w:left="720" w:hanging="720"/>
        <w:rPr>
          <w:noProof/>
        </w:rPr>
      </w:pPr>
      <w:r w:rsidRPr="00254E91">
        <w:rPr>
          <w:noProof/>
        </w:rPr>
        <w:t>11.</w:t>
      </w:r>
      <w:r w:rsidRPr="00254E91">
        <w:rPr>
          <w:noProof/>
        </w:rPr>
        <w:tab/>
        <w:t>Walters LEM, Scott RE, Mars M: Design requirements for a Teledermatology Scale-up Framework. In</w:t>
      </w:r>
      <w:r w:rsidRPr="00254E91">
        <w:rPr>
          <w:i/>
          <w:noProof/>
        </w:rPr>
        <w:t>.</w:t>
      </w:r>
      <w:r w:rsidRPr="00254E91">
        <w:rPr>
          <w:noProof/>
        </w:rPr>
        <w:t>: [Under review]; (2017).</w:t>
      </w:r>
    </w:p>
    <w:p w14:paraId="6C5D86A7" w14:textId="77777777" w:rsidR="00272EAE" w:rsidRDefault="00FD6AE6" w:rsidP="00FD6AE6">
      <w:r>
        <w:fldChar w:fldCharType="end"/>
      </w:r>
    </w:p>
    <w:sectPr w:rsidR="00272EAE" w:rsidSect="00FD6AE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6820" w:h="11900" w:orient="landscape"/>
      <w:pgMar w:top="1701" w:right="1701" w:bottom="1701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3B675" w14:textId="77777777" w:rsidR="00FD6AE6" w:rsidRDefault="00FD6AE6" w:rsidP="00FD6AE6">
      <w:pPr>
        <w:spacing w:after="0" w:line="240" w:lineRule="auto"/>
      </w:pPr>
      <w:r>
        <w:separator/>
      </w:r>
    </w:p>
  </w:endnote>
  <w:endnote w:type="continuationSeparator" w:id="0">
    <w:p w14:paraId="71C8DBD1" w14:textId="77777777" w:rsidR="00FD6AE6" w:rsidRDefault="00FD6AE6" w:rsidP="00FD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 SemiCond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01060" w14:textId="77777777" w:rsidR="00FD6AE6" w:rsidRDefault="00FD6AE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54D6D" w14:textId="77777777" w:rsidR="00FD6AE6" w:rsidRDefault="00FD6AE6" w:rsidP="00FD6AE6"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504CC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D504CC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82D5D" w14:textId="77777777" w:rsidR="00FD6AE6" w:rsidRDefault="00FD6AE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39AB8" w14:textId="77777777" w:rsidR="00FD6AE6" w:rsidRDefault="00FD6AE6" w:rsidP="00FD6AE6">
      <w:pPr>
        <w:spacing w:after="0" w:line="240" w:lineRule="auto"/>
      </w:pPr>
      <w:r>
        <w:separator/>
      </w:r>
    </w:p>
  </w:footnote>
  <w:footnote w:type="continuationSeparator" w:id="0">
    <w:p w14:paraId="7FAE96DC" w14:textId="77777777" w:rsidR="00FD6AE6" w:rsidRDefault="00FD6AE6" w:rsidP="00FD6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D9699" w14:textId="77777777" w:rsidR="00FD6AE6" w:rsidRDefault="00FD6AE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8FD0C" w14:textId="77777777" w:rsidR="00D504CC" w:rsidRDefault="00D504CC" w:rsidP="00D504CC">
    <w:pPr>
      <w:pStyle w:val="Header"/>
      <w:jc w:val="right"/>
    </w:pPr>
    <w:r w:rsidRPr="00A6728B">
      <w:rPr>
        <w:lang w:val="en-US"/>
      </w:rPr>
      <w:drawing>
        <wp:inline distT="0" distB="0" distL="0" distR="0" wp14:anchorId="43CB6BA3" wp14:editId="6DED2F31">
          <wp:extent cx="713848" cy="461571"/>
          <wp:effectExtent l="0" t="0" r="0" b="0"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186" cy="461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val="en-US"/>
      </w:rPr>
      <w:drawing>
        <wp:inline distT="0" distB="0" distL="0" distR="0" wp14:anchorId="3F3868FB" wp14:editId="72203A86">
          <wp:extent cx="627983" cy="445135"/>
          <wp:effectExtent l="0" t="0" r="7620" b="1206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987" cy="445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307845" w14:textId="77777777" w:rsidR="00FD6AE6" w:rsidRDefault="00FD6AE6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BC4F6" w14:textId="77777777" w:rsidR="00FD6AE6" w:rsidRDefault="00FD6AE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7205E"/>
    <w:multiLevelType w:val="hybridMultilevel"/>
    <w:tmpl w:val="1B8E8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7B6173B"/>
    <w:multiLevelType w:val="multilevel"/>
    <w:tmpl w:val="0AFE006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67EF0082"/>
    <w:multiLevelType w:val="hybridMultilevel"/>
    <w:tmpl w:val="75608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E6"/>
    <w:rsid w:val="00060E44"/>
    <w:rsid w:val="00136B84"/>
    <w:rsid w:val="002144AE"/>
    <w:rsid w:val="00272EAE"/>
    <w:rsid w:val="00351CC5"/>
    <w:rsid w:val="003E7ED7"/>
    <w:rsid w:val="004C2CCF"/>
    <w:rsid w:val="004F23AD"/>
    <w:rsid w:val="00553F5F"/>
    <w:rsid w:val="00605896"/>
    <w:rsid w:val="00793B8F"/>
    <w:rsid w:val="007F4815"/>
    <w:rsid w:val="00800235"/>
    <w:rsid w:val="00BB7B4F"/>
    <w:rsid w:val="00C90E9D"/>
    <w:rsid w:val="00CE45C0"/>
    <w:rsid w:val="00D14964"/>
    <w:rsid w:val="00D504CC"/>
    <w:rsid w:val="00E146EC"/>
    <w:rsid w:val="00E86142"/>
    <w:rsid w:val="00F87C23"/>
    <w:rsid w:val="00FA6824"/>
    <w:rsid w:val="00FC5A8C"/>
    <w:rsid w:val="00FD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A6A5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AE6"/>
    <w:pPr>
      <w:spacing w:after="200" w:line="480" w:lineRule="auto"/>
      <w:jc w:val="both"/>
    </w:pPr>
    <w:rPr>
      <w:rFonts w:eastAsiaTheme="minorHAnsi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144A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144AE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144AE"/>
    <w:pPr>
      <w:spacing w:before="300" w:line="276" w:lineRule="auto"/>
      <w:outlineLvl w:val="2"/>
    </w:pPr>
    <w:rPr>
      <w:b/>
      <w:bCs/>
      <w:i/>
      <w:iCs/>
      <w:spacing w:val="15"/>
      <w:lang w:bidi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144AE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2144AE"/>
    <w:rPr>
      <w:rFonts w:eastAsiaTheme="minorHAnsi"/>
      <w:b/>
      <w:bCs/>
      <w:i/>
      <w:iCs/>
      <w:spacing w:val="15"/>
      <w:szCs w:val="20"/>
      <w:lang w:val="en-GB" w:eastAsia="en-US" w:bidi="en-US"/>
    </w:rPr>
  </w:style>
  <w:style w:type="paragraph" w:customStyle="1" w:styleId="Figure">
    <w:name w:val="Figure"/>
    <w:basedOn w:val="Normal"/>
    <w:autoRedefine/>
    <w:qFormat/>
    <w:rsid w:val="00800235"/>
    <w:pPr>
      <w:widowControl w:val="0"/>
      <w:autoSpaceDE w:val="0"/>
      <w:autoSpaceDN w:val="0"/>
      <w:adjustRightInd w:val="0"/>
    </w:pPr>
    <w:rPr>
      <w:sz w:val="24"/>
      <w:szCs w:val="24"/>
      <w14:ligatures w14:val="standard"/>
      <w14:cntxtAlts/>
    </w:rPr>
  </w:style>
  <w:style w:type="paragraph" w:styleId="TableofFigures">
    <w:name w:val="table of figures"/>
    <w:aliases w:val="List of Figures"/>
    <w:basedOn w:val="Title"/>
    <w:next w:val="Normal"/>
    <w:autoRedefine/>
    <w:uiPriority w:val="99"/>
    <w:unhideWhenUsed/>
    <w:qFormat/>
    <w:rsid w:val="007F4815"/>
    <w:rPr>
      <w:caps w:val="0"/>
    </w:rPr>
  </w:style>
  <w:style w:type="character" w:customStyle="1" w:styleId="Heading1Char">
    <w:name w:val="Heading 1 Char"/>
    <w:basedOn w:val="DefaultParagraphFont"/>
    <w:link w:val="Heading1"/>
    <w:uiPriority w:val="9"/>
    <w:rsid w:val="002144AE"/>
    <w:rPr>
      <w:rFonts w:eastAsiaTheme="majorEastAsia" w:cstheme="majorBidi"/>
      <w:b/>
      <w:bCs/>
      <w:caps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144AE"/>
    <w:rPr>
      <w:rFonts w:eastAsiaTheme="majorEastAsia" w:cstheme="majorBidi"/>
      <w:b/>
      <w:bCs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4AE"/>
    <w:rPr>
      <w:rFonts w:eastAsiaTheme="majorEastAsia" w:cstheme="majorBidi"/>
      <w:bCs/>
      <w:i/>
      <w:iCs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144AE"/>
    <w:pPr>
      <w:pBdr>
        <w:bottom w:val="single" w:sz="8" w:space="4" w:color="000000" w:themeColor="text1"/>
      </w:pBdr>
      <w:tabs>
        <w:tab w:val="center" w:pos="4249"/>
      </w:tabs>
      <w:spacing w:after="300" w:line="360" w:lineRule="auto"/>
      <w:contextualSpacing/>
      <w:jc w:val="center"/>
    </w:pPr>
    <w:rPr>
      <w:rFonts w:eastAsiaTheme="majorEastAsia" w:cstheme="majorBidi"/>
      <w:caps/>
      <w:spacing w:val="5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144AE"/>
    <w:rPr>
      <w:rFonts w:eastAsiaTheme="majorEastAsia" w:cstheme="majorBidi"/>
      <w:caps/>
      <w:spacing w:val="5"/>
      <w:kern w:val="28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A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8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FD6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FD6AE6"/>
    <w:pPr>
      <w:spacing w:after="120" w:line="240" w:lineRule="auto"/>
      <w:jc w:val="center"/>
    </w:pPr>
    <w:rPr>
      <w:rFonts w:ascii="Arial" w:hAnsi="Arial"/>
      <w:b/>
      <w:bCs/>
      <w:color w:val="4F81BD" w:themeColor="accent1"/>
      <w:sz w:val="20"/>
      <w:szCs w:val="18"/>
    </w:rPr>
  </w:style>
  <w:style w:type="paragraph" w:customStyle="1" w:styleId="EndNoteBibliography">
    <w:name w:val="EndNote Bibliography"/>
    <w:basedOn w:val="Normal"/>
    <w:rsid w:val="00FD6AE6"/>
    <w:pPr>
      <w:spacing w:line="240" w:lineRule="auto"/>
    </w:pPr>
    <w:rPr>
      <w:lang w:val="en-US"/>
    </w:rPr>
  </w:style>
  <w:style w:type="paragraph" w:customStyle="1" w:styleId="Default">
    <w:name w:val="Default"/>
    <w:rsid w:val="00FD6AE6"/>
    <w:pPr>
      <w:widowControl w:val="0"/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6A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6A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AE6"/>
    <w:rPr>
      <w:rFonts w:eastAsiaTheme="minorHAnsi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FD6A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AE6"/>
    <w:rPr>
      <w:rFonts w:eastAsiaTheme="minorHAnsi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AE6"/>
    <w:pPr>
      <w:spacing w:after="200" w:line="480" w:lineRule="auto"/>
      <w:jc w:val="both"/>
    </w:pPr>
    <w:rPr>
      <w:rFonts w:eastAsiaTheme="minorHAnsi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144AE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144AE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144AE"/>
    <w:pPr>
      <w:spacing w:before="300" w:line="276" w:lineRule="auto"/>
      <w:outlineLvl w:val="2"/>
    </w:pPr>
    <w:rPr>
      <w:b/>
      <w:bCs/>
      <w:i/>
      <w:iCs/>
      <w:spacing w:val="15"/>
      <w:lang w:bidi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2144AE"/>
    <w:pPr>
      <w:keepNext/>
      <w:keepLines/>
      <w:spacing w:before="200"/>
      <w:outlineLvl w:val="3"/>
    </w:pPr>
    <w:rPr>
      <w:rFonts w:eastAsiaTheme="majorEastAsia" w:cstheme="majorBidi"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2144AE"/>
    <w:rPr>
      <w:rFonts w:eastAsiaTheme="minorHAnsi"/>
      <w:b/>
      <w:bCs/>
      <w:i/>
      <w:iCs/>
      <w:spacing w:val="15"/>
      <w:szCs w:val="20"/>
      <w:lang w:val="en-GB" w:eastAsia="en-US" w:bidi="en-US"/>
    </w:rPr>
  </w:style>
  <w:style w:type="paragraph" w:customStyle="1" w:styleId="Figure">
    <w:name w:val="Figure"/>
    <w:basedOn w:val="Normal"/>
    <w:autoRedefine/>
    <w:qFormat/>
    <w:rsid w:val="00800235"/>
    <w:pPr>
      <w:widowControl w:val="0"/>
      <w:autoSpaceDE w:val="0"/>
      <w:autoSpaceDN w:val="0"/>
      <w:adjustRightInd w:val="0"/>
    </w:pPr>
    <w:rPr>
      <w:sz w:val="24"/>
      <w:szCs w:val="24"/>
      <w14:ligatures w14:val="standard"/>
      <w14:cntxtAlts/>
    </w:rPr>
  </w:style>
  <w:style w:type="paragraph" w:styleId="TableofFigures">
    <w:name w:val="table of figures"/>
    <w:aliases w:val="List of Figures"/>
    <w:basedOn w:val="Title"/>
    <w:next w:val="Normal"/>
    <w:autoRedefine/>
    <w:uiPriority w:val="99"/>
    <w:unhideWhenUsed/>
    <w:qFormat/>
    <w:rsid w:val="007F4815"/>
    <w:rPr>
      <w:caps w:val="0"/>
    </w:rPr>
  </w:style>
  <w:style w:type="character" w:customStyle="1" w:styleId="Heading1Char">
    <w:name w:val="Heading 1 Char"/>
    <w:basedOn w:val="DefaultParagraphFont"/>
    <w:link w:val="Heading1"/>
    <w:uiPriority w:val="9"/>
    <w:rsid w:val="002144AE"/>
    <w:rPr>
      <w:rFonts w:eastAsiaTheme="majorEastAsia" w:cstheme="majorBidi"/>
      <w:b/>
      <w:bCs/>
      <w:caps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144AE"/>
    <w:rPr>
      <w:rFonts w:eastAsiaTheme="majorEastAsia" w:cstheme="majorBidi"/>
      <w:b/>
      <w:bCs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4AE"/>
    <w:rPr>
      <w:rFonts w:eastAsiaTheme="majorEastAsia" w:cstheme="majorBidi"/>
      <w:bCs/>
      <w:i/>
      <w:iCs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144AE"/>
    <w:pPr>
      <w:pBdr>
        <w:bottom w:val="single" w:sz="8" w:space="4" w:color="000000" w:themeColor="text1"/>
      </w:pBdr>
      <w:tabs>
        <w:tab w:val="center" w:pos="4249"/>
      </w:tabs>
      <w:spacing w:after="300" w:line="360" w:lineRule="auto"/>
      <w:contextualSpacing/>
      <w:jc w:val="center"/>
    </w:pPr>
    <w:rPr>
      <w:rFonts w:eastAsiaTheme="majorEastAsia" w:cstheme="majorBidi"/>
      <w:caps/>
      <w:spacing w:val="5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144AE"/>
    <w:rPr>
      <w:rFonts w:eastAsiaTheme="majorEastAsia" w:cstheme="majorBidi"/>
      <w:caps/>
      <w:spacing w:val="5"/>
      <w:kern w:val="28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A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8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FD6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FD6AE6"/>
    <w:pPr>
      <w:spacing w:after="120" w:line="240" w:lineRule="auto"/>
      <w:jc w:val="center"/>
    </w:pPr>
    <w:rPr>
      <w:rFonts w:ascii="Arial" w:hAnsi="Arial"/>
      <w:b/>
      <w:bCs/>
      <w:color w:val="4F81BD" w:themeColor="accent1"/>
      <w:sz w:val="20"/>
      <w:szCs w:val="18"/>
    </w:rPr>
  </w:style>
  <w:style w:type="paragraph" w:customStyle="1" w:styleId="EndNoteBibliography">
    <w:name w:val="EndNote Bibliography"/>
    <w:basedOn w:val="Normal"/>
    <w:rsid w:val="00FD6AE6"/>
    <w:pPr>
      <w:spacing w:line="240" w:lineRule="auto"/>
    </w:pPr>
    <w:rPr>
      <w:lang w:val="en-US"/>
    </w:rPr>
  </w:style>
  <w:style w:type="paragraph" w:customStyle="1" w:styleId="Default">
    <w:name w:val="Default"/>
    <w:rsid w:val="00FD6AE6"/>
    <w:pPr>
      <w:widowControl w:val="0"/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6A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6A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AE6"/>
    <w:rPr>
      <w:rFonts w:eastAsiaTheme="minorHAnsi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FD6A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AE6"/>
    <w:rPr>
      <w:rFonts w:eastAsiaTheme="minorHAnsi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doi.org/10.1186/1472-6947-12-123" TargetMode="Externa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header" Target="header3.xml"/><Relationship Id="rId23" Type="http://schemas.openxmlformats.org/officeDocument/2006/relationships/footer" Target="footer3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yperlink" Target="http://www.telemedicine-momentum.eu/wp-content/uploads/2015/02/D3.4_v1.0_ValidatedBlueprint.pdf" TargetMode="External"/><Relationship Id="rId11" Type="http://schemas.openxmlformats.org/officeDocument/2006/relationships/hyperlink" Target="https://doi.org/10.1371/journal.pmed.1001049" TargetMode="External"/><Relationship Id="rId12" Type="http://schemas.openxmlformats.org/officeDocument/2006/relationships/hyperlink" Target="http://apps.who.int/iris/bitstream/10665/44180/1/9789241598521_eng.pdf" TargetMode="External"/><Relationship Id="rId13" Type="http://schemas.openxmlformats.org/officeDocument/2006/relationships/hyperlink" Target="http://www.who.int/immunization/hpv/deliver/nine_steps_for_developing_a_scalingup_strategy_who_2010.pdf" TargetMode="External"/><Relationship Id="rId14" Type="http://schemas.openxmlformats.org/officeDocument/2006/relationships/hyperlink" Target="http://www.expandnet.net/PDFs/ExpandNet-WHO%20-%20Beginning%20with%20the%20end%20in%20mind%20-%202011.pdf" TargetMode="External"/><Relationship Id="rId15" Type="http://schemas.openxmlformats.org/officeDocument/2006/relationships/hyperlink" Target="http://www.msiworldwide.com" TargetMode="External"/><Relationship Id="rId16" Type="http://schemas.openxmlformats.org/officeDocument/2006/relationships/hyperlink" Target="http://www.msiworldwide.com/wp-content/uploads/Scaling-Up-Framework.pdf" TargetMode="External"/><Relationship Id="rId17" Type="http://schemas.openxmlformats.org/officeDocument/2006/relationships/hyperlink" Target="http://www.2020health.org/2020health/Publications/Publications-2010/telehealth.html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apps.who.int/iris/bitstream/10665/185238/1/9789241509510_eng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5236</Words>
  <Characters>34040</Characters>
  <Application>Microsoft Macintosh Word</Application>
  <DocSecurity>0</DocSecurity>
  <Lines>1480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UKZN</Company>
  <LinksUpToDate>false</LinksUpToDate>
  <CharactersWithSpaces>38840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Laticha Walters</dc:creator>
  <cp:keywords/>
  <dc:description/>
  <cp:lastModifiedBy>Laticha Walters</cp:lastModifiedBy>
  <cp:revision>3</cp:revision>
  <dcterms:created xsi:type="dcterms:W3CDTF">2018-04-17T09:15:00Z</dcterms:created>
  <dcterms:modified xsi:type="dcterms:W3CDTF">2018-07-17T10:00:00Z</dcterms:modified>
  <cp:category/>
</cp:coreProperties>
</file>