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30" w:rsidRPr="002B6E30" w:rsidRDefault="002B6E30" w:rsidP="002B6E30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Additional File 1</w:t>
      </w:r>
    </w:p>
    <w:p w:rsid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 xml:space="preserve">Table S1: Practice characteristics by </w:t>
      </w:r>
      <w:proofErr w:type="spellStart"/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tertile</w:t>
      </w:r>
      <w:proofErr w:type="spellEnd"/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 xml:space="preserve"> of GP consultation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  <w:gridCol w:w="2075"/>
        <w:gridCol w:w="2075"/>
      </w:tblGrid>
      <w:tr w:rsidR="002B6E30" w:rsidRPr="002B6E30" w:rsidTr="00F770EA">
        <w:tc>
          <w:tcPr>
            <w:tcW w:w="6941" w:type="dxa"/>
          </w:tcPr>
          <w:p w:rsidR="002B6E30" w:rsidRPr="002B6E30" w:rsidRDefault="002B6E30" w:rsidP="002B6E30"/>
        </w:tc>
        <w:tc>
          <w:tcPr>
            <w:tcW w:w="6225" w:type="dxa"/>
            <w:gridSpan w:val="3"/>
          </w:tcPr>
          <w:p w:rsidR="002B6E30" w:rsidRPr="002B6E30" w:rsidRDefault="002B6E30" w:rsidP="002B6E30">
            <w:r w:rsidRPr="002B6E30">
              <w:t>Mean (SD)/ N (%)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/>
        </w:tc>
        <w:tc>
          <w:tcPr>
            <w:tcW w:w="6225" w:type="dxa"/>
            <w:gridSpan w:val="3"/>
          </w:tcPr>
          <w:p w:rsidR="002B6E30" w:rsidRPr="002B6E30" w:rsidRDefault="002B6E30" w:rsidP="002B6E30">
            <w:proofErr w:type="spellStart"/>
            <w:r w:rsidRPr="002B6E30">
              <w:t>Tertile</w:t>
            </w:r>
            <w:proofErr w:type="spellEnd"/>
            <w:r w:rsidRPr="002B6E30">
              <w:t xml:space="preserve"> of GP consultation rate (per person-year)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Variable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&lt; 3.25 (N=91)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3.25 to 4 (N=97)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 to 12.9 (N=95)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GP consultation rate (per patient person-year)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2.60 (0.61)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3.61 (0.23)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4.98 (1.18)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Nurse consultation rate (per patient person-year)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1.15 (0.71)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1.41 (0.80)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1.47 (0.80)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FTE GPs per 1000 patients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0.51 (0.16)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0.56 (0.13)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0.59 (0.16)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FTE Nurses per 1000 patients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0.24 (0.10)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0.25 (0.11)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0.27 (0.19)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patients in most deprived quintile of IMD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16.3 (20.8)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17.9 (22.8)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16.0 (22.4)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 patients female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50.7 (1.82)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50.6 (1.49)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50.7 (1.13)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patients over 64 years old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16.3 (6.19)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17.3 (6.04)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18.7 (6.09)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Number of deaths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54.0 (36.3)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75.1 (49.7)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74.6 (43.8)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Number of hospital admissions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1868 (1117)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2521 (1505)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2247 (1215)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List size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8936 (4106)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10546 (5166)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9889 (4697)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Patient person years of follow-up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7312 (4068)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9320 (4962)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8249 (3913)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Training practice (yes)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28 (30.8%)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51 (52.6%)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41 (43.2%)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Urban practice (yes)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82 (90.1%)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84 (86.6%)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71 (74.7%)</w:t>
            </w:r>
          </w:p>
        </w:tc>
      </w:tr>
    </w:tbl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2B6E30" w:rsidRPr="002B6E30" w:rsidRDefault="002B6E30" w:rsidP="002B6E30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br w:type="page"/>
      </w:r>
    </w:p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lastRenderedPageBreak/>
        <w:t xml:space="preserve">Table S2: Practice characteristics by </w:t>
      </w:r>
      <w:proofErr w:type="spellStart"/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tertile</w:t>
      </w:r>
      <w:proofErr w:type="spellEnd"/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 xml:space="preserve"> of nurse consultation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  <w:gridCol w:w="2075"/>
        <w:gridCol w:w="2075"/>
      </w:tblGrid>
      <w:tr w:rsidR="002B6E30" w:rsidRPr="002B6E30" w:rsidTr="00F770EA">
        <w:tc>
          <w:tcPr>
            <w:tcW w:w="6941" w:type="dxa"/>
          </w:tcPr>
          <w:p w:rsidR="002B6E30" w:rsidRPr="002B6E30" w:rsidRDefault="002B6E30" w:rsidP="002B6E30"/>
        </w:tc>
        <w:tc>
          <w:tcPr>
            <w:tcW w:w="6225" w:type="dxa"/>
            <w:gridSpan w:val="3"/>
          </w:tcPr>
          <w:p w:rsidR="002B6E30" w:rsidRPr="002B6E30" w:rsidRDefault="002B6E30" w:rsidP="002B6E30">
            <w:r w:rsidRPr="002B6E30">
              <w:t>Mean (SD)/ N (%)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/>
        </w:tc>
        <w:tc>
          <w:tcPr>
            <w:tcW w:w="6225" w:type="dxa"/>
            <w:gridSpan w:val="3"/>
          </w:tcPr>
          <w:p w:rsidR="002B6E30" w:rsidRPr="002B6E30" w:rsidRDefault="002B6E30" w:rsidP="002B6E30">
            <w:proofErr w:type="spellStart"/>
            <w:r w:rsidRPr="002B6E30">
              <w:t>Tertile</w:t>
            </w:r>
            <w:proofErr w:type="spellEnd"/>
            <w:r w:rsidRPr="002B6E30">
              <w:t xml:space="preserve"> of nurse consultation rate (per person-year)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Variable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&lt; 0.90 (N=93)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0.90 to 1.56 (N=91)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1.56 to 3.80 (N=99)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GP consultation rate (per patient person-year)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3.31 (1.06)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3.86 (1.10)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4.05 (1.41)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Nurse consultation rate (per patient person-year)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0.56 (0.28)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1.20 (0.19)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2.21 (0.52)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FTE GPs per 1000 patients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0.54 (0.16)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0.52 (0.12)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0.59 (0.17)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FTE Nurses per 1000 patients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0.20 (0.09)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0.23 (0.08)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0.32 (0.19)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patients in most deprived quintile of IMD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21.7 (23.5)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12.3 (19.7)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16.1 (21.7)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 patients female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50.5 (1.84)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50.8 (1.22)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50.7 (1.36)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Percentage of patients over 64 years old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15.1 (5.82)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17.6 (5.66)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19.6 (6.19)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Number of deaths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54.0 (39.7)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74.5 (41.8)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75.5 (48.6)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Number of hospital admissions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1898 (1183)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2404 (1255)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2350 (1442)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List size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8872 (4194)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10299 (4459)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10236 (5294)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Patient person years of follow-up in 2013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7311 (4074)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9200 (4408)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8444 (4563)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Training practice (yes)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30 (32.3%)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46 (50.6%)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44 (44.4%)</w:t>
            </w:r>
          </w:p>
        </w:tc>
      </w:tr>
      <w:tr w:rsidR="002B6E30" w:rsidRPr="002B6E30" w:rsidTr="00F770EA">
        <w:tc>
          <w:tcPr>
            <w:tcW w:w="6941" w:type="dxa"/>
          </w:tcPr>
          <w:p w:rsidR="002B6E30" w:rsidRPr="002B6E30" w:rsidRDefault="002B6E30" w:rsidP="002B6E30">
            <w:r w:rsidRPr="002B6E30">
              <w:t>Urban practice (yes)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86 (92.5%)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75 (82.4%)</w:t>
            </w:r>
          </w:p>
        </w:tc>
        <w:tc>
          <w:tcPr>
            <w:tcW w:w="2075" w:type="dxa"/>
          </w:tcPr>
          <w:p w:rsidR="002B6E30" w:rsidRPr="002B6E30" w:rsidRDefault="002B6E30" w:rsidP="002B6E30">
            <w:r w:rsidRPr="002B6E30">
              <w:t>76 (76.8%)</w:t>
            </w:r>
          </w:p>
        </w:tc>
      </w:tr>
    </w:tbl>
    <w:p w:rsidR="002B6E30" w:rsidRPr="002B6E30" w:rsidRDefault="002B6E30" w:rsidP="002B6E30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br w:type="page"/>
      </w:r>
    </w:p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lastRenderedPageBreak/>
        <w:t>Table S3: Percentage of practices in each decile of QOF performance or GPPS domain (N=283)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1383"/>
        <w:gridCol w:w="1490"/>
        <w:gridCol w:w="1608"/>
        <w:gridCol w:w="1042"/>
        <w:gridCol w:w="1328"/>
        <w:gridCol w:w="1175"/>
        <w:gridCol w:w="1267"/>
        <w:gridCol w:w="1740"/>
        <w:gridCol w:w="1112"/>
        <w:gridCol w:w="1132"/>
      </w:tblGrid>
      <w:tr w:rsidR="002B6E30" w:rsidRPr="002B6E30" w:rsidTr="00F770EA">
        <w:tc>
          <w:tcPr>
            <w:tcW w:w="0" w:type="auto"/>
          </w:tcPr>
          <w:p w:rsidR="002B6E30" w:rsidRPr="002B6E30" w:rsidRDefault="002B6E30" w:rsidP="002B6E30"/>
        </w:tc>
        <w:tc>
          <w:tcPr>
            <w:tcW w:w="0" w:type="auto"/>
          </w:tcPr>
          <w:p w:rsidR="002B6E30" w:rsidRPr="002B6E30" w:rsidRDefault="002B6E30" w:rsidP="002B6E30"/>
        </w:tc>
        <w:tc>
          <w:tcPr>
            <w:tcW w:w="0" w:type="auto"/>
            <w:gridSpan w:val="7"/>
          </w:tcPr>
          <w:p w:rsidR="002B6E30" w:rsidRPr="002B6E30" w:rsidRDefault="002B6E30" w:rsidP="002B6E30">
            <w:pPr>
              <w:rPr>
                <w:highlight w:val="yellow"/>
              </w:rPr>
            </w:pPr>
            <w:r w:rsidRPr="002B6E30">
              <w:t>GPPS satisfaction measures</w:t>
            </w:r>
          </w:p>
        </w:tc>
        <w:tc>
          <w:tcPr>
            <w:tcW w:w="0" w:type="auto"/>
          </w:tcPr>
          <w:p w:rsidR="002B6E30" w:rsidRPr="002B6E30" w:rsidRDefault="002B6E30" w:rsidP="002B6E30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2B6E30" w:rsidRPr="002B6E30" w:rsidRDefault="002B6E30" w:rsidP="002B6E30">
            <w:pPr>
              <w:rPr>
                <w:highlight w:val="yellow"/>
              </w:rPr>
            </w:pP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QOF achievement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Able to get an appointment to see or speak to someone (% "Yes"),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Convenience of appointment (% "Convenient"),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How long until actually saw or spoke to GP / nurse (% "Same or next day"),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Is GP surgery currently open at times that are convenient (% "Yes"),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Ease of getting through to someone at GP surgery on the phone (% "Easy"),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Frequency of seeing preferred GP (% "Always" or "Almost always"),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Recommending GP surgery to someone who has just moved to area (% "Yes"),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GPPS Response rate (%), decile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Long-standing health condition (% "Yes"), decile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4.2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6.7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10.6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2.5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13.1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5.7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6.7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13.4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13.1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15.2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10.6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15.2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10.6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6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14.8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9.2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15.9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10.6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15.2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13.8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14.8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9.2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6.0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17.3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11.3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12.4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6.7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5.3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9.9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9.5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5.3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10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18.0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7.1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8.8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8.5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10.6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10.3</w:t>
            </w:r>
          </w:p>
        </w:tc>
      </w:tr>
      <w:tr w:rsidR="002B6E30" w:rsidRPr="002B6E30" w:rsidTr="00F770EA">
        <w:tc>
          <w:tcPr>
            <w:tcW w:w="0" w:type="auto"/>
          </w:tcPr>
          <w:p w:rsidR="002B6E30" w:rsidRPr="002B6E30" w:rsidRDefault="002B6E30" w:rsidP="002B6E30">
            <w:r w:rsidRPr="002B6E30">
              <w:t>Missing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0.4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1.1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  <w:tc>
          <w:tcPr>
            <w:tcW w:w="0" w:type="auto"/>
          </w:tcPr>
          <w:p w:rsidR="002B6E30" w:rsidRPr="002B6E30" w:rsidRDefault="002B6E30" w:rsidP="002B6E30">
            <w:r w:rsidRPr="002B6E30">
              <w:t>0.0</w:t>
            </w:r>
          </w:p>
        </w:tc>
      </w:tr>
    </w:tbl>
    <w:p w:rsidR="002B6E30" w:rsidRPr="002B6E30" w:rsidRDefault="002B6E30" w:rsidP="002B6E30"/>
    <w:p w:rsidR="002B6E30" w:rsidRPr="002B6E30" w:rsidRDefault="002B6E30" w:rsidP="002B6E30">
      <w:r w:rsidRPr="002B6E30">
        <w:br w:type="page"/>
      </w:r>
    </w:p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lastRenderedPageBreak/>
        <w:t>Table S4: Association between practice characteristics and decile of patient satisfaction measures related to access (adjusted results from ordinal logistic regression modelling).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054"/>
        <w:gridCol w:w="543"/>
        <w:gridCol w:w="635"/>
        <w:gridCol w:w="779"/>
        <w:gridCol w:w="779"/>
        <w:gridCol w:w="911"/>
        <w:gridCol w:w="774"/>
        <w:gridCol w:w="774"/>
        <w:gridCol w:w="905"/>
        <w:gridCol w:w="911"/>
        <w:gridCol w:w="779"/>
        <w:gridCol w:w="1043"/>
      </w:tblGrid>
      <w:tr w:rsidR="002B6E30" w:rsidRPr="002B6E30" w:rsidTr="00F770EA">
        <w:trPr>
          <w:trHeight w:hRule="exact" w:val="7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6E30" w:rsidRPr="002B6E30" w:rsidRDefault="002B6E30" w:rsidP="002B6E30">
            <w:pPr>
              <w:rPr>
                <w:sz w:val="18"/>
                <w:szCs w:val="18"/>
              </w:rPr>
            </w:pPr>
            <w:r w:rsidRPr="002B6E30">
              <w:rPr>
                <w:sz w:val="18"/>
                <w:szCs w:val="18"/>
              </w:rPr>
              <w:t>Ease of getting through to someone at GP surgery on the phone (% "Easy")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rPr>
                <w:sz w:val="18"/>
                <w:szCs w:val="18"/>
              </w:rPr>
            </w:pPr>
            <w:r w:rsidRPr="002B6E30">
              <w:rPr>
                <w:sz w:val="18"/>
                <w:szCs w:val="18"/>
              </w:rPr>
              <w:t>Frequency of seeing preferred GP (% "Always" or "Almost always")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Able to get an appointment to see or speak to someone (% "Yes")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How long until actually saw or spoke to GP / nurse (% "Same or next day")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List size (per 1000 patients)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1.02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GP consultation rate (per patient person-year)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1.60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Nurse consultation rate (per patient person-year)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1.39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aged over 64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who are female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1.10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Number of FTE doctors per 1000 patients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7.04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12.74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3.37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Number of FTE nurses per 1000 patients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10.18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32.06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Urban location (compared to rural)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1.42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in most deprived quintile of IMD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Training practice (yes compared to no)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2.24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GPPS response rate decile (1 = lowest response rate)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11.86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21.68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10.45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21.76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35.27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12.89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5.64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30.95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36.94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18.49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44.17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23.95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8.34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56.54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12.39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6.66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61.63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9.62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110.83</w:t>
            </w:r>
          </w:p>
        </w:tc>
      </w:tr>
    </w:tbl>
    <w:p w:rsidR="002B6E30" w:rsidRPr="002B6E30" w:rsidRDefault="002B6E30" w:rsidP="002B6E30">
      <w:r w:rsidRPr="002B6E30">
        <w:br/>
      </w:r>
    </w:p>
    <w:p w:rsidR="002B6E30" w:rsidRPr="002B6E30" w:rsidRDefault="002B6E30" w:rsidP="002B6E30">
      <w:r w:rsidRPr="002B6E30">
        <w:br w:type="page"/>
      </w:r>
    </w:p>
    <w:p w:rsidR="002B6E30" w:rsidRPr="002B6E30" w:rsidRDefault="002B6E30" w:rsidP="002B6E30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2B6E30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lastRenderedPageBreak/>
        <w:t>Table S5: Association between practice characteristics and decile of patient satisfaction measures related to convenience and recommendations (adjusted results from ordinal logistic regression modelling).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844"/>
        <w:gridCol w:w="844"/>
        <w:gridCol w:w="987"/>
        <w:gridCol w:w="1076"/>
        <w:gridCol w:w="1076"/>
        <w:gridCol w:w="1259"/>
        <w:gridCol w:w="1199"/>
        <w:gridCol w:w="1199"/>
        <w:gridCol w:w="1403"/>
      </w:tblGrid>
      <w:tr w:rsidR="002B6E30" w:rsidRPr="002B6E30" w:rsidTr="00F770EA">
        <w:trPr>
          <w:trHeight w:hRule="exact" w:val="6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Convenience of appointment (% "Convenient")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Is GP surgery currently open at times that are convenient (% "Yes")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Recommending GP surgery to someone who has just moved to area (% "Yes")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List size (per 1000 patients)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GP consultation rate (per patient person-year)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Nurse consultation rate (per patient person-year)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aged over 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1.05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who are female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Number of FTE doctors per 1000 patients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3.74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Number of FTE nurses per 1000 patients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51.26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8.07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Urban location (compared to rural)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1.15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Percentage of patients in most deprived quintile of IMD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1.00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  <w:r w:rsidRPr="002B6E30">
              <w:rPr>
                <w:rFonts w:cstheme="minorHAnsi"/>
                <w:sz w:val="18"/>
                <w:szCs w:val="18"/>
              </w:rPr>
              <w:t>Training practice (yes compared to no)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1.76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GPPS response rate decile (1 = lowest response rate)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1.24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1.28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8.42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3.15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0.82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2.15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10.59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4.51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7.75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5.26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10.38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3.90</w:t>
            </w:r>
          </w:p>
        </w:tc>
      </w:tr>
      <w:tr w:rsidR="002B6E30" w:rsidRPr="002B6E30" w:rsidTr="00F770EA">
        <w:trPr>
          <w:trHeight w:hRule="exact" w:val="266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E30" w:rsidRPr="002B6E30" w:rsidRDefault="002B6E30" w:rsidP="002B6E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2B6E30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9.31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</w:tcPr>
          <w:p w:rsidR="002B6E30" w:rsidRPr="002B6E30" w:rsidRDefault="002B6E30" w:rsidP="002B6E3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B6E30">
              <w:rPr>
                <w:rFonts w:cstheme="minorHAnsi"/>
                <w:color w:val="000000"/>
                <w:sz w:val="18"/>
                <w:szCs w:val="18"/>
              </w:rPr>
              <w:t>11.34</w:t>
            </w:r>
          </w:p>
        </w:tc>
      </w:tr>
    </w:tbl>
    <w:p w:rsidR="002B6E30" w:rsidRPr="002B6E30" w:rsidRDefault="002B6E30" w:rsidP="002B6E30"/>
    <w:p w:rsidR="0005067C" w:rsidRDefault="0005067C"/>
    <w:sectPr w:rsidR="0005067C" w:rsidSect="00EF3AC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880"/>
    <w:multiLevelType w:val="hybridMultilevel"/>
    <w:tmpl w:val="AB44C3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11D0"/>
    <w:multiLevelType w:val="hybridMultilevel"/>
    <w:tmpl w:val="2CBC6E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30"/>
    <w:rsid w:val="0005067C"/>
    <w:rsid w:val="0023041B"/>
    <w:rsid w:val="002B6E30"/>
    <w:rsid w:val="0051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E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E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6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E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2B6E30"/>
  </w:style>
  <w:style w:type="paragraph" w:styleId="ListParagraph">
    <w:name w:val="List Paragraph"/>
    <w:basedOn w:val="Normal"/>
    <w:uiPriority w:val="34"/>
    <w:qFormat/>
    <w:rsid w:val="002B6E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6E3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B6E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2B6E3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6E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E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E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E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E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E3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E30"/>
    <w:rPr>
      <w:color w:val="605E5C"/>
      <w:shd w:val="clear" w:color="auto" w:fill="E1DFDD"/>
    </w:rPr>
  </w:style>
  <w:style w:type="character" w:customStyle="1" w:styleId="highwire-citation-authors">
    <w:name w:val="highwire-citation-authors"/>
    <w:basedOn w:val="DefaultParagraphFont"/>
    <w:rsid w:val="002B6E30"/>
  </w:style>
  <w:style w:type="character" w:customStyle="1" w:styleId="nlm-given-names">
    <w:name w:val="nlm-given-names"/>
    <w:basedOn w:val="DefaultParagraphFont"/>
    <w:rsid w:val="002B6E30"/>
  </w:style>
  <w:style w:type="character" w:customStyle="1" w:styleId="apple-converted-space">
    <w:name w:val="apple-converted-space"/>
    <w:basedOn w:val="DefaultParagraphFont"/>
    <w:rsid w:val="002B6E30"/>
  </w:style>
  <w:style w:type="character" w:customStyle="1" w:styleId="nlm-surname">
    <w:name w:val="nlm-surname"/>
    <w:basedOn w:val="DefaultParagraphFont"/>
    <w:rsid w:val="002B6E30"/>
  </w:style>
  <w:style w:type="character" w:customStyle="1" w:styleId="highwire-cite-title">
    <w:name w:val="highwire-cite-title"/>
    <w:basedOn w:val="DefaultParagraphFont"/>
    <w:rsid w:val="002B6E30"/>
  </w:style>
  <w:style w:type="character" w:customStyle="1" w:styleId="highwire-cite-metadata-journal">
    <w:name w:val="highwire-cite-metadata-journal"/>
    <w:basedOn w:val="DefaultParagraphFont"/>
    <w:rsid w:val="002B6E30"/>
  </w:style>
  <w:style w:type="character" w:customStyle="1" w:styleId="highwire-cite-metadata-date">
    <w:name w:val="highwire-cite-metadata-date"/>
    <w:basedOn w:val="DefaultParagraphFont"/>
    <w:rsid w:val="002B6E30"/>
  </w:style>
  <w:style w:type="character" w:customStyle="1" w:styleId="highwire-cite-metadata-volume">
    <w:name w:val="highwire-cite-metadata-volume"/>
    <w:basedOn w:val="DefaultParagraphFont"/>
    <w:rsid w:val="002B6E30"/>
  </w:style>
  <w:style w:type="character" w:customStyle="1" w:styleId="highwire-cite-metadata-issue">
    <w:name w:val="highwire-cite-metadata-issue"/>
    <w:basedOn w:val="DefaultParagraphFont"/>
    <w:rsid w:val="002B6E30"/>
  </w:style>
  <w:style w:type="character" w:customStyle="1" w:styleId="highwire-cite-metadata-pages">
    <w:name w:val="highwire-cite-metadata-pages"/>
    <w:basedOn w:val="DefaultParagraphFont"/>
    <w:rsid w:val="002B6E30"/>
  </w:style>
  <w:style w:type="character" w:customStyle="1" w:styleId="highwire-cite-metadata-doi">
    <w:name w:val="highwire-cite-metadata-doi"/>
    <w:basedOn w:val="DefaultParagraphFont"/>
    <w:rsid w:val="002B6E30"/>
  </w:style>
  <w:style w:type="character" w:customStyle="1" w:styleId="label">
    <w:name w:val="label"/>
    <w:basedOn w:val="DefaultParagraphFont"/>
    <w:rsid w:val="002B6E30"/>
  </w:style>
  <w:style w:type="character" w:styleId="FollowedHyperlink">
    <w:name w:val="FollowedHyperlink"/>
    <w:basedOn w:val="DefaultParagraphFont"/>
    <w:uiPriority w:val="99"/>
    <w:semiHidden/>
    <w:unhideWhenUsed/>
    <w:rsid w:val="002B6E3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30"/>
  </w:style>
  <w:style w:type="paragraph" w:styleId="Footer">
    <w:name w:val="footer"/>
    <w:basedOn w:val="Normal"/>
    <w:link w:val="FooterChar"/>
    <w:uiPriority w:val="99"/>
    <w:unhideWhenUsed/>
    <w:rsid w:val="002B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E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E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6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E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2B6E30"/>
  </w:style>
  <w:style w:type="paragraph" w:styleId="ListParagraph">
    <w:name w:val="List Paragraph"/>
    <w:basedOn w:val="Normal"/>
    <w:uiPriority w:val="34"/>
    <w:qFormat/>
    <w:rsid w:val="002B6E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6E3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2B6E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2B6E3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6E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E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E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E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E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E3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E30"/>
    <w:rPr>
      <w:color w:val="605E5C"/>
      <w:shd w:val="clear" w:color="auto" w:fill="E1DFDD"/>
    </w:rPr>
  </w:style>
  <w:style w:type="character" w:customStyle="1" w:styleId="highwire-citation-authors">
    <w:name w:val="highwire-citation-authors"/>
    <w:basedOn w:val="DefaultParagraphFont"/>
    <w:rsid w:val="002B6E30"/>
  </w:style>
  <w:style w:type="character" w:customStyle="1" w:styleId="nlm-given-names">
    <w:name w:val="nlm-given-names"/>
    <w:basedOn w:val="DefaultParagraphFont"/>
    <w:rsid w:val="002B6E30"/>
  </w:style>
  <w:style w:type="character" w:customStyle="1" w:styleId="apple-converted-space">
    <w:name w:val="apple-converted-space"/>
    <w:basedOn w:val="DefaultParagraphFont"/>
    <w:rsid w:val="002B6E30"/>
  </w:style>
  <w:style w:type="character" w:customStyle="1" w:styleId="nlm-surname">
    <w:name w:val="nlm-surname"/>
    <w:basedOn w:val="DefaultParagraphFont"/>
    <w:rsid w:val="002B6E30"/>
  </w:style>
  <w:style w:type="character" w:customStyle="1" w:styleId="highwire-cite-title">
    <w:name w:val="highwire-cite-title"/>
    <w:basedOn w:val="DefaultParagraphFont"/>
    <w:rsid w:val="002B6E30"/>
  </w:style>
  <w:style w:type="character" w:customStyle="1" w:styleId="highwire-cite-metadata-journal">
    <w:name w:val="highwire-cite-metadata-journal"/>
    <w:basedOn w:val="DefaultParagraphFont"/>
    <w:rsid w:val="002B6E30"/>
  </w:style>
  <w:style w:type="character" w:customStyle="1" w:styleId="highwire-cite-metadata-date">
    <w:name w:val="highwire-cite-metadata-date"/>
    <w:basedOn w:val="DefaultParagraphFont"/>
    <w:rsid w:val="002B6E30"/>
  </w:style>
  <w:style w:type="character" w:customStyle="1" w:styleId="highwire-cite-metadata-volume">
    <w:name w:val="highwire-cite-metadata-volume"/>
    <w:basedOn w:val="DefaultParagraphFont"/>
    <w:rsid w:val="002B6E30"/>
  </w:style>
  <w:style w:type="character" w:customStyle="1" w:styleId="highwire-cite-metadata-issue">
    <w:name w:val="highwire-cite-metadata-issue"/>
    <w:basedOn w:val="DefaultParagraphFont"/>
    <w:rsid w:val="002B6E30"/>
  </w:style>
  <w:style w:type="character" w:customStyle="1" w:styleId="highwire-cite-metadata-pages">
    <w:name w:val="highwire-cite-metadata-pages"/>
    <w:basedOn w:val="DefaultParagraphFont"/>
    <w:rsid w:val="002B6E30"/>
  </w:style>
  <w:style w:type="character" w:customStyle="1" w:styleId="highwire-cite-metadata-doi">
    <w:name w:val="highwire-cite-metadata-doi"/>
    <w:basedOn w:val="DefaultParagraphFont"/>
    <w:rsid w:val="002B6E30"/>
  </w:style>
  <w:style w:type="character" w:customStyle="1" w:styleId="label">
    <w:name w:val="label"/>
    <w:basedOn w:val="DefaultParagraphFont"/>
    <w:rsid w:val="002B6E30"/>
  </w:style>
  <w:style w:type="character" w:styleId="FollowedHyperlink">
    <w:name w:val="FollowedHyperlink"/>
    <w:basedOn w:val="DefaultParagraphFont"/>
    <w:uiPriority w:val="99"/>
    <w:semiHidden/>
    <w:unhideWhenUsed/>
    <w:rsid w:val="002B6E3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30"/>
  </w:style>
  <w:style w:type="paragraph" w:styleId="Footer">
    <w:name w:val="footer"/>
    <w:basedOn w:val="Normal"/>
    <w:link w:val="FooterChar"/>
    <w:uiPriority w:val="99"/>
    <w:unhideWhenUsed/>
    <w:rsid w:val="002B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Lay-Flurrie</dc:creator>
  <cp:lastModifiedBy>Joseph Minus</cp:lastModifiedBy>
  <cp:revision>2</cp:revision>
  <dcterms:created xsi:type="dcterms:W3CDTF">2019-03-22T10:52:00Z</dcterms:created>
  <dcterms:modified xsi:type="dcterms:W3CDTF">2019-03-22T10:52:00Z</dcterms:modified>
</cp:coreProperties>
</file>