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441" w:rsidRPr="00ED42FB" w:rsidRDefault="00E10441" w:rsidP="00E10441">
      <w:pPr>
        <w:spacing w:line="480" w:lineRule="auto"/>
        <w:jc w:val="center"/>
        <w:rPr>
          <w:rFonts w:ascii="Arial" w:hAnsi="Arial" w:cs="Arial"/>
          <w:b/>
          <w:sz w:val="24"/>
        </w:rPr>
      </w:pPr>
      <w:r w:rsidRPr="00ED42FB">
        <w:rPr>
          <w:rFonts w:ascii="Arial" w:hAnsi="Arial" w:cs="Arial"/>
          <w:b/>
          <w:sz w:val="24"/>
        </w:rPr>
        <w:t xml:space="preserve">ADDITIONAL FILE </w:t>
      </w:r>
      <w:r w:rsidR="00E02ECB">
        <w:rPr>
          <w:rFonts w:ascii="Arial" w:hAnsi="Arial" w:cs="Arial"/>
          <w:b/>
          <w:sz w:val="24"/>
        </w:rPr>
        <w:t>1</w:t>
      </w:r>
      <w:bookmarkStart w:id="0" w:name="_GoBack"/>
      <w:bookmarkEnd w:id="0"/>
    </w:p>
    <w:p w:rsidR="0035166B" w:rsidRDefault="00E10441" w:rsidP="00E10441">
      <w:pPr>
        <w:spacing w:after="0" w:line="480" w:lineRule="auto"/>
        <w:rPr>
          <w:rFonts w:ascii="Arial" w:hAnsi="Arial" w:cs="Arial"/>
          <w:lang w:val="en-US"/>
        </w:rPr>
      </w:pPr>
      <w:r w:rsidRPr="00ED42FB">
        <w:rPr>
          <w:rFonts w:ascii="Arial" w:hAnsi="Arial" w:cs="Arial"/>
          <w:b/>
          <w:i/>
          <w:lang w:val="en-US"/>
        </w:rPr>
        <w:t xml:space="preserve">Statistical </w:t>
      </w:r>
      <w:r w:rsidR="0060358D">
        <w:rPr>
          <w:rFonts w:ascii="Arial" w:hAnsi="Arial" w:cs="Arial"/>
          <w:b/>
          <w:i/>
          <w:lang w:val="en-US"/>
        </w:rPr>
        <w:t>a</w:t>
      </w:r>
      <w:r w:rsidRPr="00ED42FB">
        <w:rPr>
          <w:rFonts w:ascii="Arial" w:hAnsi="Arial" w:cs="Arial"/>
          <w:b/>
          <w:i/>
          <w:lang w:val="en-US"/>
        </w:rPr>
        <w:t>nalysis</w:t>
      </w:r>
      <w:r w:rsidR="00A306D5">
        <w:rPr>
          <w:rFonts w:ascii="Arial" w:hAnsi="Arial" w:cs="Arial"/>
          <w:b/>
          <w:i/>
          <w:lang w:val="en-US"/>
        </w:rPr>
        <w:t xml:space="preserve"> </w:t>
      </w: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 xml:space="preserve">Summaries of patient demographic characteristics for each site were calculated and the outcomes were investigated with respect to sex and age groups. Two modelling phases were undertaken for each outcome. First, </w:t>
      </w:r>
      <w:r w:rsidR="00874ED8" w:rsidRPr="003C4C11">
        <w:rPr>
          <w:rFonts w:ascii="Arial" w:eastAsiaTheme="minorEastAsia" w:hAnsi="Arial" w:cs="Arial"/>
          <w:lang w:val="en-AU"/>
        </w:rPr>
        <w:t xml:space="preserve">preliminary logistic regression models were </w:t>
      </w:r>
      <w:r w:rsidR="00874ED8">
        <w:rPr>
          <w:rFonts w:ascii="Arial" w:eastAsiaTheme="minorEastAsia" w:hAnsi="Arial" w:cs="Arial"/>
          <w:lang w:val="en-AU"/>
        </w:rPr>
        <w:t>prepared</w:t>
      </w:r>
      <w:r w:rsidR="00874ED8" w:rsidRPr="003C4C11">
        <w:rPr>
          <w:rFonts w:ascii="Arial" w:eastAsiaTheme="minorEastAsia" w:hAnsi="Arial" w:cs="Arial"/>
          <w:lang w:val="en-AU"/>
        </w:rPr>
        <w:t xml:space="preserve"> for each study </w:t>
      </w:r>
      <w:r w:rsidR="004C5FE0">
        <w:rPr>
          <w:rFonts w:ascii="Arial" w:eastAsiaTheme="minorEastAsia" w:hAnsi="Arial" w:cs="Arial"/>
          <w:lang w:val="en-AU"/>
        </w:rPr>
        <w:t>emergency department (</w:t>
      </w:r>
      <w:r w:rsidR="00874ED8">
        <w:rPr>
          <w:rFonts w:ascii="Arial" w:eastAsiaTheme="minorEastAsia" w:hAnsi="Arial" w:cs="Arial"/>
          <w:lang w:val="en-AU"/>
        </w:rPr>
        <w:t>ED</w:t>
      </w:r>
      <w:r w:rsidR="004C5FE0">
        <w:rPr>
          <w:rFonts w:ascii="Arial" w:eastAsiaTheme="minorEastAsia" w:hAnsi="Arial" w:cs="Arial"/>
          <w:lang w:val="en-AU"/>
        </w:rPr>
        <w:t>)</w:t>
      </w:r>
      <w:r w:rsidR="00874ED8">
        <w:rPr>
          <w:rFonts w:ascii="Arial" w:eastAsiaTheme="minorEastAsia" w:hAnsi="Arial" w:cs="Arial"/>
          <w:lang w:val="en-AU"/>
        </w:rPr>
        <w:t xml:space="preserve"> to investigate facility-level</w:t>
      </w:r>
      <w:r w:rsidR="00874ED8" w:rsidRPr="003C4C11">
        <w:rPr>
          <w:rFonts w:ascii="Arial" w:eastAsiaTheme="minorEastAsia" w:hAnsi="Arial" w:cs="Arial"/>
          <w:lang w:val="en-AU"/>
        </w:rPr>
        <w:t xml:space="preserve"> intervention effects. </w:t>
      </w:r>
      <w:r w:rsidR="00874ED8">
        <w:rPr>
          <w:rFonts w:ascii="Arial" w:eastAsiaTheme="minorEastAsia" w:hAnsi="Arial" w:cs="Arial"/>
          <w:lang w:val="en-AU"/>
        </w:rPr>
        <w:t>Following this</w:t>
      </w:r>
      <w:r w:rsidR="00874ED8" w:rsidRPr="003C4C11">
        <w:rPr>
          <w:rFonts w:ascii="Arial" w:eastAsiaTheme="minorEastAsia" w:hAnsi="Arial" w:cs="Arial"/>
          <w:lang w:val="en-AU"/>
        </w:rPr>
        <w:t xml:space="preserve">, </w:t>
      </w:r>
      <w:r w:rsidR="00874ED8">
        <w:rPr>
          <w:rFonts w:ascii="Arial" w:eastAsiaTheme="minorEastAsia" w:hAnsi="Arial" w:cs="Arial"/>
          <w:lang w:val="en-AU"/>
        </w:rPr>
        <w:t xml:space="preserve">a </w:t>
      </w:r>
      <w:r w:rsidR="00874ED8" w:rsidRPr="00874ED8">
        <w:rPr>
          <w:rFonts w:ascii="Arial" w:hAnsi="Arial" w:cs="Arial"/>
          <w:lang w:val="en-US"/>
        </w:rPr>
        <w:t xml:space="preserve">Generalized Linear Mixed Model (GLMM) </w:t>
      </w:r>
      <w:r w:rsidR="00874ED8" w:rsidRPr="003C4C11">
        <w:rPr>
          <w:rFonts w:ascii="Arial" w:eastAsiaTheme="minorEastAsia" w:hAnsi="Arial" w:cs="Arial"/>
          <w:lang w:val="en-AU"/>
        </w:rPr>
        <w:t>w</w:t>
      </w:r>
      <w:r w:rsidR="00874ED8">
        <w:rPr>
          <w:rFonts w:ascii="Arial" w:eastAsiaTheme="minorEastAsia" w:hAnsi="Arial" w:cs="Arial"/>
          <w:lang w:val="en-AU"/>
        </w:rPr>
        <w:t xml:space="preserve">as </w:t>
      </w:r>
      <w:r w:rsidR="004C5FE0">
        <w:rPr>
          <w:rFonts w:ascii="Arial" w:eastAsiaTheme="minorEastAsia" w:hAnsi="Arial" w:cs="Arial"/>
          <w:lang w:val="en-AU"/>
        </w:rPr>
        <w:t>prepared</w:t>
      </w:r>
      <w:r w:rsidR="00874ED8">
        <w:rPr>
          <w:rFonts w:ascii="Arial" w:eastAsiaTheme="minorEastAsia" w:hAnsi="Arial" w:cs="Arial"/>
          <w:lang w:val="en-AU"/>
        </w:rPr>
        <w:t xml:space="preserve"> to investigate</w:t>
      </w:r>
      <w:r w:rsidR="00874ED8" w:rsidRPr="003C4C11">
        <w:rPr>
          <w:rFonts w:ascii="Arial" w:eastAsiaTheme="minorEastAsia" w:hAnsi="Arial" w:cs="Arial"/>
          <w:lang w:val="en-AU"/>
        </w:rPr>
        <w:t xml:space="preserve"> </w:t>
      </w:r>
      <w:r w:rsidR="00874ED8" w:rsidRPr="005F470E">
        <w:rPr>
          <w:rFonts w:ascii="Arial" w:eastAsiaTheme="minorEastAsia" w:hAnsi="Arial" w:cs="Arial"/>
          <w:lang w:val="en-AU"/>
        </w:rPr>
        <w:t xml:space="preserve">the </w:t>
      </w:r>
      <w:r w:rsidR="00874ED8">
        <w:rPr>
          <w:rFonts w:ascii="Arial" w:eastAsiaTheme="minorEastAsia" w:hAnsi="Arial" w:cs="Arial"/>
          <w:lang w:val="en-AU"/>
        </w:rPr>
        <w:t>average</w:t>
      </w:r>
      <w:r w:rsidR="00874ED8" w:rsidRPr="005F470E">
        <w:rPr>
          <w:rFonts w:ascii="Arial" w:eastAsiaTheme="minorEastAsia" w:hAnsi="Arial" w:cs="Arial"/>
          <w:lang w:val="en-AU"/>
        </w:rPr>
        <w:t xml:space="preserve"> intervention effect</w:t>
      </w:r>
      <w:r w:rsidR="00874ED8">
        <w:rPr>
          <w:rFonts w:ascii="Arial" w:eastAsiaTheme="minorEastAsia" w:hAnsi="Arial" w:cs="Arial"/>
          <w:lang w:val="en-AU"/>
        </w:rPr>
        <w:t xml:space="preserve"> among all study EDs</w:t>
      </w:r>
      <w:r w:rsidR="00874ED8" w:rsidRPr="003C4C11">
        <w:rPr>
          <w:rFonts w:ascii="Arial" w:eastAsiaTheme="minorEastAsia" w:hAnsi="Arial" w:cs="Arial"/>
          <w:lang w:val="en-AU"/>
        </w:rPr>
        <w:t xml:space="preserve">. Preliminary analyses </w:t>
      </w:r>
      <w:r w:rsidR="00874ED8">
        <w:rPr>
          <w:rFonts w:ascii="Arial" w:eastAsiaTheme="minorEastAsia" w:hAnsi="Arial" w:cs="Arial"/>
          <w:lang w:val="en-AU"/>
        </w:rPr>
        <w:t>identified a need to adjust fo</w:t>
      </w:r>
      <w:r w:rsidR="00874ED8" w:rsidRPr="003C4C11">
        <w:rPr>
          <w:rFonts w:ascii="Arial" w:eastAsiaTheme="minorEastAsia" w:hAnsi="Arial" w:cs="Arial"/>
          <w:lang w:val="en-AU"/>
        </w:rPr>
        <w:t xml:space="preserve">r varying intercepts, trends and intervention effects between </w:t>
      </w:r>
      <w:r w:rsidR="00874ED8">
        <w:rPr>
          <w:rFonts w:ascii="Arial" w:eastAsiaTheme="minorEastAsia" w:hAnsi="Arial" w:cs="Arial"/>
          <w:lang w:val="en-AU"/>
        </w:rPr>
        <w:t>study sites</w:t>
      </w:r>
      <w:r w:rsidR="00874ED8" w:rsidRPr="003C4C11">
        <w:rPr>
          <w:rFonts w:ascii="Arial" w:eastAsiaTheme="minorEastAsia" w:hAnsi="Arial" w:cs="Arial"/>
          <w:lang w:val="en-AU"/>
        </w:rPr>
        <w:t xml:space="preserve">. </w:t>
      </w:r>
      <w:r w:rsidR="00874ED8">
        <w:rPr>
          <w:rFonts w:ascii="Arial" w:eastAsiaTheme="minorEastAsia" w:hAnsi="Arial" w:cs="Arial"/>
          <w:lang w:val="en-AU"/>
        </w:rPr>
        <w:t>In all</w:t>
      </w:r>
      <w:r w:rsidR="00874ED8" w:rsidRPr="003C4C11">
        <w:rPr>
          <w:rFonts w:ascii="Arial" w:eastAsiaTheme="minorEastAsia" w:hAnsi="Arial" w:cs="Arial"/>
          <w:lang w:val="en-AU"/>
        </w:rPr>
        <w:t xml:space="preserve"> models</w:t>
      </w:r>
      <w:r w:rsidR="00874ED8">
        <w:rPr>
          <w:rFonts w:ascii="Arial" w:eastAsiaTheme="minorEastAsia" w:hAnsi="Arial" w:cs="Arial"/>
          <w:lang w:val="en-AU"/>
        </w:rPr>
        <w:t xml:space="preserve">, the </w:t>
      </w:r>
      <w:r w:rsidR="00874ED8" w:rsidRPr="003C4C11">
        <w:rPr>
          <w:rFonts w:ascii="Arial" w:eastAsiaTheme="minorEastAsia" w:hAnsi="Arial" w:cs="Arial"/>
          <w:lang w:val="en-AU"/>
        </w:rPr>
        <w:t xml:space="preserve">key parameter of interest was the </w:t>
      </w:r>
      <w:r w:rsidR="00874ED8">
        <w:rPr>
          <w:rFonts w:ascii="Arial" w:eastAsiaTheme="minorEastAsia" w:hAnsi="Arial" w:cs="Arial"/>
          <w:lang w:val="en-AU"/>
        </w:rPr>
        <w:t>change in the linear trend from the control period to the intervention period</w:t>
      </w:r>
      <w:r w:rsidR="00874ED8" w:rsidRPr="003C4C11">
        <w:rPr>
          <w:rFonts w:ascii="Arial" w:eastAsiaTheme="minorEastAsia" w:hAnsi="Arial" w:cs="Arial"/>
          <w:lang w:val="en-AU"/>
        </w:rPr>
        <w:t xml:space="preserve">. Parameter estimates were </w:t>
      </w:r>
      <w:r w:rsidR="00874ED8">
        <w:rPr>
          <w:rFonts w:ascii="Arial" w:eastAsiaTheme="minorEastAsia" w:hAnsi="Arial" w:cs="Arial"/>
          <w:lang w:val="en-AU"/>
        </w:rPr>
        <w:t>calculated,</w:t>
      </w:r>
      <w:r w:rsidR="00874ED8" w:rsidRPr="003C4C11">
        <w:rPr>
          <w:rFonts w:ascii="Arial" w:eastAsiaTheme="minorEastAsia" w:hAnsi="Arial" w:cs="Arial"/>
          <w:lang w:val="en-AU"/>
        </w:rPr>
        <w:t xml:space="preserve"> along with odds ratios, 95% </w:t>
      </w:r>
      <w:r w:rsidR="00874ED8">
        <w:rPr>
          <w:rFonts w:ascii="Arial" w:eastAsiaTheme="minorEastAsia" w:hAnsi="Arial" w:cs="Arial"/>
          <w:lang w:val="en-AU"/>
        </w:rPr>
        <w:t>confidence</w:t>
      </w:r>
      <w:r w:rsidR="00874ED8" w:rsidRPr="003C4C11">
        <w:rPr>
          <w:rFonts w:ascii="Arial" w:eastAsiaTheme="minorEastAsia" w:hAnsi="Arial" w:cs="Arial"/>
          <w:lang w:val="en-AU"/>
        </w:rPr>
        <w:t xml:space="preserve"> intervals and corresponding p-values.</w:t>
      </w:r>
      <w:r w:rsidR="00874ED8">
        <w:rPr>
          <w:rFonts w:ascii="Arial" w:eastAsiaTheme="minorEastAsia" w:hAnsi="Arial" w:cs="Arial"/>
          <w:lang w:val="en-AU"/>
        </w:rPr>
        <w:t xml:space="preserve"> </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u w:val="single"/>
          <w:lang w:val="en-US"/>
        </w:rPr>
      </w:pPr>
      <w:r w:rsidRPr="00874ED8">
        <w:rPr>
          <w:rFonts w:ascii="Arial" w:hAnsi="Arial" w:cs="Arial"/>
          <w:u w:val="single"/>
          <w:lang w:val="en-US"/>
        </w:rPr>
        <w:t>Site specific models</w:t>
      </w: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 xml:space="preserve">Models were </w:t>
      </w:r>
      <w:r w:rsidR="004C5FE0">
        <w:rPr>
          <w:rFonts w:ascii="Arial" w:hAnsi="Arial" w:cs="Arial"/>
          <w:lang w:val="en-US"/>
        </w:rPr>
        <w:t>prepared for</w:t>
      </w:r>
      <w:r w:rsidRPr="00874ED8">
        <w:rPr>
          <w:rFonts w:ascii="Arial" w:hAnsi="Arial" w:cs="Arial"/>
          <w:lang w:val="en-US"/>
        </w:rPr>
        <w:t xml:space="preserve"> each individual hospital using a Generalized Linear Model (GLM) assuming a Binomial distribution with logit link. The linear predictor was</w:t>
      </w:r>
      <w:r w:rsidR="004C5FE0">
        <w:rPr>
          <w:rFonts w:ascii="Arial" w:hAnsi="Arial" w:cs="Arial"/>
          <w:lang w:val="en-US"/>
        </w:rPr>
        <w:t>:</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jc w:val="center"/>
        <w:rPr>
          <w:rFonts w:ascii="Arial" w:hAnsi="Arial" w:cs="Arial"/>
          <w:lang w:val="en-US"/>
        </w:rPr>
      </w:pPr>
      <m:oMathPara>
        <m:oMath>
          <m:r>
            <m:rPr>
              <m:nor/>
            </m:rPr>
            <w:rPr>
              <w:rFonts w:ascii="Arial" w:hAnsi="Arial" w:cs="Arial"/>
            </w:rPr>
            <m:t>log</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t</m:t>
                      </m:r>
                    </m:sub>
                  </m:sSub>
                </m:num>
                <m:den>
                  <m:r>
                    <w:rPr>
                      <w:rFonts w:ascii="Cambria Math" w:hAnsi="Cambria Math" w:cs="Arial"/>
                    </w:rPr>
                    <m:t>1-</m:t>
                  </m:r>
                  <m:sSub>
                    <m:sSubPr>
                      <m:ctrlPr>
                        <w:rPr>
                          <w:rFonts w:ascii="Cambria Math" w:hAnsi="Cambria Math" w:cs="Arial"/>
                          <w:i/>
                        </w:rPr>
                      </m:ctrlPr>
                    </m:sSubPr>
                    <m:e>
                      <m:r>
                        <w:rPr>
                          <w:rFonts w:ascii="Cambria Math" w:hAnsi="Cambria Math" w:cs="Arial"/>
                        </w:rPr>
                        <m:t>p</m:t>
                      </m:r>
                    </m:e>
                    <m:sub>
                      <m:r>
                        <w:rPr>
                          <w:rFonts w:ascii="Cambria Math" w:hAnsi="Cambria Math" w:cs="Arial"/>
                        </w:rPr>
                        <m:t>t</m:t>
                      </m:r>
                    </m:sub>
                  </m:sSub>
                </m:den>
              </m:f>
            </m:e>
          </m:d>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t+</m:t>
          </m:r>
          <m:sSub>
            <m:sSubPr>
              <m:ctrlPr>
                <w:rPr>
                  <w:rFonts w:ascii="Cambria Math" w:hAnsi="Cambria Math" w:cs="Arial"/>
                  <w:i/>
                </w:rPr>
              </m:ctrlPr>
            </m:sSubPr>
            <m:e>
              <m:r>
                <w:rPr>
                  <w:rFonts w:ascii="Cambria Math" w:hAnsi="Cambria Math" w:cs="Arial"/>
                </w:rPr>
                <m:t>β</m:t>
              </m:r>
            </m:e>
            <m:sub>
              <m:r>
                <w:rPr>
                  <w:rFonts w:ascii="Cambria Math" w:hAnsi="Cambria Math" w:cs="Arial"/>
                </w:rPr>
                <m:t>2</m:t>
              </m:r>
            </m:sub>
          </m:sSub>
          <m:r>
            <w:rPr>
              <w:rFonts w:ascii="Cambria Math" w:hAnsi="Cambria Math" w:cs="Arial"/>
            </w:rPr>
            <m:t>inte</m:t>
          </m:r>
          <m:sSub>
            <m:sSubPr>
              <m:ctrlPr>
                <w:rPr>
                  <w:rFonts w:ascii="Cambria Math" w:hAnsi="Cambria Math" w:cs="Arial"/>
                  <w:i/>
                </w:rPr>
              </m:ctrlPr>
            </m:sSubPr>
            <m:e>
              <m:r>
                <w:rPr>
                  <w:rFonts w:ascii="Cambria Math" w:hAnsi="Cambria Math" w:cs="Arial"/>
                </w:rPr>
                <m:t>r</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3</m:t>
              </m:r>
            </m:sub>
          </m:sSub>
          <m:r>
            <w:rPr>
              <w:rFonts w:ascii="Cambria Math" w:hAnsi="Cambria Math" w:cs="Arial"/>
            </w:rPr>
            <m:t>t⋅inte</m:t>
          </m:r>
          <m:sSub>
            <m:sSubPr>
              <m:ctrlPr>
                <w:rPr>
                  <w:rFonts w:ascii="Cambria Math" w:hAnsi="Cambria Math" w:cs="Arial"/>
                  <w:i/>
                </w:rPr>
              </m:ctrlPr>
            </m:sSubPr>
            <m:e>
              <m:r>
                <w:rPr>
                  <w:rFonts w:ascii="Cambria Math" w:hAnsi="Cambria Math" w:cs="Arial"/>
                </w:rPr>
                <m:t>r</m:t>
              </m:r>
            </m:e>
            <m:sub>
              <m:r>
                <w:rPr>
                  <w:rFonts w:ascii="Cambria Math" w:hAnsi="Cambria Math" w:cs="Arial"/>
                </w:rPr>
                <m:t>t</m:t>
              </m:r>
            </m:sub>
          </m:sSub>
        </m:oMath>
      </m:oMathPara>
    </w:p>
    <w:p w:rsidR="00E10441" w:rsidRPr="00874ED8" w:rsidRDefault="00E10441" w:rsidP="00E10441">
      <w:pPr>
        <w:spacing w:after="0" w:line="480" w:lineRule="auto"/>
        <w:rPr>
          <w:rFonts w:ascii="Arial" w:hAnsi="Arial" w:cs="Arial"/>
          <w:highlight w:val="yellow"/>
          <w:lang w:val="en-US"/>
        </w:rPr>
      </w:pP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 xml:space="preserve">where </w:t>
      </w:r>
      <m:oMath>
        <m:sSub>
          <m:sSubPr>
            <m:ctrlPr>
              <w:rPr>
                <w:rFonts w:ascii="Cambria Math" w:hAnsi="Cambria Math" w:cs="Arial"/>
                <w:i/>
              </w:rPr>
            </m:ctrlPr>
          </m:sSubPr>
          <m:e>
            <m:r>
              <w:rPr>
                <w:rFonts w:ascii="Cambria Math" w:hAnsi="Cambria Math" w:cs="Arial"/>
              </w:rPr>
              <m:t>p</m:t>
            </m:r>
          </m:e>
          <m:sub>
            <m:r>
              <w:rPr>
                <w:rFonts w:ascii="Cambria Math" w:hAnsi="Cambria Math" w:cs="Arial"/>
              </w:rPr>
              <m:t>t</m:t>
            </m:r>
          </m:sub>
        </m:sSub>
        <m:r>
          <w:rPr>
            <w:rFonts w:ascii="Cambria Math" w:hAnsi="Cambria Math" w:cs="Arial"/>
          </w:rPr>
          <m:t xml:space="preserve"> </m:t>
        </m:r>
      </m:oMath>
      <w:r w:rsidRPr="00874ED8">
        <w:rPr>
          <w:rFonts w:ascii="Arial" w:hAnsi="Arial" w:cs="Arial"/>
          <w:lang w:val="en-US"/>
        </w:rPr>
        <w:t xml:space="preserve">was the proportion of patients reporting at time </w:t>
      </w:r>
      <m:oMath>
        <m:r>
          <w:rPr>
            <w:rFonts w:ascii="Cambria Math" w:hAnsi="Cambria Math" w:cs="Arial"/>
          </w:rPr>
          <m:t>t</m:t>
        </m:r>
      </m:oMath>
      <w:r w:rsidRPr="00874ED8">
        <w:rPr>
          <w:rFonts w:ascii="Arial" w:hAnsi="Arial" w:cs="Arial"/>
          <w:lang w:val="en-US"/>
        </w:rPr>
        <w:t xml:space="preserve"> (</w:t>
      </w:r>
      <m:oMath>
        <m:r>
          <w:rPr>
            <w:rFonts w:ascii="Cambria Math" w:hAnsi="Cambria Math" w:cs="Arial"/>
          </w:rPr>
          <m:t>t</m:t>
        </m:r>
      </m:oMath>
      <w:r w:rsidRPr="00874ED8">
        <w:rPr>
          <w:rFonts w:ascii="Arial" w:hAnsi="Arial" w:cs="Arial"/>
          <w:lang w:val="en-US"/>
        </w:rPr>
        <w:t xml:space="preserve"> centred on the first site visit for each hospital so that time was negative during the </w:t>
      </w:r>
      <w:r w:rsidR="004C5FE0">
        <w:rPr>
          <w:rFonts w:ascii="Arial" w:hAnsi="Arial" w:cs="Arial"/>
          <w:lang w:val="en-US"/>
        </w:rPr>
        <w:t>control</w:t>
      </w:r>
      <w:r w:rsidRPr="00874ED8">
        <w:rPr>
          <w:rFonts w:ascii="Arial" w:hAnsi="Arial" w:cs="Arial"/>
          <w:lang w:val="en-US"/>
        </w:rPr>
        <w:t xml:space="preserve"> period, was equal to 0 at the time of the first site visit, and was positive during the intervention period), </w:t>
      </w:r>
      <m:oMath>
        <m:r>
          <w:rPr>
            <w:rFonts w:ascii="Cambria Math" w:hAnsi="Cambria Math" w:cs="Arial"/>
          </w:rPr>
          <m:t>inte</m:t>
        </m:r>
        <m:sSub>
          <m:sSubPr>
            <m:ctrlPr>
              <w:rPr>
                <w:rFonts w:ascii="Cambria Math" w:hAnsi="Cambria Math" w:cs="Arial"/>
                <w:i/>
              </w:rPr>
            </m:ctrlPr>
          </m:sSubPr>
          <m:e>
            <m:r>
              <w:rPr>
                <w:rFonts w:ascii="Cambria Math" w:hAnsi="Cambria Math" w:cs="Arial"/>
              </w:rPr>
              <m:t>r</m:t>
            </m:r>
          </m:e>
          <m:sub>
            <m:r>
              <w:rPr>
                <w:rFonts w:ascii="Cambria Math" w:hAnsi="Cambria Math" w:cs="Arial"/>
              </w:rPr>
              <m:t xml:space="preserve">t </m:t>
            </m:r>
          </m:sub>
        </m:sSub>
      </m:oMath>
      <w:r w:rsidRPr="00874ED8">
        <w:rPr>
          <w:rFonts w:ascii="Arial" w:hAnsi="Arial" w:cs="Arial"/>
          <w:lang w:val="en-US"/>
        </w:rPr>
        <w:t xml:space="preserve">is an indicator variable taking on the value 0 before the first site visit and the value 1 at and after the first site visit, the term </w:t>
      </w:r>
      <m:oMath>
        <m:r>
          <w:rPr>
            <w:rFonts w:ascii="Cambria Math" w:hAnsi="Cambria Math" w:cs="Arial"/>
          </w:rPr>
          <m:t>t⋅inte</m:t>
        </m:r>
        <m:sSub>
          <m:sSubPr>
            <m:ctrlPr>
              <w:rPr>
                <w:rFonts w:ascii="Cambria Math" w:hAnsi="Cambria Math" w:cs="Arial"/>
                <w:i/>
              </w:rPr>
            </m:ctrlPr>
          </m:sSubPr>
          <m:e>
            <m:r>
              <w:rPr>
                <w:rFonts w:ascii="Cambria Math" w:hAnsi="Cambria Math" w:cs="Arial"/>
              </w:rPr>
              <m:t>r</m:t>
            </m:r>
          </m:e>
          <m:sub>
            <m:r>
              <w:rPr>
                <w:rFonts w:ascii="Cambria Math" w:hAnsi="Cambria Math" w:cs="Arial"/>
              </w:rPr>
              <m:t>t</m:t>
            </m:r>
          </m:sub>
        </m:sSub>
      </m:oMath>
      <w:r w:rsidRPr="00874ED8">
        <w:rPr>
          <w:rFonts w:ascii="Arial" w:hAnsi="Arial" w:cs="Arial"/>
          <w:lang w:val="en-US"/>
        </w:rPr>
        <w:t xml:space="preserve"> is an interaction variable between time and the intervention indicator to allow for different slopes in the </w:t>
      </w:r>
      <w:r w:rsidR="004C5FE0">
        <w:rPr>
          <w:rFonts w:ascii="Arial" w:hAnsi="Arial" w:cs="Arial"/>
          <w:lang w:val="en-US"/>
        </w:rPr>
        <w:t>control</w:t>
      </w:r>
      <w:r w:rsidRPr="00874ED8">
        <w:rPr>
          <w:rFonts w:ascii="Arial" w:hAnsi="Arial" w:cs="Arial"/>
          <w:lang w:val="en-US"/>
        </w:rPr>
        <w:t xml:space="preserve"> and intervention periods.</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lastRenderedPageBreak/>
        <w:t xml:space="preserve">To account for additional variance in some of the site-specific models, a dispersion parameter was included when appropriate (making it quasi-Binomial). Overdispersion was accounted for by this parameter if the sum of the squared deviance residuals divided by the residual degrees of freedom was greater than 1.5. Models in which a dispersion parameter was </w:t>
      </w:r>
      <w:r w:rsidR="004C5FE0">
        <w:rPr>
          <w:rFonts w:ascii="Arial" w:hAnsi="Arial" w:cs="Arial"/>
          <w:lang w:val="en-US"/>
        </w:rPr>
        <w:t>used</w:t>
      </w:r>
      <w:r w:rsidRPr="00874ED8">
        <w:rPr>
          <w:rFonts w:ascii="Arial" w:hAnsi="Arial" w:cs="Arial"/>
          <w:lang w:val="en-US"/>
        </w:rPr>
        <w:t xml:space="preserve"> are identified as over dispersed in the </w:t>
      </w:r>
      <w:r w:rsidR="004C5FE0">
        <w:rPr>
          <w:rFonts w:ascii="Arial" w:hAnsi="Arial" w:cs="Arial"/>
          <w:lang w:val="en-US"/>
        </w:rPr>
        <w:t>relevant T</w:t>
      </w:r>
      <w:r w:rsidRPr="00874ED8">
        <w:rPr>
          <w:rFonts w:ascii="Arial" w:hAnsi="Arial" w:cs="Arial"/>
          <w:lang w:val="en-US"/>
        </w:rPr>
        <w:t>ables</w:t>
      </w:r>
      <w:r w:rsidR="004C5FE0">
        <w:rPr>
          <w:rFonts w:ascii="Arial" w:hAnsi="Arial" w:cs="Arial"/>
          <w:lang w:val="en-US"/>
        </w:rPr>
        <w:t xml:space="preserve"> in the paper</w:t>
      </w:r>
      <w:r w:rsidRPr="00874ED8">
        <w:rPr>
          <w:rFonts w:ascii="Arial" w:hAnsi="Arial" w:cs="Arial"/>
          <w:lang w:val="en-US"/>
        </w:rPr>
        <w:t>.</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u w:val="single"/>
          <w:lang w:val="en-US"/>
        </w:rPr>
      </w:pPr>
      <w:r w:rsidRPr="00874ED8">
        <w:rPr>
          <w:rFonts w:ascii="Arial" w:hAnsi="Arial" w:cs="Arial"/>
          <w:u w:val="single"/>
          <w:lang w:val="en-US"/>
        </w:rPr>
        <w:t>Combined hospital models</w:t>
      </w: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To model all sites simultaneously and estimate the average intervention effect, a GLMM</w:t>
      </w:r>
      <w:r w:rsidR="00874ED8">
        <w:rPr>
          <w:rFonts w:ascii="Arial" w:hAnsi="Arial" w:cs="Arial"/>
          <w:lang w:val="en-US"/>
        </w:rPr>
        <w:t xml:space="preserve"> </w:t>
      </w:r>
      <w:r w:rsidRPr="00874ED8">
        <w:rPr>
          <w:rFonts w:ascii="Arial" w:hAnsi="Arial" w:cs="Arial"/>
          <w:lang w:val="en-US"/>
        </w:rPr>
        <w:t>was estimated assuming a Binomial distribution with logit link. A random intercept, slope and intervention effect (on both intercept and slope) was assumed with respect to each hospital. The linear predictor had the form</w:t>
      </w:r>
      <w:r w:rsidR="004C5FE0">
        <w:rPr>
          <w:rFonts w:ascii="Arial" w:hAnsi="Arial" w:cs="Arial"/>
          <w:lang w:val="en-US"/>
        </w:rPr>
        <w:t>:</w:t>
      </w:r>
    </w:p>
    <w:p w:rsidR="00E10441" w:rsidRPr="00874ED8" w:rsidRDefault="00E10441" w:rsidP="00E10441">
      <w:pPr>
        <w:spacing w:after="0" w:line="480" w:lineRule="auto"/>
        <w:rPr>
          <w:rFonts w:ascii="Arial" w:hAnsi="Arial" w:cs="Arial"/>
          <w:lang w:val="en-US"/>
        </w:rPr>
      </w:pPr>
    </w:p>
    <w:p w:rsidR="00E10441" w:rsidRPr="00874ED8" w:rsidRDefault="00E02ECB" w:rsidP="00E10441">
      <w:pPr>
        <w:spacing w:after="0" w:line="480" w:lineRule="auto"/>
        <w:jc w:val="center"/>
        <w:rPr>
          <w:rFonts w:ascii="Arial" w:hAnsi="Arial" w:cs="Arial"/>
          <w:lang w:val="en-US"/>
        </w:rPr>
      </w:pPr>
      <m:oMathPara>
        <m:oMath>
          <m:func>
            <m:funcPr>
              <m:ctrlPr>
                <w:rPr>
                  <w:rFonts w:ascii="Cambria Math" w:hAnsi="Cambria Math" w:cs="Arial"/>
                </w:rPr>
              </m:ctrlPr>
            </m:funcPr>
            <m:fName>
              <m:r>
                <m:rPr>
                  <m:sty m:val="p"/>
                </m:rPr>
                <w:rPr>
                  <w:rFonts w:ascii="Cambria Math" w:hAnsi="Cambria Math" w:cs="Arial"/>
                </w:rPr>
                <m:t>log</m:t>
              </m:r>
            </m:fName>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p</m:t>
                          </m:r>
                        </m:e>
                        <m:sub>
                          <m:r>
                            <w:rPr>
                              <w:rFonts w:ascii="Cambria Math" w:hAnsi="Cambria Math" w:cs="Arial"/>
                            </w:rPr>
                            <m:t>it</m:t>
                          </m:r>
                        </m:sub>
                      </m:sSub>
                    </m:num>
                    <m:den>
                      <m:r>
                        <w:rPr>
                          <w:rFonts w:ascii="Cambria Math" w:hAnsi="Cambria Math" w:cs="Arial"/>
                        </w:rPr>
                        <m:t>1-</m:t>
                      </m:r>
                      <m:sSub>
                        <m:sSubPr>
                          <m:ctrlPr>
                            <w:rPr>
                              <w:rFonts w:ascii="Cambria Math" w:hAnsi="Cambria Math" w:cs="Arial"/>
                              <w:i/>
                            </w:rPr>
                          </m:ctrlPr>
                        </m:sSubPr>
                        <m:e>
                          <m:r>
                            <w:rPr>
                              <w:rFonts w:ascii="Cambria Math" w:hAnsi="Cambria Math" w:cs="Arial"/>
                            </w:rPr>
                            <m:t>p</m:t>
                          </m:r>
                        </m:e>
                        <m:sub>
                          <m:r>
                            <w:rPr>
                              <w:rFonts w:ascii="Cambria Math" w:hAnsi="Cambria Math" w:cs="Arial"/>
                            </w:rPr>
                            <m:t>it</m:t>
                          </m:r>
                        </m:sub>
                      </m:sSub>
                    </m:den>
                  </m:f>
                </m:e>
              </m:d>
            </m:e>
          </m:func>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i0</m:t>
              </m:r>
            </m:sub>
          </m:sSub>
          <m:r>
            <w:rPr>
              <w:rFonts w:ascii="Cambria Math" w:hAnsi="Cambria Math" w:cs="Arial"/>
            </w:rPr>
            <m: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i1</m:t>
                  </m:r>
                </m:sub>
              </m:sSub>
            </m:e>
          </m:d>
          <m:r>
            <w:rPr>
              <w:rFonts w:ascii="Cambria Math" w:hAnsi="Cambria Math" w:cs="Arial"/>
            </w:rPr>
            <m:t>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2</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i2</m:t>
                  </m:r>
                </m:sub>
              </m:sSub>
            </m:e>
          </m:d>
          <m:r>
            <w:rPr>
              <w:rFonts w:ascii="Cambria Math" w:hAnsi="Cambria Math" w:cs="Arial"/>
            </w:rPr>
            <m:t>inte</m:t>
          </m:r>
          <m:sSub>
            <m:sSubPr>
              <m:ctrlPr>
                <w:rPr>
                  <w:rFonts w:ascii="Cambria Math" w:hAnsi="Cambria Math" w:cs="Arial"/>
                  <w:i/>
                </w:rPr>
              </m:ctrlPr>
            </m:sSubPr>
            <m:e>
              <m:r>
                <w:rPr>
                  <w:rFonts w:ascii="Cambria Math" w:hAnsi="Cambria Math" w:cs="Arial"/>
                </w:rPr>
                <m:t>r</m:t>
              </m:r>
            </m:e>
            <m:sub>
              <m:r>
                <w:rPr>
                  <w:rFonts w:ascii="Cambria Math" w:hAnsi="Cambria Math" w:cs="Arial"/>
                </w:rPr>
                <m:t>it</m:t>
              </m:r>
            </m:sub>
          </m:sSub>
          <m:r>
            <w:rPr>
              <w:rFonts w:ascii="Cambria Math" w:hAnsi="Cambria Math" w:cs="Arial"/>
            </w:rPr>
            <m: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3</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i3</m:t>
                  </m:r>
                </m:sub>
              </m:sSub>
            </m:e>
          </m:d>
          <m:r>
            <w:rPr>
              <w:rFonts w:ascii="Cambria Math" w:hAnsi="Cambria Math" w:cs="Arial"/>
            </w:rPr>
            <m:t>t⋅inte</m:t>
          </m:r>
          <m:sSub>
            <m:sSubPr>
              <m:ctrlPr>
                <w:rPr>
                  <w:rFonts w:ascii="Cambria Math" w:hAnsi="Cambria Math" w:cs="Arial"/>
                  <w:i/>
                </w:rPr>
              </m:ctrlPr>
            </m:sSubPr>
            <m:e>
              <m:r>
                <w:rPr>
                  <w:rFonts w:ascii="Cambria Math" w:hAnsi="Cambria Math" w:cs="Arial"/>
                </w:rPr>
                <m:t>r</m:t>
              </m:r>
            </m:e>
            <m:sub>
              <m:r>
                <w:rPr>
                  <w:rFonts w:ascii="Cambria Math" w:hAnsi="Cambria Math" w:cs="Arial"/>
                </w:rPr>
                <m:t>it</m:t>
              </m:r>
            </m:sub>
          </m:sSub>
        </m:oMath>
      </m:oMathPara>
    </w:p>
    <w:p w:rsidR="004C5FE0" w:rsidRDefault="004C5FE0"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 xml:space="preserve">Where </w:t>
      </w:r>
      <m:oMath>
        <m:sSub>
          <m:sSubPr>
            <m:ctrlPr>
              <w:rPr>
                <w:rFonts w:ascii="Cambria Math" w:hAnsi="Cambria Math" w:cs="Arial"/>
                <w:i/>
              </w:rPr>
            </m:ctrlPr>
          </m:sSubPr>
          <m:e>
            <m:r>
              <w:rPr>
                <w:rFonts w:ascii="Cambria Math" w:hAnsi="Cambria Math" w:cs="Arial"/>
              </w:rPr>
              <m:t>p</m:t>
            </m:r>
          </m:e>
          <m:sub>
            <m:r>
              <w:rPr>
                <w:rFonts w:ascii="Cambria Math" w:hAnsi="Cambria Math" w:cs="Arial"/>
              </w:rPr>
              <m:t>it</m:t>
            </m:r>
          </m:sub>
        </m:sSub>
      </m:oMath>
      <w:r w:rsidRPr="00874ED8">
        <w:rPr>
          <w:rFonts w:ascii="Arial" w:hAnsi="Arial" w:cs="Arial"/>
          <w:lang w:val="en-US"/>
        </w:rPr>
        <w:t xml:space="preserve"> was the proportion of patients in which the outcome occurred for hospital </w:t>
      </w:r>
      <m:oMath>
        <m:r>
          <w:rPr>
            <w:rFonts w:ascii="Cambria Math" w:hAnsi="Cambria Math" w:cs="Arial"/>
          </w:rPr>
          <m:t>i</m:t>
        </m:r>
      </m:oMath>
      <w:r w:rsidRPr="00874ED8">
        <w:rPr>
          <w:rFonts w:ascii="Arial" w:hAnsi="Arial" w:cs="Arial"/>
          <w:lang w:val="en-US"/>
        </w:rPr>
        <w:t xml:space="preserve"> at time </w:t>
      </w:r>
      <m:oMath>
        <m:r>
          <w:rPr>
            <w:rFonts w:ascii="Cambria Math" w:hAnsi="Cambria Math" w:cs="Arial"/>
          </w:rPr>
          <m:t>t</m:t>
        </m:r>
      </m:oMath>
      <w:r w:rsidRPr="00874ED8">
        <w:rPr>
          <w:rFonts w:ascii="Arial" w:hAnsi="Arial" w:cs="Arial"/>
          <w:lang w:val="en-US"/>
        </w:rPr>
        <w:t xml:space="preserve"> and the covariates are as defined above, except now they vary with respect to the hospital index, </w:t>
      </w:r>
      <m:oMath>
        <m:r>
          <m:rPr>
            <m:sty m:val="p"/>
          </m:rPr>
          <w:rPr>
            <w:rFonts w:ascii="Cambria Math" w:hAnsi="Cambria Math" w:cs="Arial"/>
          </w:rPr>
          <m:t>i</m:t>
        </m:r>
      </m:oMath>
      <w:r w:rsidRPr="00874ED8">
        <w:rPr>
          <w:rFonts w:ascii="Arial" w:hAnsi="Arial" w:cs="Arial"/>
          <w:lang w:val="en-US"/>
        </w:rPr>
        <w:t xml:space="preserve">. The </w:t>
      </w:r>
      <m:oMath>
        <m:sSub>
          <m:sSubPr>
            <m:ctrlPr>
              <w:rPr>
                <w:rFonts w:ascii="Cambria Math" w:hAnsi="Cambria Math" w:cs="Arial"/>
                <w:i/>
              </w:rPr>
            </m:ctrlPr>
          </m:sSubPr>
          <m:e>
            <m:r>
              <w:rPr>
                <w:rFonts w:ascii="Cambria Math" w:hAnsi="Cambria Math" w:cs="Arial"/>
              </w:rPr>
              <m:t>γ</m:t>
            </m:r>
          </m:e>
          <m:sub>
            <m:r>
              <w:rPr>
                <w:rFonts w:ascii="Cambria Math" w:hAnsi="Cambria Math" w:cs="Arial"/>
              </w:rPr>
              <m:t>ij</m:t>
            </m:r>
          </m:sub>
        </m:sSub>
      </m:oMath>
      <w:r w:rsidRPr="00874ED8">
        <w:rPr>
          <w:rFonts w:ascii="Arial" w:hAnsi="Arial" w:cs="Arial"/>
          <w:lang w:val="en-US"/>
        </w:rPr>
        <w:t xml:space="preserve"> term gives the deviation from the mean value of the </w:t>
      </w:r>
      <m:oMath>
        <m:r>
          <w:rPr>
            <w:rFonts w:ascii="Cambria Math" w:hAnsi="Cambria Math" w:cs="Arial"/>
          </w:rPr>
          <m:t>j</m:t>
        </m:r>
      </m:oMath>
      <w:r w:rsidRPr="00874ED8">
        <w:rPr>
          <w:rFonts w:ascii="Arial" w:hAnsi="Arial" w:cs="Arial"/>
          <w:lang w:val="en-US"/>
        </w:rPr>
        <w:t xml:space="preserve">th coefficient for the </w:t>
      </w:r>
      <m:oMath>
        <m:r>
          <w:rPr>
            <w:rFonts w:ascii="Cambria Math" w:hAnsi="Cambria Math" w:cs="Arial"/>
          </w:rPr>
          <m:t>i</m:t>
        </m:r>
      </m:oMath>
      <w:r w:rsidRPr="00874ED8">
        <w:rPr>
          <w:rFonts w:ascii="Arial" w:hAnsi="Arial" w:cs="Arial"/>
          <w:lang w:val="en-US"/>
        </w:rPr>
        <w:t xml:space="preserve">th  hospital; these are the random effects. The random effects are assumed to be correlated and from a Normal distribution with mean 0, i.e. </w:t>
      </w:r>
      <m:oMath>
        <m:r>
          <w:rPr>
            <w:rFonts w:ascii="Cambria Math" w:hAnsi="Cambria Math" w:cs="Arial"/>
          </w:rPr>
          <m:t>γ~N(0,</m:t>
        </m:r>
        <m:r>
          <m:rPr>
            <m:sty m:val="p"/>
          </m:rPr>
          <w:rPr>
            <w:rFonts w:ascii="Cambria Math" w:hAnsi="Cambria Math" w:cs="Arial"/>
          </w:rPr>
          <m:t>Σ</m:t>
        </m:r>
        <m:r>
          <w:rPr>
            <w:rFonts w:ascii="Cambria Math" w:hAnsi="Cambria Math" w:cs="Arial"/>
          </w:rPr>
          <m:t>)</m:t>
        </m:r>
      </m:oMath>
      <w:r w:rsidRPr="00874ED8">
        <w:rPr>
          <w:rFonts w:ascii="Arial" w:hAnsi="Arial" w:cs="Arial"/>
          <w:lang w:val="en-US"/>
        </w:rPr>
        <w:t xml:space="preserve">. </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 xml:space="preserve">For the </w:t>
      </w:r>
      <w:r w:rsidR="004C5FE0">
        <w:rPr>
          <w:rFonts w:ascii="Arial" w:hAnsi="Arial" w:cs="Arial"/>
          <w:lang w:val="en-US"/>
        </w:rPr>
        <w:t>incomplete ED visit</w:t>
      </w:r>
      <w:r w:rsidRPr="00874ED8">
        <w:rPr>
          <w:rFonts w:ascii="Arial" w:hAnsi="Arial" w:cs="Arial"/>
          <w:lang w:val="en-US"/>
        </w:rPr>
        <w:t xml:space="preserve"> outcome there were issues with the convergence of the combined model when using the logit link due to data instability, attributed to </w:t>
      </w:r>
      <w:r w:rsidR="004C5FE0">
        <w:rPr>
          <w:rFonts w:ascii="Arial" w:hAnsi="Arial" w:cs="Arial"/>
          <w:lang w:val="en-US"/>
        </w:rPr>
        <w:t>fewer years of</w:t>
      </w:r>
      <w:r w:rsidRPr="00874ED8">
        <w:rPr>
          <w:rFonts w:ascii="Arial" w:hAnsi="Arial" w:cs="Arial"/>
          <w:lang w:val="en-US"/>
        </w:rPr>
        <w:t xml:space="preserve"> data </w:t>
      </w:r>
      <w:r w:rsidR="004C5FE0">
        <w:rPr>
          <w:rFonts w:ascii="Arial" w:hAnsi="Arial" w:cs="Arial"/>
          <w:lang w:val="en-US"/>
        </w:rPr>
        <w:t>for</w:t>
      </w:r>
      <w:r w:rsidRPr="00874ED8">
        <w:rPr>
          <w:rFonts w:ascii="Arial" w:hAnsi="Arial" w:cs="Arial"/>
          <w:lang w:val="en-US"/>
        </w:rPr>
        <w:t xml:space="preserve"> hospital 8.  For this outcome, the complementary log-log link was used instead of the logit link, as this approach better handles skewed </w:t>
      </w:r>
      <w:r w:rsidR="004C5FE0">
        <w:rPr>
          <w:rFonts w:ascii="Arial" w:hAnsi="Arial" w:cs="Arial"/>
          <w:lang w:val="en-US"/>
        </w:rPr>
        <w:t>a</w:t>
      </w:r>
      <w:r w:rsidRPr="00874ED8">
        <w:rPr>
          <w:rFonts w:ascii="Arial" w:hAnsi="Arial" w:cs="Arial"/>
          <w:lang w:val="en-US"/>
        </w:rPr>
        <w:t>nd converged</w:t>
      </w:r>
      <w:r w:rsidR="004C5FE0">
        <w:rPr>
          <w:rFonts w:ascii="Arial" w:hAnsi="Arial" w:cs="Arial"/>
          <w:lang w:val="en-US"/>
        </w:rPr>
        <w:t xml:space="preserve"> data</w:t>
      </w:r>
      <w:r w:rsidRPr="00874ED8">
        <w:rPr>
          <w:rFonts w:ascii="Arial" w:hAnsi="Arial" w:cs="Arial"/>
          <w:lang w:val="en-US"/>
        </w:rPr>
        <w:t>. The complementary log-log link linear predictor had the following form</w:t>
      </w:r>
      <w:r w:rsidR="004C5FE0">
        <w:rPr>
          <w:rFonts w:ascii="Arial" w:hAnsi="Arial" w:cs="Arial"/>
          <w:lang w:val="en-US"/>
        </w:rPr>
        <w:t>:</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jc w:val="center"/>
        <w:rPr>
          <w:rFonts w:ascii="Arial" w:hAnsi="Arial" w:cs="Arial"/>
          <w:lang w:val="en-US"/>
        </w:rPr>
      </w:pPr>
      <m:oMathPara>
        <m:oMath>
          <m:r>
            <m:rPr>
              <m:sty m:val="p"/>
            </m:rPr>
            <w:rPr>
              <w:rFonts w:ascii="Cambria Math" w:hAnsi="Cambria Math" w:cs="Arial"/>
            </w:rPr>
            <m:t>log</m:t>
          </m:r>
          <m:d>
            <m:dPr>
              <m:ctrlPr>
                <w:rPr>
                  <w:rFonts w:ascii="Cambria Math" w:hAnsi="Cambria Math" w:cs="Arial"/>
                </w:rPr>
              </m:ctrlPr>
            </m:dPr>
            <m:e>
              <m:r>
                <m:rPr>
                  <m:sty m:val="p"/>
                </m:rPr>
                <w:rPr>
                  <w:rFonts w:ascii="Cambria Math" w:hAnsi="Cambria Math" w:cs="Arial"/>
                </w:rPr>
                <m:t>-log⁡</m:t>
              </m:r>
              <m:d>
                <m:dPr>
                  <m:ctrlPr>
                    <w:rPr>
                      <w:rFonts w:ascii="Cambria Math" w:hAnsi="Cambria Math" w:cs="Arial"/>
                    </w:rPr>
                  </m:ctrlPr>
                </m:dPr>
                <m:e>
                  <m:r>
                    <m:rPr>
                      <m:sty m:val="p"/>
                    </m:rPr>
                    <w:rPr>
                      <w:rFonts w:ascii="Cambria Math" w:hAnsi="Cambria Math" w:cs="Arial"/>
                    </w:rPr>
                    <m:t>1-</m:t>
                  </m:r>
                  <m:sSub>
                    <m:sSubPr>
                      <m:ctrlPr>
                        <w:rPr>
                          <w:rFonts w:ascii="Cambria Math" w:hAnsi="Cambria Math" w:cs="Arial"/>
                        </w:rPr>
                      </m:ctrlPr>
                    </m:sSubPr>
                    <m:e>
                      <m:r>
                        <w:rPr>
                          <w:rFonts w:ascii="Cambria Math" w:hAnsi="Cambria Math" w:cs="Arial"/>
                        </w:rPr>
                        <m:t>p</m:t>
                      </m:r>
                    </m:e>
                    <m:sub>
                      <m:r>
                        <w:rPr>
                          <w:rFonts w:ascii="Cambria Math" w:hAnsi="Cambria Math" w:cs="Arial"/>
                        </w:rPr>
                        <m:t>it</m:t>
                      </m:r>
                    </m:sub>
                  </m:sSub>
                </m:e>
              </m:d>
            </m:e>
          </m:d>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i0</m:t>
              </m:r>
            </m:sub>
          </m:sSub>
          <m:r>
            <w:rPr>
              <w:rFonts w:ascii="Cambria Math" w:hAnsi="Cambria Math" w:cs="Arial"/>
            </w:rPr>
            <m: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i1</m:t>
                  </m:r>
                </m:sub>
              </m:sSub>
            </m:e>
          </m:d>
          <m:r>
            <w:rPr>
              <w:rFonts w:ascii="Cambria Math" w:hAnsi="Cambria Math" w:cs="Arial"/>
            </w:rPr>
            <m:t>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2</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i2</m:t>
                  </m:r>
                </m:sub>
              </m:sSub>
            </m:e>
          </m:d>
          <m:sSub>
            <m:sSubPr>
              <m:ctrlPr>
                <w:rPr>
                  <w:rFonts w:ascii="Cambria Math" w:hAnsi="Cambria Math" w:cs="Arial"/>
                  <w:i/>
                </w:rPr>
              </m:ctrlPr>
            </m:sSubPr>
            <m:e>
              <m:r>
                <w:rPr>
                  <w:rFonts w:ascii="Cambria Math" w:hAnsi="Cambria Math" w:cs="Arial"/>
                </w:rPr>
                <m:t>inter</m:t>
              </m:r>
            </m:e>
            <m:sub>
              <m:r>
                <w:rPr>
                  <w:rFonts w:ascii="Cambria Math" w:hAnsi="Cambria Math" w:cs="Arial"/>
                </w:rPr>
                <m:t>it</m:t>
              </m:r>
            </m:sub>
          </m:sSub>
          <m:r>
            <w:rPr>
              <w:rFonts w:ascii="Cambria Math" w:hAnsi="Cambria Math" w:cs="Arial"/>
            </w:rPr>
            <m: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β</m:t>
                  </m:r>
                </m:e>
                <m:sub>
                  <m:r>
                    <w:rPr>
                      <w:rFonts w:ascii="Cambria Math" w:hAnsi="Cambria Math" w:cs="Arial"/>
                    </w:rPr>
                    <m:t>3</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i3</m:t>
                  </m:r>
                </m:sub>
              </m:sSub>
            </m:e>
          </m:d>
          <m:r>
            <w:rPr>
              <w:rFonts w:ascii="Cambria Math" w:hAnsi="Cambria Math" w:cs="Arial"/>
            </w:rPr>
            <m:t>t⋅</m:t>
          </m:r>
          <m:sSub>
            <m:sSubPr>
              <m:ctrlPr>
                <w:rPr>
                  <w:rFonts w:ascii="Cambria Math" w:hAnsi="Cambria Math" w:cs="Arial"/>
                  <w:i/>
                </w:rPr>
              </m:ctrlPr>
            </m:sSubPr>
            <m:e>
              <m:r>
                <w:rPr>
                  <w:rFonts w:ascii="Cambria Math" w:hAnsi="Cambria Math" w:cs="Arial"/>
                </w:rPr>
                <m:t>inter</m:t>
              </m:r>
              <m:r>
                <m:rPr>
                  <m:nor/>
                </m:rPr>
                <w:rPr>
                  <w:rFonts w:ascii="Arial" w:hAnsi="Arial" w:cs="Arial"/>
                </w:rPr>
                <m:t xml:space="preserve"> </m:t>
              </m:r>
            </m:e>
            <m:sub>
              <m:r>
                <w:rPr>
                  <w:rFonts w:ascii="Cambria Math" w:hAnsi="Cambria Math" w:cs="Arial"/>
                </w:rPr>
                <m:t>it</m:t>
              </m:r>
            </m:sub>
          </m:sSub>
        </m:oMath>
      </m:oMathPara>
    </w:p>
    <w:p w:rsidR="00E10441" w:rsidRPr="00874ED8" w:rsidRDefault="00E10441" w:rsidP="00E10441">
      <w:pPr>
        <w:spacing w:after="0" w:line="480" w:lineRule="auto"/>
        <w:rPr>
          <w:rFonts w:ascii="Arial" w:hAnsi="Arial" w:cs="Arial"/>
          <w:u w:val="single"/>
          <w:lang w:val="en-US"/>
        </w:rPr>
      </w:pPr>
      <w:r w:rsidRPr="00874ED8">
        <w:rPr>
          <w:rFonts w:ascii="Arial" w:hAnsi="Arial" w:cs="Arial"/>
          <w:u w:val="single"/>
          <w:lang w:val="en-US"/>
        </w:rPr>
        <w:lastRenderedPageBreak/>
        <w:t>Intervention effects</w:t>
      </w: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 xml:space="preserve">The GLMM approach allows estimation of the intervention effect at an average hospital (referred to as the population level prediction) as well as at each individual hospital considered in the study. The population level predictions were conditional (random effects set to zero) as opposed to marginal (integration over the random effects); the interpretations of each type of prediction differ and the conditional predictions were deemed more appropriate for this scenario. The predictions differ because the population-average evolution (marginal prediction) is not the same as the evolution for an average hospital (conditional prediction with random effects all set to zero). Given that implementation occurs at an individual hospital the conditional predictions were considered more informative for the intervention effect if implemented at a new hospital. </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 xml:space="preserve">The parameters of most interest in </w:t>
      </w:r>
      <w:r w:rsidR="004C5FE0">
        <w:rPr>
          <w:rFonts w:ascii="Arial" w:hAnsi="Arial" w:cs="Arial"/>
          <w:lang w:val="en-US"/>
        </w:rPr>
        <w:t>all</w:t>
      </w:r>
      <w:r w:rsidRPr="00874ED8">
        <w:rPr>
          <w:rFonts w:ascii="Arial" w:hAnsi="Arial" w:cs="Arial"/>
          <w:lang w:val="en-US"/>
        </w:rPr>
        <w:t xml:space="preserve"> models are</w:t>
      </w:r>
      <w:r w:rsidR="004C5FE0">
        <w:rPr>
          <w:rFonts w:ascii="Arial" w:hAnsi="Arial" w:cs="Arial"/>
          <w:lang w:val="en-US"/>
        </w:rPr>
        <w:t>:</w:t>
      </w:r>
    </w:p>
    <w:p w:rsidR="00E10441" w:rsidRPr="00874ED8" w:rsidRDefault="00E10441" w:rsidP="00E10441">
      <w:pPr>
        <w:spacing w:after="0" w:line="480" w:lineRule="auto"/>
        <w:rPr>
          <w:rFonts w:ascii="Arial" w:hAnsi="Arial" w:cs="Arial"/>
          <w:lang w:val="en-US"/>
        </w:rPr>
      </w:pPr>
    </w:p>
    <w:p w:rsidR="00E10441" w:rsidRPr="00874ED8" w:rsidRDefault="00E02ECB" w:rsidP="00E10441">
      <w:pPr>
        <w:spacing w:after="0" w:line="480" w:lineRule="auto"/>
        <w:ind w:left="720"/>
        <w:rPr>
          <w:rFonts w:ascii="Arial" w:hAnsi="Arial" w:cs="Arial"/>
          <w:lang w:val="en-US"/>
        </w:rPr>
      </w:pPr>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oMath>
      <w:r w:rsidR="00E10441" w:rsidRPr="00874ED8">
        <w:rPr>
          <w:rFonts w:ascii="Arial" w:hAnsi="Arial" w:cs="Arial"/>
          <w:lang w:val="en-US"/>
        </w:rPr>
        <w:t xml:space="preserve">, the </w:t>
      </w:r>
      <w:r w:rsidR="004C5FE0">
        <w:rPr>
          <w:rFonts w:ascii="Arial" w:hAnsi="Arial" w:cs="Arial"/>
          <w:lang w:val="en-US"/>
        </w:rPr>
        <w:t>control period</w:t>
      </w:r>
      <w:r w:rsidR="00E10441" w:rsidRPr="00874ED8">
        <w:rPr>
          <w:rFonts w:ascii="Arial" w:hAnsi="Arial" w:cs="Arial"/>
          <w:lang w:val="en-US"/>
        </w:rPr>
        <w:t xml:space="preserve"> linear trend (pre-intervention slope) in terms of the log-odds (or complementary log-log </w:t>
      </w:r>
      <w:r w:rsidR="004C5FE0">
        <w:rPr>
          <w:rFonts w:ascii="Arial" w:hAnsi="Arial" w:cs="Arial"/>
          <w:lang w:val="en-US"/>
        </w:rPr>
        <w:t>for</w:t>
      </w:r>
      <w:r w:rsidR="00E10441" w:rsidRPr="00874ED8">
        <w:rPr>
          <w:rFonts w:ascii="Arial" w:hAnsi="Arial" w:cs="Arial"/>
          <w:lang w:val="en-US"/>
        </w:rPr>
        <w:t xml:space="preserve"> the </w:t>
      </w:r>
      <w:r w:rsidR="004C5FE0">
        <w:rPr>
          <w:rFonts w:ascii="Arial" w:hAnsi="Arial" w:cs="Arial"/>
          <w:lang w:val="en-US"/>
        </w:rPr>
        <w:t>incomplete ED visit outcome</w:t>
      </w:r>
      <w:r w:rsidR="00E10441" w:rsidRPr="00874ED8">
        <w:rPr>
          <w:rFonts w:ascii="Arial" w:hAnsi="Arial" w:cs="Arial"/>
          <w:lang w:val="en-US"/>
        </w:rPr>
        <w:t>) of the outcome occurring.</w:t>
      </w:r>
    </w:p>
    <w:p w:rsidR="00E10441" w:rsidRPr="00874ED8" w:rsidRDefault="00E02ECB" w:rsidP="00E10441">
      <w:pPr>
        <w:spacing w:after="0" w:line="480" w:lineRule="auto"/>
        <w:ind w:left="720"/>
        <w:rPr>
          <w:rFonts w:ascii="Arial" w:hAnsi="Arial" w:cs="Arial"/>
          <w:lang w:val="en-US"/>
        </w:rPr>
      </w:pPr>
      <m:oMath>
        <m:sSub>
          <m:sSubPr>
            <m:ctrlPr>
              <w:rPr>
                <w:rFonts w:ascii="Cambria Math" w:hAnsi="Cambria Math" w:cs="Arial"/>
                <w:i/>
              </w:rPr>
            </m:ctrlPr>
          </m:sSubPr>
          <m:e>
            <m:r>
              <w:rPr>
                <w:rFonts w:ascii="Cambria Math" w:hAnsi="Cambria Math" w:cs="Arial"/>
              </w:rPr>
              <m:t>β</m:t>
            </m:r>
          </m:e>
          <m:sub>
            <m:r>
              <w:rPr>
                <w:rFonts w:ascii="Cambria Math" w:hAnsi="Cambria Math" w:cs="Arial"/>
              </w:rPr>
              <m:t>3</m:t>
            </m:r>
          </m:sub>
        </m:sSub>
      </m:oMath>
      <w:r w:rsidR="00E10441" w:rsidRPr="00874ED8">
        <w:rPr>
          <w:rFonts w:ascii="Arial" w:hAnsi="Arial" w:cs="Arial"/>
          <w:lang w:val="en-US"/>
        </w:rPr>
        <w:t xml:space="preserve">, the change in the linear trend (change in slope) from the </w:t>
      </w:r>
      <w:r w:rsidR="004C5FE0">
        <w:rPr>
          <w:rFonts w:ascii="Arial" w:hAnsi="Arial" w:cs="Arial"/>
          <w:lang w:val="en-US"/>
        </w:rPr>
        <w:t>control</w:t>
      </w:r>
      <w:r w:rsidR="00E10441" w:rsidRPr="00874ED8">
        <w:rPr>
          <w:rFonts w:ascii="Arial" w:hAnsi="Arial" w:cs="Arial"/>
          <w:lang w:val="en-US"/>
        </w:rPr>
        <w:t xml:space="preserve"> period to the intervention period in terms of the log-odds of the outcome occurring.</w:t>
      </w:r>
    </w:p>
    <w:p w:rsidR="00E10441" w:rsidRPr="00874ED8" w:rsidRDefault="00E02ECB" w:rsidP="00E10441">
      <w:pPr>
        <w:spacing w:after="0" w:line="480" w:lineRule="auto"/>
        <w:ind w:left="720"/>
        <w:rPr>
          <w:rFonts w:ascii="Arial" w:hAnsi="Arial" w:cs="Arial"/>
          <w:lang w:val="en-US"/>
        </w:rPr>
      </w:pPr>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3</m:t>
            </m:r>
          </m:sub>
        </m:sSub>
      </m:oMath>
      <w:r w:rsidR="00E10441" w:rsidRPr="00874ED8">
        <w:rPr>
          <w:rFonts w:ascii="Arial" w:hAnsi="Arial" w:cs="Arial"/>
          <w:lang w:val="en-US"/>
        </w:rPr>
        <w:t xml:space="preserve">, the intervention </w:t>
      </w:r>
      <w:r w:rsidR="004C5FE0">
        <w:rPr>
          <w:rFonts w:ascii="Arial" w:hAnsi="Arial" w:cs="Arial"/>
          <w:lang w:val="en-US"/>
        </w:rPr>
        <w:t xml:space="preserve">period </w:t>
      </w:r>
      <w:r w:rsidR="00E10441" w:rsidRPr="00874ED8">
        <w:rPr>
          <w:rFonts w:ascii="Arial" w:hAnsi="Arial" w:cs="Arial"/>
          <w:lang w:val="en-US"/>
        </w:rPr>
        <w:t>linear trend (intervention slope) in terms of the log-odds of the outcome occurring (the combined pre-intervention trend, and the change in trend associated with the intervention).</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The contrasts of interest listed above were exponentiated when appropriate to derive odds ratios which were presented along with 95% confidence intervals (CI). P-values for fixed effects are based on Wald tests using z-scores; likelihood ratio tests gave similar values.</w:t>
      </w:r>
    </w:p>
    <w:p w:rsidR="00E10441" w:rsidRPr="00874ED8" w:rsidRDefault="00E10441" w:rsidP="00E10441">
      <w:pPr>
        <w:spacing w:after="0" w:line="480" w:lineRule="auto"/>
        <w:rPr>
          <w:rFonts w:ascii="Arial" w:hAnsi="Arial" w:cs="Arial"/>
          <w:lang w:val="en-US"/>
        </w:rPr>
      </w:pPr>
    </w:p>
    <w:p w:rsidR="00E10441" w:rsidRPr="00874ED8" w:rsidRDefault="00E10441" w:rsidP="00E10441">
      <w:pPr>
        <w:spacing w:after="0" w:line="480" w:lineRule="auto"/>
        <w:rPr>
          <w:rFonts w:ascii="Arial" w:hAnsi="Arial" w:cs="Arial"/>
          <w:lang w:val="en-US"/>
        </w:rPr>
      </w:pPr>
      <w:r w:rsidRPr="00874ED8">
        <w:rPr>
          <w:rFonts w:ascii="Arial" w:hAnsi="Arial" w:cs="Arial"/>
          <w:lang w:val="en-US"/>
        </w:rPr>
        <w:t>Data management and aggregations were performed in SAS version 9.3. The analyses were conducted in R version 3.2.1 (2015-06-18) using the glm</w:t>
      </w:r>
      <w:r w:rsidRPr="00ED42FB">
        <w:rPr>
          <w:rFonts w:ascii="Arial" w:hAnsi="Arial" w:cs="Arial"/>
          <w:lang w:val="en-US"/>
        </w:rPr>
        <w:t xml:space="preserve"> and </w:t>
      </w:r>
      <w:r w:rsidRPr="00874ED8">
        <w:rPr>
          <w:rFonts w:ascii="Arial" w:hAnsi="Arial" w:cs="Arial"/>
          <w:lang w:val="en-US"/>
        </w:rPr>
        <w:t>glmer</w:t>
      </w:r>
      <w:r w:rsidRPr="00ED42FB">
        <w:rPr>
          <w:rFonts w:ascii="Arial" w:hAnsi="Arial" w:cs="Arial"/>
          <w:lang w:val="en-US"/>
        </w:rPr>
        <w:t xml:space="preserve"> functions from the stats and lme4 (version 1.1.8) packages respectively (Bates</w:t>
      </w:r>
      <w:r w:rsidR="00D97C24">
        <w:rPr>
          <w:rFonts w:ascii="Arial" w:hAnsi="Arial" w:cs="Arial"/>
          <w:lang w:val="en-US"/>
        </w:rPr>
        <w:t>,</w:t>
      </w:r>
      <w:r w:rsidRPr="00ED42FB">
        <w:rPr>
          <w:rFonts w:ascii="Arial" w:hAnsi="Arial" w:cs="Arial"/>
          <w:lang w:val="en-US"/>
        </w:rPr>
        <w:t xml:space="preserve"> Maechler</w:t>
      </w:r>
      <w:r w:rsidR="00D97C24">
        <w:rPr>
          <w:rFonts w:ascii="Arial" w:hAnsi="Arial" w:cs="Arial"/>
          <w:lang w:val="en-US"/>
        </w:rPr>
        <w:t>, Bolker and Walker</w:t>
      </w:r>
      <w:r w:rsidRPr="00ED42FB">
        <w:rPr>
          <w:rFonts w:ascii="Arial" w:hAnsi="Arial" w:cs="Arial"/>
          <w:lang w:val="en-US"/>
        </w:rPr>
        <w:t xml:space="preserve"> 2015). In the case of GLMMs using </w:t>
      </w:r>
      <w:r w:rsidRPr="00874ED8">
        <w:rPr>
          <w:rFonts w:ascii="Arial" w:hAnsi="Arial" w:cs="Arial"/>
          <w:lang w:val="en-US"/>
        </w:rPr>
        <w:t>glmer</w:t>
      </w:r>
      <w:r w:rsidRPr="00ED42FB">
        <w:rPr>
          <w:rFonts w:ascii="Arial" w:hAnsi="Arial" w:cs="Arial"/>
          <w:lang w:val="en-US"/>
        </w:rPr>
        <w:t>, the estimation method used was the BOBYQA algorithm (Powell 2009). Figures were constructed using the ggplot2 (Wickham 200</w:t>
      </w:r>
      <w:r w:rsidRPr="00874ED8">
        <w:rPr>
          <w:rFonts w:ascii="Arial" w:hAnsi="Arial" w:cs="Arial"/>
          <w:lang w:val="en-US"/>
        </w:rPr>
        <w:t>9, version 1.0.1) package.</w:t>
      </w:r>
    </w:p>
    <w:p w:rsidR="00E10441" w:rsidRDefault="00E10441">
      <w:pPr>
        <w:rPr>
          <w:rFonts w:ascii="Arial" w:hAnsi="Arial" w:cs="Arial"/>
        </w:rPr>
      </w:pPr>
    </w:p>
    <w:p w:rsidR="00D97C24" w:rsidRPr="00D97C24" w:rsidRDefault="00D97C24" w:rsidP="00D97C24">
      <w:pPr>
        <w:spacing w:after="0" w:line="480" w:lineRule="auto"/>
        <w:rPr>
          <w:rFonts w:ascii="Arial" w:hAnsi="Arial" w:cs="Arial"/>
          <w:b/>
          <w:i/>
          <w:lang w:val="en-US"/>
        </w:rPr>
      </w:pPr>
      <w:r w:rsidRPr="00D97C24">
        <w:rPr>
          <w:rFonts w:ascii="Arial" w:hAnsi="Arial" w:cs="Arial"/>
          <w:b/>
          <w:i/>
          <w:lang w:val="en-US"/>
        </w:rPr>
        <w:t>References</w:t>
      </w:r>
    </w:p>
    <w:p w:rsidR="00D97C24" w:rsidRDefault="00D97C24" w:rsidP="00D97C24">
      <w:pPr>
        <w:spacing w:after="0" w:line="480" w:lineRule="auto"/>
        <w:rPr>
          <w:rFonts w:ascii="Arial" w:hAnsi="Arial" w:cs="Arial"/>
          <w:lang w:val="en-US"/>
        </w:rPr>
      </w:pPr>
      <w:r w:rsidRPr="00D97C24">
        <w:rPr>
          <w:rFonts w:ascii="Arial" w:hAnsi="Arial" w:cs="Arial"/>
          <w:lang w:val="en-US"/>
        </w:rPr>
        <w:t xml:space="preserve">Bates D, Maechler M, Bolker B and Walker S (2015) lme4: Linear mixed-effects models using Eigen and S4. R package version 1.1-8, &lt;URL: </w:t>
      </w:r>
      <w:hyperlink r:id="rId6" w:history="1">
        <w:r w:rsidRPr="00B97333">
          <w:rPr>
            <w:rStyle w:val="Hyperlink"/>
            <w:rFonts w:ascii="Arial" w:hAnsi="Arial" w:cs="Arial"/>
            <w:lang w:val="en-US"/>
          </w:rPr>
          <w:t>http://CRAN.R-project.org/package=lme4</w:t>
        </w:r>
      </w:hyperlink>
      <w:r w:rsidRPr="00D97C24">
        <w:rPr>
          <w:rFonts w:ascii="Arial" w:hAnsi="Arial" w:cs="Arial"/>
          <w:lang w:val="en-US"/>
        </w:rPr>
        <w:t>&gt;.</w:t>
      </w:r>
    </w:p>
    <w:p w:rsidR="00D97C24" w:rsidRDefault="00D97C24" w:rsidP="00D97C24">
      <w:pPr>
        <w:spacing w:after="0" w:line="480" w:lineRule="auto"/>
        <w:rPr>
          <w:rFonts w:ascii="Arial" w:hAnsi="Arial" w:cs="Arial"/>
          <w:lang w:val="en-US"/>
        </w:rPr>
      </w:pPr>
    </w:p>
    <w:p w:rsidR="00D97C24" w:rsidRDefault="00D97C24" w:rsidP="00D97C24">
      <w:pPr>
        <w:spacing w:after="0" w:line="480" w:lineRule="auto"/>
        <w:rPr>
          <w:rFonts w:ascii="Arial" w:hAnsi="Arial" w:cs="Arial"/>
          <w:lang w:val="en-US"/>
        </w:rPr>
      </w:pPr>
      <w:r w:rsidRPr="00D97C24">
        <w:rPr>
          <w:rFonts w:ascii="Arial" w:hAnsi="Arial" w:cs="Arial"/>
          <w:lang w:val="en-US"/>
        </w:rPr>
        <w:t>Powell MJD (2009), "The BOBYQA algorithm for bound constrained optimization without derivatives", Report No. DAMTP 2009/NA06, Centre for Mathematical Sciences, University of Cambridge, UK.</w:t>
      </w:r>
      <w:r w:rsidRPr="00D97C24">
        <w:rPr>
          <w:rFonts w:ascii="Arial" w:hAnsi="Arial" w:cs="Arial"/>
          <w:lang w:val="en-US"/>
        </w:rPr>
        <w:tab/>
        <w:t xml:space="preserve"> </w:t>
      </w:r>
      <w:hyperlink r:id="rId7" w:history="1">
        <w:r w:rsidRPr="00B97333">
          <w:rPr>
            <w:rStyle w:val="Hyperlink"/>
            <w:rFonts w:ascii="Arial" w:hAnsi="Arial" w:cs="Arial"/>
            <w:lang w:val="en-US"/>
          </w:rPr>
          <w:t>http://www.damtp.cam.ac.uk/user/na/NA_papers/NA2009_06.pdf</w:t>
        </w:r>
      </w:hyperlink>
      <w:r w:rsidRPr="00D97C24">
        <w:rPr>
          <w:rFonts w:ascii="Arial" w:hAnsi="Arial" w:cs="Arial"/>
          <w:lang w:val="en-US"/>
        </w:rPr>
        <w:t>.</w:t>
      </w:r>
      <w:r>
        <w:rPr>
          <w:rFonts w:ascii="Arial" w:hAnsi="Arial" w:cs="Arial"/>
          <w:lang w:val="en-US"/>
        </w:rPr>
        <w:t xml:space="preserve"> </w:t>
      </w:r>
    </w:p>
    <w:p w:rsidR="00D97C24" w:rsidRDefault="00D97C24" w:rsidP="00D97C24">
      <w:pPr>
        <w:spacing w:after="0" w:line="480" w:lineRule="auto"/>
        <w:rPr>
          <w:rFonts w:ascii="Arial" w:hAnsi="Arial" w:cs="Arial"/>
          <w:lang w:val="en-US"/>
        </w:rPr>
      </w:pPr>
    </w:p>
    <w:p w:rsidR="00D97C24" w:rsidRPr="00B7420A" w:rsidRDefault="00D97C24" w:rsidP="00D97C24">
      <w:pPr>
        <w:spacing w:after="0" w:line="480" w:lineRule="auto"/>
        <w:rPr>
          <w:rFonts w:ascii="Arial" w:eastAsia="Cambria" w:hAnsi="Arial"/>
          <w:szCs w:val="24"/>
          <w:lang w:val="en-US"/>
        </w:rPr>
      </w:pPr>
      <w:r w:rsidRPr="00D97C24">
        <w:rPr>
          <w:rFonts w:ascii="Arial" w:hAnsi="Arial" w:cs="Arial"/>
          <w:lang w:val="en-US"/>
        </w:rPr>
        <w:t>Wickham H, ggplot2: elegant graphics for data analysis. Springer New York, 2009.</w:t>
      </w:r>
    </w:p>
    <w:p w:rsidR="00D97C24" w:rsidRPr="00D97C24" w:rsidRDefault="00D97C24" w:rsidP="00D97C24">
      <w:pPr>
        <w:spacing w:after="0" w:line="480" w:lineRule="auto"/>
        <w:rPr>
          <w:rFonts w:ascii="Arial" w:hAnsi="Arial" w:cs="Arial"/>
          <w:lang w:val="en-US"/>
        </w:rPr>
      </w:pPr>
    </w:p>
    <w:p w:rsidR="00D97C24" w:rsidRPr="00D97C24" w:rsidRDefault="00D97C24" w:rsidP="00D97C24">
      <w:pPr>
        <w:spacing w:after="0" w:line="480" w:lineRule="auto"/>
        <w:rPr>
          <w:rFonts w:ascii="Arial" w:hAnsi="Arial" w:cs="Arial"/>
          <w:lang w:val="en-US"/>
        </w:rPr>
      </w:pPr>
    </w:p>
    <w:p w:rsidR="00D97C24" w:rsidRPr="00874ED8" w:rsidRDefault="00D97C24">
      <w:pPr>
        <w:rPr>
          <w:rFonts w:ascii="Arial" w:hAnsi="Arial" w:cs="Arial"/>
        </w:rPr>
      </w:pPr>
    </w:p>
    <w:sectPr w:rsidR="00D97C24" w:rsidRPr="00874ED8" w:rsidSect="00371FF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66B" w:rsidRDefault="0035166B" w:rsidP="0035166B">
      <w:pPr>
        <w:spacing w:after="0" w:line="240" w:lineRule="auto"/>
      </w:pPr>
      <w:r>
        <w:separator/>
      </w:r>
    </w:p>
  </w:endnote>
  <w:endnote w:type="continuationSeparator" w:id="0">
    <w:p w:rsidR="0035166B" w:rsidRDefault="0035166B" w:rsidP="00351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537306"/>
      <w:docPartObj>
        <w:docPartGallery w:val="Page Numbers (Bottom of Page)"/>
        <w:docPartUnique/>
      </w:docPartObj>
    </w:sdtPr>
    <w:sdtEndPr>
      <w:rPr>
        <w:noProof/>
      </w:rPr>
    </w:sdtEndPr>
    <w:sdtContent>
      <w:p w:rsidR="0035166B" w:rsidRDefault="0035166B">
        <w:pPr>
          <w:pStyle w:val="Footer"/>
          <w:jc w:val="right"/>
        </w:pPr>
        <w:r>
          <w:fldChar w:fldCharType="begin"/>
        </w:r>
        <w:r>
          <w:instrText xml:space="preserve"> PAGE   \* MERGEFORMAT </w:instrText>
        </w:r>
        <w:r>
          <w:fldChar w:fldCharType="separate"/>
        </w:r>
        <w:r w:rsidR="00E02ECB">
          <w:rPr>
            <w:noProof/>
          </w:rPr>
          <w:t>1</w:t>
        </w:r>
        <w:r>
          <w:rPr>
            <w:noProof/>
          </w:rPr>
          <w:fldChar w:fldCharType="end"/>
        </w:r>
      </w:p>
    </w:sdtContent>
  </w:sdt>
  <w:p w:rsidR="0035166B" w:rsidRDefault="003516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66B" w:rsidRDefault="0035166B" w:rsidP="0035166B">
      <w:pPr>
        <w:spacing w:after="0" w:line="240" w:lineRule="auto"/>
      </w:pPr>
      <w:r>
        <w:separator/>
      </w:r>
    </w:p>
  </w:footnote>
  <w:footnote w:type="continuationSeparator" w:id="0">
    <w:p w:rsidR="0035166B" w:rsidRDefault="0035166B" w:rsidP="003516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441"/>
    <w:rsid w:val="00181359"/>
    <w:rsid w:val="002B56C7"/>
    <w:rsid w:val="0035166B"/>
    <w:rsid w:val="00472551"/>
    <w:rsid w:val="004C5FE0"/>
    <w:rsid w:val="00544585"/>
    <w:rsid w:val="0060358D"/>
    <w:rsid w:val="006A0DF0"/>
    <w:rsid w:val="007B6B99"/>
    <w:rsid w:val="00874ED8"/>
    <w:rsid w:val="00A306D5"/>
    <w:rsid w:val="00CF7A85"/>
    <w:rsid w:val="00D97C24"/>
    <w:rsid w:val="00E02ECB"/>
    <w:rsid w:val="00E10441"/>
    <w:rsid w:val="00ED42FB"/>
    <w:rsid w:val="00F865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39640C-7CD5-428F-B3CE-1CBC00A37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441"/>
    <w:rPr>
      <w:rFonts w:eastAsia="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441"/>
    <w:rPr>
      <w:rFonts w:ascii="Tahoma" w:eastAsia="Times New Roman" w:hAnsi="Tahoma" w:cs="Tahoma"/>
      <w:sz w:val="16"/>
      <w:szCs w:val="16"/>
      <w:lang w:val="en-GB"/>
    </w:rPr>
  </w:style>
  <w:style w:type="character" w:styleId="CommentReference">
    <w:name w:val="annotation reference"/>
    <w:basedOn w:val="DefaultParagraphFont"/>
    <w:uiPriority w:val="99"/>
    <w:semiHidden/>
    <w:unhideWhenUsed/>
    <w:rsid w:val="002B56C7"/>
    <w:rPr>
      <w:sz w:val="16"/>
      <w:szCs w:val="16"/>
    </w:rPr>
  </w:style>
  <w:style w:type="paragraph" w:styleId="CommentText">
    <w:name w:val="annotation text"/>
    <w:basedOn w:val="Normal"/>
    <w:link w:val="CommentTextChar"/>
    <w:uiPriority w:val="99"/>
    <w:semiHidden/>
    <w:unhideWhenUsed/>
    <w:rsid w:val="002B56C7"/>
    <w:pPr>
      <w:spacing w:line="240" w:lineRule="auto"/>
    </w:pPr>
    <w:rPr>
      <w:sz w:val="20"/>
      <w:szCs w:val="20"/>
    </w:rPr>
  </w:style>
  <w:style w:type="character" w:customStyle="1" w:styleId="CommentTextChar">
    <w:name w:val="Comment Text Char"/>
    <w:basedOn w:val="DefaultParagraphFont"/>
    <w:link w:val="CommentText"/>
    <w:uiPriority w:val="99"/>
    <w:semiHidden/>
    <w:rsid w:val="002B56C7"/>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B56C7"/>
    <w:rPr>
      <w:b/>
      <w:bCs/>
    </w:rPr>
  </w:style>
  <w:style w:type="character" w:customStyle="1" w:styleId="CommentSubjectChar">
    <w:name w:val="Comment Subject Char"/>
    <w:basedOn w:val="CommentTextChar"/>
    <w:link w:val="CommentSubject"/>
    <w:uiPriority w:val="99"/>
    <w:semiHidden/>
    <w:rsid w:val="002B56C7"/>
    <w:rPr>
      <w:rFonts w:eastAsia="Times New Roman" w:cs="Times New Roman"/>
      <w:b/>
      <w:bCs/>
      <w:sz w:val="20"/>
      <w:szCs w:val="20"/>
      <w:lang w:val="en-GB"/>
    </w:rPr>
  </w:style>
  <w:style w:type="paragraph" w:styleId="Header">
    <w:name w:val="header"/>
    <w:basedOn w:val="Normal"/>
    <w:link w:val="HeaderChar"/>
    <w:uiPriority w:val="99"/>
    <w:unhideWhenUsed/>
    <w:rsid w:val="003516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66B"/>
    <w:rPr>
      <w:rFonts w:eastAsia="Times New Roman" w:cs="Times New Roman"/>
      <w:lang w:val="en-GB"/>
    </w:rPr>
  </w:style>
  <w:style w:type="paragraph" w:styleId="Footer">
    <w:name w:val="footer"/>
    <w:basedOn w:val="Normal"/>
    <w:link w:val="FooterChar"/>
    <w:uiPriority w:val="99"/>
    <w:unhideWhenUsed/>
    <w:rsid w:val="003516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66B"/>
    <w:rPr>
      <w:rFonts w:eastAsia="Times New Roman" w:cs="Times New Roman"/>
      <w:lang w:val="en-GB"/>
    </w:rPr>
  </w:style>
  <w:style w:type="paragraph" w:styleId="FootnoteText">
    <w:name w:val="footnote text"/>
    <w:basedOn w:val="Normal"/>
    <w:link w:val="FootnoteTextChar"/>
    <w:uiPriority w:val="99"/>
    <w:semiHidden/>
    <w:rsid w:val="00D97C24"/>
    <w:pPr>
      <w:spacing w:after="0" w:line="240" w:lineRule="auto"/>
    </w:pPr>
    <w:rPr>
      <w:rFonts w:ascii="Times New Roman" w:hAnsi="Times New Roman"/>
      <w:sz w:val="20"/>
      <w:szCs w:val="20"/>
      <w:lang w:val="x-none"/>
    </w:rPr>
  </w:style>
  <w:style w:type="character" w:customStyle="1" w:styleId="FootnoteTextChar">
    <w:name w:val="Footnote Text Char"/>
    <w:basedOn w:val="DefaultParagraphFont"/>
    <w:link w:val="FootnoteText"/>
    <w:uiPriority w:val="99"/>
    <w:semiHidden/>
    <w:rsid w:val="00D97C24"/>
    <w:rPr>
      <w:rFonts w:ascii="Times New Roman" w:eastAsia="Times New Roman" w:hAnsi="Times New Roman" w:cs="Times New Roman"/>
      <w:sz w:val="20"/>
      <w:szCs w:val="20"/>
      <w:lang w:val="x-none"/>
    </w:rPr>
  </w:style>
  <w:style w:type="character" w:styleId="Hyperlink">
    <w:name w:val="Hyperlink"/>
    <w:basedOn w:val="DefaultParagraphFont"/>
    <w:uiPriority w:val="99"/>
    <w:unhideWhenUsed/>
    <w:rsid w:val="00D97C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damtp.cam.ac.uk/user/na/NA_papers/NA2009_06.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RAN.R-project.org/package=lme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NSW Ministry of Health</Company>
  <LinksUpToDate>false</LinksUpToDate>
  <CharactersWithSpaces>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GADSDEN, Thomas</dc:creator>
  <cp:lastModifiedBy>Thomas Gadsden</cp:lastModifiedBy>
  <cp:revision>6</cp:revision>
  <cp:lastPrinted>2018-01-30T06:30:00Z</cp:lastPrinted>
  <dcterms:created xsi:type="dcterms:W3CDTF">2017-12-22T05:19:00Z</dcterms:created>
  <dcterms:modified xsi:type="dcterms:W3CDTF">2018-05-01T04:07:00Z</dcterms:modified>
</cp:coreProperties>
</file>