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250A07" w14:textId="04BC2A97" w:rsidR="00083C20" w:rsidRPr="0013385F" w:rsidRDefault="0013385F">
      <w:pPr>
        <w:rPr>
          <w:rFonts w:ascii="Times New Roman" w:hAnsi="Times New Roman" w:cs="Times New Roman"/>
          <w:b/>
          <w:sz w:val="24"/>
          <w:szCs w:val="24"/>
        </w:rPr>
      </w:pPr>
      <w:r w:rsidRPr="0013385F">
        <w:rPr>
          <w:rFonts w:ascii="Times New Roman" w:hAnsi="Times New Roman" w:cs="Times New Roman"/>
          <w:b/>
          <w:sz w:val="24"/>
          <w:szCs w:val="24"/>
        </w:rPr>
        <w:t xml:space="preserve">Additional File 4: </w:t>
      </w:r>
      <w:r w:rsidR="00CF6832" w:rsidRPr="00CF6832">
        <w:rPr>
          <w:rFonts w:ascii="Times New Roman" w:hAnsi="Times New Roman" w:cs="Times New Roman"/>
          <w:b/>
          <w:sz w:val="24"/>
          <w:szCs w:val="24"/>
        </w:rPr>
        <w:t xml:space="preserve">Examples of research priority areas and research gaps for </w:t>
      </w:r>
      <w:r w:rsidR="00F97180" w:rsidRPr="00F97180">
        <w:rPr>
          <w:rFonts w:ascii="Times New Roman" w:hAnsi="Times New Roman" w:cs="Times New Roman"/>
          <w:b/>
          <w:sz w:val="24"/>
          <w:szCs w:val="24"/>
        </w:rPr>
        <w:t>universal access and quality healthcare</w:t>
      </w:r>
      <w:r w:rsidR="00CF6832" w:rsidRPr="00CF6832">
        <w:rPr>
          <w:rFonts w:ascii="Times New Roman" w:hAnsi="Times New Roman" w:cs="Times New Roman"/>
          <w:b/>
          <w:sz w:val="24"/>
          <w:szCs w:val="24"/>
        </w:rPr>
        <w:t xml:space="preserve"> in Malaysia</w:t>
      </w:r>
      <w:r w:rsidR="006055D9">
        <w:rPr>
          <w:rFonts w:ascii="Times New Roman" w:hAnsi="Times New Roman" w:cs="Times New Roman"/>
          <w:b/>
          <w:sz w:val="24"/>
          <w:szCs w:val="24"/>
        </w:rPr>
        <w:t>.</w:t>
      </w:r>
      <w:bookmarkStart w:id="0" w:name="_GoBack"/>
      <w:bookmarkEnd w:id="0"/>
    </w:p>
    <w:tbl>
      <w:tblPr>
        <w:tblW w:w="14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45"/>
        <w:gridCol w:w="628"/>
        <w:gridCol w:w="2033"/>
        <w:gridCol w:w="1522"/>
        <w:gridCol w:w="3232"/>
        <w:gridCol w:w="2624"/>
        <w:gridCol w:w="2916"/>
      </w:tblGrid>
      <w:tr w:rsidR="00F27B00" w:rsidRPr="00F27B00" w14:paraId="6F7A39DD" w14:textId="77777777" w:rsidTr="00FE1029">
        <w:trPr>
          <w:trHeight w:val="660"/>
        </w:trPr>
        <w:tc>
          <w:tcPr>
            <w:tcW w:w="1345" w:type="dxa"/>
            <w:shd w:val="clear" w:color="auto" w:fill="auto"/>
            <w:vAlign w:val="center"/>
            <w:hideMark/>
          </w:tcPr>
          <w:p w14:paraId="7EFE7832" w14:textId="77777777" w:rsidR="0013385F" w:rsidRPr="0013385F" w:rsidRDefault="0013385F" w:rsidP="008259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13385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Domain</w:t>
            </w:r>
          </w:p>
        </w:tc>
        <w:tc>
          <w:tcPr>
            <w:tcW w:w="628" w:type="dxa"/>
            <w:shd w:val="clear" w:color="auto" w:fill="auto"/>
            <w:vAlign w:val="center"/>
            <w:hideMark/>
          </w:tcPr>
          <w:p w14:paraId="03560536" w14:textId="77777777" w:rsidR="0013385F" w:rsidRPr="0013385F" w:rsidRDefault="0013385F" w:rsidP="008259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F27B0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Code</w:t>
            </w:r>
          </w:p>
        </w:tc>
        <w:tc>
          <w:tcPr>
            <w:tcW w:w="2033" w:type="dxa"/>
            <w:shd w:val="clear" w:color="auto" w:fill="auto"/>
            <w:vAlign w:val="center"/>
            <w:hideMark/>
          </w:tcPr>
          <w:p w14:paraId="1612A397" w14:textId="77777777" w:rsidR="0013385F" w:rsidRPr="0013385F" w:rsidRDefault="0013385F" w:rsidP="008259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13385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Research Scope</w:t>
            </w:r>
          </w:p>
        </w:tc>
        <w:tc>
          <w:tcPr>
            <w:tcW w:w="1535" w:type="dxa"/>
            <w:shd w:val="clear" w:color="auto" w:fill="auto"/>
            <w:vAlign w:val="center"/>
            <w:hideMark/>
          </w:tcPr>
          <w:p w14:paraId="641A8975" w14:textId="77777777" w:rsidR="0013385F" w:rsidRPr="0013385F" w:rsidRDefault="0013385F" w:rsidP="008259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13385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Sub-domain</w:t>
            </w:r>
          </w:p>
        </w:tc>
        <w:tc>
          <w:tcPr>
            <w:tcW w:w="3334" w:type="dxa"/>
            <w:shd w:val="clear" w:color="auto" w:fill="auto"/>
            <w:vAlign w:val="center"/>
            <w:hideMark/>
          </w:tcPr>
          <w:p w14:paraId="691830C8" w14:textId="77777777" w:rsidR="0013385F" w:rsidRPr="0013385F" w:rsidRDefault="0013385F" w:rsidP="008259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13385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Gaps &amp; Needs (Rationale)</w:t>
            </w:r>
          </w:p>
        </w:tc>
        <w:tc>
          <w:tcPr>
            <w:tcW w:w="2705" w:type="dxa"/>
            <w:shd w:val="clear" w:color="auto" w:fill="auto"/>
            <w:vAlign w:val="center"/>
            <w:hideMark/>
          </w:tcPr>
          <w:p w14:paraId="60145C58" w14:textId="77777777" w:rsidR="0013385F" w:rsidRPr="0013385F" w:rsidRDefault="0013385F" w:rsidP="008259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13385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Suggested Research Areas</w:t>
            </w:r>
          </w:p>
        </w:tc>
        <w:tc>
          <w:tcPr>
            <w:tcW w:w="2720" w:type="dxa"/>
            <w:shd w:val="clear" w:color="auto" w:fill="auto"/>
            <w:vAlign w:val="center"/>
            <w:hideMark/>
          </w:tcPr>
          <w:p w14:paraId="08278732" w14:textId="77777777" w:rsidR="0013385F" w:rsidRPr="0013385F" w:rsidRDefault="0013385F" w:rsidP="008259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13385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GB"/>
              </w:rPr>
              <w:t>Expected Output</w:t>
            </w:r>
          </w:p>
        </w:tc>
      </w:tr>
      <w:tr w:rsidR="00F27B00" w:rsidRPr="00F27B00" w14:paraId="13C0D134" w14:textId="77777777" w:rsidTr="00FE1029">
        <w:trPr>
          <w:trHeight w:val="2071"/>
        </w:trPr>
        <w:tc>
          <w:tcPr>
            <w:tcW w:w="1345" w:type="dxa"/>
            <w:vMerge w:val="restart"/>
            <w:shd w:val="clear" w:color="auto" w:fill="auto"/>
            <w:noWrap/>
            <w:vAlign w:val="center"/>
            <w:hideMark/>
          </w:tcPr>
          <w:p w14:paraId="3F0AD609" w14:textId="77777777" w:rsidR="0013385F" w:rsidRPr="0013385F" w:rsidRDefault="0013385F" w:rsidP="008259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13385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Governance</w:t>
            </w:r>
          </w:p>
        </w:tc>
        <w:tc>
          <w:tcPr>
            <w:tcW w:w="628" w:type="dxa"/>
            <w:shd w:val="clear" w:color="auto" w:fill="auto"/>
            <w:textDirection w:val="btLr"/>
            <w:vAlign w:val="center"/>
            <w:hideMark/>
          </w:tcPr>
          <w:p w14:paraId="1DC1EFC3" w14:textId="77777777" w:rsidR="0013385F" w:rsidRPr="0013385F" w:rsidRDefault="0013385F" w:rsidP="008259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13385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GT17_01</w:t>
            </w:r>
          </w:p>
        </w:tc>
        <w:tc>
          <w:tcPr>
            <w:tcW w:w="2033" w:type="dxa"/>
            <w:shd w:val="clear" w:color="auto" w:fill="auto"/>
            <w:vAlign w:val="center"/>
            <w:hideMark/>
          </w:tcPr>
          <w:p w14:paraId="3417D32C" w14:textId="77777777" w:rsidR="0013385F" w:rsidRPr="0013385F" w:rsidRDefault="0013385F" w:rsidP="0082591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13385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Health planning</w:t>
            </w:r>
          </w:p>
        </w:tc>
        <w:tc>
          <w:tcPr>
            <w:tcW w:w="1535" w:type="dxa"/>
            <w:shd w:val="clear" w:color="auto" w:fill="auto"/>
            <w:vAlign w:val="center"/>
            <w:hideMark/>
          </w:tcPr>
          <w:p w14:paraId="110D15D4" w14:textId="77777777" w:rsidR="0013385F" w:rsidRPr="0013385F" w:rsidRDefault="0013385F" w:rsidP="0082591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13385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Transparency</w:t>
            </w:r>
          </w:p>
        </w:tc>
        <w:tc>
          <w:tcPr>
            <w:tcW w:w="3334" w:type="dxa"/>
            <w:shd w:val="clear" w:color="auto" w:fill="auto"/>
            <w:vAlign w:val="center"/>
            <w:hideMark/>
          </w:tcPr>
          <w:p w14:paraId="3E0B2D7F" w14:textId="77777777" w:rsidR="0013385F" w:rsidRPr="0013385F" w:rsidRDefault="0013385F" w:rsidP="0082591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13385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Lack of transparency is associated with poor participation of public in healthcare. This could inhibit citizens' efforts/ in giving voice to public, to hold health systems accountable.</w:t>
            </w:r>
            <w:r w:rsidRPr="0013385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br/>
            </w:r>
            <w:r w:rsidRPr="0013385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br/>
              <w:t xml:space="preserve">Lack of transparency of health planning and delivery process as well as factors contributing to the accountability of healthcare providers.  </w:t>
            </w:r>
          </w:p>
        </w:tc>
        <w:tc>
          <w:tcPr>
            <w:tcW w:w="2705" w:type="dxa"/>
            <w:shd w:val="clear" w:color="auto" w:fill="auto"/>
            <w:vAlign w:val="center"/>
            <w:hideMark/>
          </w:tcPr>
          <w:p w14:paraId="4DDD45EA" w14:textId="77777777" w:rsidR="0013385F" w:rsidRPr="0013385F" w:rsidRDefault="0013385F" w:rsidP="0082591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13385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Transparency in health planning and delivery process to promote and ensure the participation of public in healthcare planning and delivery.</w:t>
            </w:r>
          </w:p>
        </w:tc>
        <w:tc>
          <w:tcPr>
            <w:tcW w:w="2720" w:type="dxa"/>
            <w:shd w:val="clear" w:color="auto" w:fill="auto"/>
            <w:vAlign w:val="center"/>
            <w:hideMark/>
          </w:tcPr>
          <w:p w14:paraId="3CD0079C" w14:textId="77777777" w:rsidR="0013385F" w:rsidRPr="0013385F" w:rsidRDefault="0013385F" w:rsidP="0082591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13385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Strategies/approaches that foster system design to promote transparency.</w:t>
            </w:r>
          </w:p>
        </w:tc>
      </w:tr>
      <w:tr w:rsidR="00F27B00" w:rsidRPr="00F27B00" w14:paraId="61148C45" w14:textId="77777777" w:rsidTr="00FE1029">
        <w:trPr>
          <w:trHeight w:val="1756"/>
        </w:trPr>
        <w:tc>
          <w:tcPr>
            <w:tcW w:w="1345" w:type="dxa"/>
            <w:vMerge/>
            <w:vAlign w:val="center"/>
            <w:hideMark/>
          </w:tcPr>
          <w:p w14:paraId="67267016" w14:textId="77777777" w:rsidR="0013385F" w:rsidRPr="0013385F" w:rsidRDefault="0013385F" w:rsidP="0082591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628" w:type="dxa"/>
            <w:shd w:val="clear" w:color="auto" w:fill="auto"/>
            <w:textDirection w:val="btLr"/>
            <w:vAlign w:val="center"/>
            <w:hideMark/>
          </w:tcPr>
          <w:p w14:paraId="48A6DEAC" w14:textId="77777777" w:rsidR="0013385F" w:rsidRPr="0013385F" w:rsidRDefault="0013385F" w:rsidP="008259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13385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GT17_02</w:t>
            </w:r>
          </w:p>
        </w:tc>
        <w:tc>
          <w:tcPr>
            <w:tcW w:w="2033" w:type="dxa"/>
            <w:shd w:val="clear" w:color="auto" w:fill="auto"/>
            <w:vAlign w:val="center"/>
            <w:hideMark/>
          </w:tcPr>
          <w:p w14:paraId="44B94ECA" w14:textId="77777777" w:rsidR="0013385F" w:rsidRPr="0013385F" w:rsidRDefault="0013385F" w:rsidP="0082591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13385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Health regulation </w:t>
            </w:r>
          </w:p>
        </w:tc>
        <w:tc>
          <w:tcPr>
            <w:tcW w:w="1535" w:type="dxa"/>
            <w:shd w:val="clear" w:color="auto" w:fill="auto"/>
            <w:vAlign w:val="center"/>
            <w:hideMark/>
          </w:tcPr>
          <w:p w14:paraId="14108137" w14:textId="77777777" w:rsidR="0013385F" w:rsidRPr="0013385F" w:rsidRDefault="0013385F" w:rsidP="0082591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13385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Rules of law/control of corruption </w:t>
            </w:r>
          </w:p>
        </w:tc>
        <w:tc>
          <w:tcPr>
            <w:tcW w:w="3334" w:type="dxa"/>
            <w:shd w:val="clear" w:color="auto" w:fill="auto"/>
            <w:vAlign w:val="center"/>
            <w:hideMark/>
          </w:tcPr>
          <w:p w14:paraId="5839C8B0" w14:textId="77777777" w:rsidR="0013385F" w:rsidRPr="0013385F" w:rsidRDefault="0013385F" w:rsidP="0082591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13385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Lack of assessment and identification of organisational factors related to corruption such as ghost workers, absenteeism or selling of public-funded resources e.g. drugs.</w:t>
            </w:r>
          </w:p>
        </w:tc>
        <w:tc>
          <w:tcPr>
            <w:tcW w:w="2705" w:type="dxa"/>
            <w:shd w:val="clear" w:color="auto" w:fill="auto"/>
            <w:vAlign w:val="center"/>
            <w:hideMark/>
          </w:tcPr>
          <w:p w14:paraId="3BD4DA22" w14:textId="77777777" w:rsidR="0013385F" w:rsidRPr="0013385F" w:rsidRDefault="0013385F" w:rsidP="0082591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13385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Occurrence of ghost workers, absenteeism etc. and inadequacies in organisational environment/ structure related to this such as supervision, monitoring mechanism etc.</w:t>
            </w:r>
          </w:p>
        </w:tc>
        <w:tc>
          <w:tcPr>
            <w:tcW w:w="2720" w:type="dxa"/>
            <w:shd w:val="clear" w:color="auto" w:fill="auto"/>
            <w:vAlign w:val="center"/>
            <w:hideMark/>
          </w:tcPr>
          <w:p w14:paraId="6FC12E27" w14:textId="77777777" w:rsidR="0013385F" w:rsidRPr="0013385F" w:rsidRDefault="0013385F" w:rsidP="0082591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13385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 xml:space="preserve">Approach, intervention or policy change that addresses the inadequacies in organisations to alleviate the situation. </w:t>
            </w:r>
          </w:p>
        </w:tc>
      </w:tr>
      <w:tr w:rsidR="00F27B00" w:rsidRPr="00F27B00" w14:paraId="05D28692" w14:textId="77777777" w:rsidTr="00FE1029">
        <w:trPr>
          <w:trHeight w:val="795"/>
        </w:trPr>
        <w:tc>
          <w:tcPr>
            <w:tcW w:w="1345" w:type="dxa"/>
            <w:vMerge w:val="restart"/>
            <w:shd w:val="clear" w:color="auto" w:fill="auto"/>
            <w:vAlign w:val="center"/>
            <w:hideMark/>
          </w:tcPr>
          <w:p w14:paraId="6C5627E1" w14:textId="77777777" w:rsidR="0013385F" w:rsidRPr="0013385F" w:rsidRDefault="0013385F" w:rsidP="008259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13385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Human Resources for Health</w:t>
            </w:r>
          </w:p>
        </w:tc>
        <w:tc>
          <w:tcPr>
            <w:tcW w:w="628" w:type="dxa"/>
            <w:shd w:val="clear" w:color="auto" w:fill="auto"/>
            <w:noWrap/>
            <w:textDirection w:val="btLr"/>
            <w:vAlign w:val="center"/>
            <w:hideMark/>
          </w:tcPr>
          <w:p w14:paraId="4044C365" w14:textId="77777777" w:rsidR="0013385F" w:rsidRPr="0013385F" w:rsidRDefault="0013385F" w:rsidP="008259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13385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RT17_01</w:t>
            </w:r>
          </w:p>
        </w:tc>
        <w:tc>
          <w:tcPr>
            <w:tcW w:w="2033" w:type="dxa"/>
            <w:shd w:val="clear" w:color="auto" w:fill="auto"/>
            <w:vAlign w:val="center"/>
            <w:hideMark/>
          </w:tcPr>
          <w:p w14:paraId="2908DFD2" w14:textId="77777777" w:rsidR="0013385F" w:rsidRPr="0013385F" w:rsidRDefault="0013385F" w:rsidP="0082591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13385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Human Resource Management (HRM) workforce lifespan</w:t>
            </w:r>
          </w:p>
        </w:tc>
        <w:tc>
          <w:tcPr>
            <w:tcW w:w="1535" w:type="dxa"/>
            <w:shd w:val="clear" w:color="auto" w:fill="auto"/>
            <w:vAlign w:val="center"/>
            <w:hideMark/>
          </w:tcPr>
          <w:p w14:paraId="547F44DE" w14:textId="77777777" w:rsidR="0013385F" w:rsidRPr="0013385F" w:rsidRDefault="0013385F" w:rsidP="0082591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13385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Performance Management: Productivity/ Retention and Exit</w:t>
            </w:r>
          </w:p>
        </w:tc>
        <w:tc>
          <w:tcPr>
            <w:tcW w:w="3334" w:type="dxa"/>
            <w:shd w:val="clear" w:color="auto" w:fill="auto"/>
            <w:vAlign w:val="center"/>
            <w:hideMark/>
          </w:tcPr>
          <w:p w14:paraId="3181E0BA" w14:textId="77777777" w:rsidR="0013385F" w:rsidRPr="0013385F" w:rsidRDefault="0013385F" w:rsidP="0082591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13385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 xml:space="preserve">The outcomes of the programme/policies introduced for </w:t>
            </w:r>
            <w:r w:rsidRPr="00655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Human Resources for Health</w:t>
            </w:r>
            <w:r w:rsidRPr="0013385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 xml:space="preserve"> (HRH) benefit were not comprehensively assessed.  </w:t>
            </w:r>
          </w:p>
        </w:tc>
        <w:tc>
          <w:tcPr>
            <w:tcW w:w="2705" w:type="dxa"/>
            <w:shd w:val="clear" w:color="auto" w:fill="auto"/>
            <w:vAlign w:val="center"/>
            <w:hideMark/>
          </w:tcPr>
          <w:p w14:paraId="5E96FE82" w14:textId="77777777" w:rsidR="0013385F" w:rsidRPr="0013385F" w:rsidRDefault="0013385F" w:rsidP="0082591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13385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 xml:space="preserve">The effectiveness of strategies employed such as Full Paying Patient Programme (FPP), flexi system and other approaches.  </w:t>
            </w:r>
          </w:p>
        </w:tc>
        <w:tc>
          <w:tcPr>
            <w:tcW w:w="2720" w:type="dxa"/>
            <w:shd w:val="clear" w:color="auto" w:fill="auto"/>
            <w:vAlign w:val="center"/>
            <w:hideMark/>
          </w:tcPr>
          <w:p w14:paraId="61AEB13E" w14:textId="77777777" w:rsidR="0013385F" w:rsidRPr="0013385F" w:rsidRDefault="0013385F" w:rsidP="0082591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13385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 xml:space="preserve">Effectiveness and sustainability of current strategies in HRH management. </w:t>
            </w:r>
          </w:p>
        </w:tc>
      </w:tr>
      <w:tr w:rsidR="00F27B00" w:rsidRPr="00F27B00" w14:paraId="305ADA76" w14:textId="77777777" w:rsidTr="00FE1029">
        <w:trPr>
          <w:trHeight w:val="795"/>
        </w:trPr>
        <w:tc>
          <w:tcPr>
            <w:tcW w:w="1345" w:type="dxa"/>
            <w:vMerge/>
            <w:vAlign w:val="center"/>
            <w:hideMark/>
          </w:tcPr>
          <w:p w14:paraId="788149DB" w14:textId="77777777" w:rsidR="0013385F" w:rsidRPr="0013385F" w:rsidRDefault="0013385F" w:rsidP="0082591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628" w:type="dxa"/>
            <w:shd w:val="clear" w:color="auto" w:fill="auto"/>
            <w:noWrap/>
            <w:textDirection w:val="btLr"/>
            <w:vAlign w:val="center"/>
            <w:hideMark/>
          </w:tcPr>
          <w:p w14:paraId="12FB46F4" w14:textId="77777777" w:rsidR="0013385F" w:rsidRPr="0013385F" w:rsidRDefault="0013385F" w:rsidP="008259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13385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RT17_02</w:t>
            </w:r>
          </w:p>
        </w:tc>
        <w:tc>
          <w:tcPr>
            <w:tcW w:w="2033" w:type="dxa"/>
            <w:shd w:val="clear" w:color="auto" w:fill="auto"/>
            <w:vAlign w:val="center"/>
            <w:hideMark/>
          </w:tcPr>
          <w:p w14:paraId="4CDDC3CD" w14:textId="77777777" w:rsidR="0013385F" w:rsidRPr="0013385F" w:rsidRDefault="0013385F" w:rsidP="0082591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13385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HRM workforce lifespan</w:t>
            </w:r>
          </w:p>
        </w:tc>
        <w:tc>
          <w:tcPr>
            <w:tcW w:w="1535" w:type="dxa"/>
            <w:shd w:val="clear" w:color="auto" w:fill="auto"/>
            <w:vAlign w:val="center"/>
            <w:hideMark/>
          </w:tcPr>
          <w:p w14:paraId="72AD5C0C" w14:textId="77777777" w:rsidR="0013385F" w:rsidRPr="0013385F" w:rsidRDefault="0013385F" w:rsidP="0082591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13385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Work environment</w:t>
            </w:r>
          </w:p>
        </w:tc>
        <w:tc>
          <w:tcPr>
            <w:tcW w:w="3334" w:type="dxa"/>
            <w:shd w:val="clear" w:color="auto" w:fill="auto"/>
            <w:vAlign w:val="center"/>
            <w:hideMark/>
          </w:tcPr>
          <w:p w14:paraId="7FB12A9F" w14:textId="011AE10E" w:rsidR="0013385F" w:rsidRPr="0013385F" w:rsidRDefault="0013385F" w:rsidP="0082591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13385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Lack of comprehensive data on mental health status of HRH and practice environment</w:t>
            </w:r>
            <w:r w:rsidR="00761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.</w:t>
            </w:r>
          </w:p>
        </w:tc>
        <w:tc>
          <w:tcPr>
            <w:tcW w:w="2705" w:type="dxa"/>
            <w:shd w:val="clear" w:color="auto" w:fill="auto"/>
            <w:vAlign w:val="center"/>
            <w:hideMark/>
          </w:tcPr>
          <w:p w14:paraId="4ABD161D" w14:textId="77777777" w:rsidR="0013385F" w:rsidRPr="0013385F" w:rsidRDefault="0013385F" w:rsidP="0082591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13385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 xml:space="preserve">Mental health status among HRH and practice environment, strategies to improve organisational effectiveness. </w:t>
            </w:r>
          </w:p>
        </w:tc>
        <w:tc>
          <w:tcPr>
            <w:tcW w:w="2720" w:type="dxa"/>
            <w:shd w:val="clear" w:color="auto" w:fill="auto"/>
            <w:vAlign w:val="center"/>
            <w:hideMark/>
          </w:tcPr>
          <w:p w14:paraId="53063638" w14:textId="7F3895D9" w:rsidR="0013385F" w:rsidRPr="0013385F" w:rsidRDefault="0013385F" w:rsidP="0082591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13385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Strategies to improve mental health and practice environment</w:t>
            </w:r>
            <w:r w:rsidR="00761F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.</w:t>
            </w:r>
          </w:p>
        </w:tc>
      </w:tr>
      <w:tr w:rsidR="0013385F" w:rsidRPr="00F27B00" w14:paraId="4883A497" w14:textId="77777777" w:rsidTr="00CE22E9">
        <w:trPr>
          <w:trHeight w:val="70"/>
        </w:trPr>
        <w:tc>
          <w:tcPr>
            <w:tcW w:w="1345" w:type="dxa"/>
            <w:shd w:val="clear" w:color="auto" w:fill="auto"/>
            <w:vAlign w:val="center"/>
            <w:hideMark/>
          </w:tcPr>
          <w:p w14:paraId="287BABB9" w14:textId="77777777" w:rsidR="0013385F" w:rsidRPr="0013385F" w:rsidRDefault="0013385F" w:rsidP="008259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13385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Health Information &amp; Technology</w:t>
            </w:r>
          </w:p>
        </w:tc>
        <w:tc>
          <w:tcPr>
            <w:tcW w:w="628" w:type="dxa"/>
            <w:shd w:val="clear" w:color="auto" w:fill="auto"/>
            <w:noWrap/>
            <w:textDirection w:val="btLr"/>
            <w:vAlign w:val="center"/>
            <w:hideMark/>
          </w:tcPr>
          <w:p w14:paraId="2B779D4B" w14:textId="77777777" w:rsidR="0013385F" w:rsidRPr="0013385F" w:rsidRDefault="0013385F" w:rsidP="008259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13385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TT17_01</w:t>
            </w:r>
          </w:p>
        </w:tc>
        <w:tc>
          <w:tcPr>
            <w:tcW w:w="2033" w:type="dxa"/>
            <w:shd w:val="clear" w:color="auto" w:fill="auto"/>
            <w:noWrap/>
            <w:vAlign w:val="center"/>
            <w:hideMark/>
          </w:tcPr>
          <w:p w14:paraId="26DA0BDB" w14:textId="77777777" w:rsidR="0013385F" w:rsidRPr="0013385F" w:rsidRDefault="0013385F" w:rsidP="0082591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13385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Data</w:t>
            </w:r>
          </w:p>
        </w:tc>
        <w:tc>
          <w:tcPr>
            <w:tcW w:w="1535" w:type="dxa"/>
            <w:shd w:val="clear" w:color="auto" w:fill="auto"/>
            <w:vAlign w:val="center"/>
            <w:hideMark/>
          </w:tcPr>
          <w:p w14:paraId="1605A096" w14:textId="77777777" w:rsidR="0013385F" w:rsidRPr="0013385F" w:rsidRDefault="0013385F" w:rsidP="0082591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13385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Data Interoperability (content)</w:t>
            </w:r>
          </w:p>
        </w:tc>
        <w:tc>
          <w:tcPr>
            <w:tcW w:w="3334" w:type="dxa"/>
            <w:shd w:val="clear" w:color="auto" w:fill="auto"/>
            <w:hideMark/>
          </w:tcPr>
          <w:p w14:paraId="01267549" w14:textId="448E7121" w:rsidR="0013385F" w:rsidRPr="00F27B00" w:rsidRDefault="0013385F" w:rsidP="0082591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13385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Information exchange from health information systems do not happen directly without needing to map metadata, which affects the content of data collected.</w:t>
            </w:r>
          </w:p>
          <w:p w14:paraId="3B6E352E" w14:textId="77777777" w:rsidR="0013385F" w:rsidRPr="0013385F" w:rsidRDefault="0013385F" w:rsidP="0082591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705" w:type="dxa"/>
            <w:shd w:val="clear" w:color="auto" w:fill="auto"/>
            <w:vAlign w:val="center"/>
            <w:hideMark/>
          </w:tcPr>
          <w:p w14:paraId="0DFB0061" w14:textId="77777777" w:rsidR="0013385F" w:rsidRPr="0013385F" w:rsidRDefault="0013385F" w:rsidP="0082591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13385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The consequences, benefits and impact of data interoperability.</w:t>
            </w:r>
          </w:p>
        </w:tc>
        <w:tc>
          <w:tcPr>
            <w:tcW w:w="2720" w:type="dxa"/>
            <w:shd w:val="clear" w:color="auto" w:fill="auto"/>
            <w:vAlign w:val="center"/>
            <w:hideMark/>
          </w:tcPr>
          <w:p w14:paraId="714A3FEF" w14:textId="77777777" w:rsidR="0013385F" w:rsidRPr="0013385F" w:rsidRDefault="0013385F" w:rsidP="0082591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13385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Strategies/guidelines for data to be used across different systems, without any change in meaning and function.</w:t>
            </w:r>
          </w:p>
        </w:tc>
      </w:tr>
      <w:tr w:rsidR="0013385F" w:rsidRPr="00F27B00" w14:paraId="4882A766" w14:textId="77777777" w:rsidTr="00CA7BB9">
        <w:trPr>
          <w:trHeight w:val="2117"/>
        </w:trPr>
        <w:tc>
          <w:tcPr>
            <w:tcW w:w="1345" w:type="dxa"/>
            <w:vMerge w:val="restart"/>
            <w:shd w:val="clear" w:color="auto" w:fill="auto"/>
            <w:vAlign w:val="center"/>
            <w:hideMark/>
          </w:tcPr>
          <w:p w14:paraId="7D4E1CED" w14:textId="77777777" w:rsidR="0013385F" w:rsidRPr="006559BB" w:rsidRDefault="0013385F" w:rsidP="008259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655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lastRenderedPageBreak/>
              <w:t>Health Economic</w:t>
            </w:r>
            <w:r w:rsidR="00E64494" w:rsidRPr="00655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s</w:t>
            </w:r>
          </w:p>
        </w:tc>
        <w:tc>
          <w:tcPr>
            <w:tcW w:w="628" w:type="dxa"/>
            <w:shd w:val="clear" w:color="auto" w:fill="auto"/>
            <w:textDirection w:val="btLr"/>
            <w:vAlign w:val="center"/>
            <w:hideMark/>
          </w:tcPr>
          <w:p w14:paraId="38B8BBC4" w14:textId="77777777" w:rsidR="0013385F" w:rsidRPr="006559BB" w:rsidRDefault="0013385F" w:rsidP="008259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655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ET17_01</w:t>
            </w:r>
          </w:p>
        </w:tc>
        <w:tc>
          <w:tcPr>
            <w:tcW w:w="2033" w:type="dxa"/>
            <w:shd w:val="clear" w:color="auto" w:fill="auto"/>
            <w:noWrap/>
            <w:vAlign w:val="center"/>
            <w:hideMark/>
          </w:tcPr>
          <w:p w14:paraId="220817DC" w14:textId="77777777" w:rsidR="0013385F" w:rsidRPr="006559BB" w:rsidRDefault="0013385F" w:rsidP="0082591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655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 xml:space="preserve">Collection of resources </w:t>
            </w:r>
          </w:p>
        </w:tc>
        <w:tc>
          <w:tcPr>
            <w:tcW w:w="1535" w:type="dxa"/>
            <w:shd w:val="clear" w:color="auto" w:fill="auto"/>
            <w:vAlign w:val="center"/>
            <w:hideMark/>
          </w:tcPr>
          <w:p w14:paraId="2B881B9B" w14:textId="77777777" w:rsidR="0013385F" w:rsidRPr="0013385F" w:rsidRDefault="0013385F" w:rsidP="0082591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13385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Resource generation</w:t>
            </w:r>
          </w:p>
        </w:tc>
        <w:tc>
          <w:tcPr>
            <w:tcW w:w="3334" w:type="dxa"/>
            <w:shd w:val="clear" w:color="auto" w:fill="auto"/>
            <w:vAlign w:val="center"/>
            <w:hideMark/>
          </w:tcPr>
          <w:p w14:paraId="1F97C421" w14:textId="77777777" w:rsidR="0013385F" w:rsidRPr="0013385F" w:rsidRDefault="0013385F" w:rsidP="0082591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13385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Lack of legal and regulatory framework, accountability and transparency.</w:t>
            </w:r>
            <w:r w:rsidRPr="0013385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br/>
            </w:r>
            <w:r w:rsidRPr="0013385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br/>
              <w:t>Minimal public-private partnership.</w:t>
            </w:r>
            <w:r w:rsidRPr="0013385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br/>
            </w:r>
            <w:r w:rsidRPr="0013385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br/>
              <w:t xml:space="preserve">Unclear about the </w:t>
            </w:r>
            <w:r w:rsidRPr="00655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sustainability of</w:t>
            </w:r>
            <w:r w:rsidRPr="0013385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 xml:space="preserve"> resource generation.</w:t>
            </w:r>
          </w:p>
        </w:tc>
        <w:tc>
          <w:tcPr>
            <w:tcW w:w="2705" w:type="dxa"/>
            <w:shd w:val="clear" w:color="auto" w:fill="auto"/>
            <w:vAlign w:val="center"/>
            <w:hideMark/>
          </w:tcPr>
          <w:p w14:paraId="1C4BF005" w14:textId="77777777" w:rsidR="0013385F" w:rsidRPr="006559BB" w:rsidRDefault="0013385F" w:rsidP="0082591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655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Private-public partnership in term of governance, resource generation and resource optimisation.</w:t>
            </w:r>
          </w:p>
        </w:tc>
        <w:tc>
          <w:tcPr>
            <w:tcW w:w="2720" w:type="dxa"/>
            <w:shd w:val="clear" w:color="auto" w:fill="auto"/>
            <w:vAlign w:val="center"/>
            <w:hideMark/>
          </w:tcPr>
          <w:p w14:paraId="2843B4FA" w14:textId="77777777" w:rsidR="0013385F" w:rsidRPr="006559BB" w:rsidRDefault="0013385F" w:rsidP="0082591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655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Formulation of legal and regulatory framework between public and private sector.</w:t>
            </w:r>
            <w:r w:rsidRPr="00655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br/>
            </w:r>
            <w:r w:rsidRPr="00655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br/>
              <w:t>The best practice to enhance Private-Public Partnership.</w:t>
            </w:r>
          </w:p>
        </w:tc>
      </w:tr>
      <w:tr w:rsidR="00F27B00" w:rsidRPr="00F27B00" w14:paraId="3E33187F" w14:textId="77777777" w:rsidTr="00FE1029">
        <w:trPr>
          <w:trHeight w:val="2721"/>
        </w:trPr>
        <w:tc>
          <w:tcPr>
            <w:tcW w:w="1345" w:type="dxa"/>
            <w:vMerge/>
            <w:vAlign w:val="center"/>
            <w:hideMark/>
          </w:tcPr>
          <w:p w14:paraId="575CBFF5" w14:textId="77777777" w:rsidR="0013385F" w:rsidRPr="006559BB" w:rsidRDefault="0013385F" w:rsidP="0082591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628" w:type="dxa"/>
            <w:shd w:val="clear" w:color="auto" w:fill="auto"/>
            <w:textDirection w:val="btLr"/>
            <w:vAlign w:val="center"/>
            <w:hideMark/>
          </w:tcPr>
          <w:p w14:paraId="1C3CF3EC" w14:textId="77777777" w:rsidR="0013385F" w:rsidRPr="006559BB" w:rsidRDefault="0013385F" w:rsidP="008259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655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ET17_02</w:t>
            </w:r>
          </w:p>
        </w:tc>
        <w:tc>
          <w:tcPr>
            <w:tcW w:w="2033" w:type="dxa"/>
            <w:shd w:val="clear" w:color="auto" w:fill="auto"/>
            <w:vAlign w:val="center"/>
            <w:hideMark/>
          </w:tcPr>
          <w:p w14:paraId="69665702" w14:textId="77777777" w:rsidR="0013385F" w:rsidRPr="006559BB" w:rsidRDefault="0013385F" w:rsidP="0082591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655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 xml:space="preserve">Distribution and utilisation of resources </w:t>
            </w:r>
          </w:p>
        </w:tc>
        <w:tc>
          <w:tcPr>
            <w:tcW w:w="1535" w:type="dxa"/>
            <w:shd w:val="clear" w:color="auto" w:fill="auto"/>
            <w:vAlign w:val="center"/>
            <w:hideMark/>
          </w:tcPr>
          <w:p w14:paraId="1624E35C" w14:textId="77777777" w:rsidR="0013385F" w:rsidRPr="0013385F" w:rsidRDefault="0013385F" w:rsidP="0082591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13385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Equity</w:t>
            </w:r>
          </w:p>
        </w:tc>
        <w:tc>
          <w:tcPr>
            <w:tcW w:w="3334" w:type="dxa"/>
            <w:shd w:val="clear" w:color="auto" w:fill="auto"/>
            <w:vAlign w:val="center"/>
            <w:hideMark/>
          </w:tcPr>
          <w:p w14:paraId="20330F06" w14:textId="77777777" w:rsidR="0013385F" w:rsidRPr="0013385F" w:rsidRDefault="0013385F" w:rsidP="0082591C">
            <w:pPr>
              <w:spacing w:after="240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13385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Maldistribution of resources (money, manpower, asset and facility) at macro-level, state-level, programme level and between different providers (public or private).</w:t>
            </w:r>
            <w:r w:rsidRPr="0013385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br/>
            </w:r>
          </w:p>
        </w:tc>
        <w:tc>
          <w:tcPr>
            <w:tcW w:w="2705" w:type="dxa"/>
            <w:shd w:val="clear" w:color="auto" w:fill="auto"/>
            <w:vAlign w:val="center"/>
            <w:hideMark/>
          </w:tcPr>
          <w:p w14:paraId="61D42169" w14:textId="77777777" w:rsidR="0013385F" w:rsidRPr="0013385F" w:rsidRDefault="0013385F" w:rsidP="0082591C">
            <w:pPr>
              <w:spacing w:after="240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13385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 xml:space="preserve">Resource allocation based on health needs. </w:t>
            </w:r>
            <w:r w:rsidRPr="0013385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br/>
            </w:r>
            <w:r w:rsidRPr="0013385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br/>
            </w:r>
            <w:r w:rsidRPr="00655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Measuring and standardising health needs at individual and population level.</w:t>
            </w:r>
            <w:r w:rsidRPr="00655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br/>
            </w:r>
            <w:r w:rsidRPr="00655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br/>
              <w:t>Equity in distribution of human resources.</w:t>
            </w:r>
            <w:r w:rsidRPr="00655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br/>
            </w:r>
            <w:r w:rsidRPr="00655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br/>
              <w:t>Equity in distribution between private and public health</w:t>
            </w:r>
            <w:r w:rsidRPr="0013385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 xml:space="preserve"> provider.</w:t>
            </w:r>
          </w:p>
        </w:tc>
        <w:tc>
          <w:tcPr>
            <w:tcW w:w="2720" w:type="dxa"/>
            <w:shd w:val="clear" w:color="auto" w:fill="auto"/>
            <w:vAlign w:val="center"/>
            <w:hideMark/>
          </w:tcPr>
          <w:p w14:paraId="221296E2" w14:textId="296C8DF3" w:rsidR="0013385F" w:rsidRPr="0013385F" w:rsidRDefault="0013385F" w:rsidP="0082591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13385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Framework/methodology/mechanism for macro-level resource allocation based on health needs</w:t>
            </w:r>
            <w:r w:rsidRPr="0013385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br/>
            </w:r>
            <w:r w:rsidRPr="0013385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br/>
              <w:t>Guideline for equitable resource allocation.</w:t>
            </w:r>
            <w:r w:rsidRPr="0013385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br/>
            </w:r>
            <w:r w:rsidRPr="0013385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br/>
              <w:t>Public and private sector roles in achieving Universal Health Coverage.</w:t>
            </w:r>
          </w:p>
        </w:tc>
      </w:tr>
      <w:tr w:rsidR="00F27B00" w:rsidRPr="00F27B00" w14:paraId="57D7BC63" w14:textId="77777777" w:rsidTr="00FE1029">
        <w:trPr>
          <w:trHeight w:val="2264"/>
        </w:trPr>
        <w:tc>
          <w:tcPr>
            <w:tcW w:w="1345" w:type="dxa"/>
            <w:vMerge w:val="restart"/>
            <w:shd w:val="clear" w:color="auto" w:fill="auto"/>
            <w:vAlign w:val="center"/>
            <w:hideMark/>
          </w:tcPr>
          <w:p w14:paraId="493F830C" w14:textId="77777777" w:rsidR="0013385F" w:rsidRPr="0013385F" w:rsidRDefault="0013385F" w:rsidP="008259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13385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Service Delivery</w:t>
            </w:r>
          </w:p>
        </w:tc>
        <w:tc>
          <w:tcPr>
            <w:tcW w:w="628" w:type="dxa"/>
            <w:shd w:val="clear" w:color="auto" w:fill="auto"/>
            <w:textDirection w:val="btLr"/>
            <w:vAlign w:val="center"/>
            <w:hideMark/>
          </w:tcPr>
          <w:p w14:paraId="24934511" w14:textId="77777777" w:rsidR="0013385F" w:rsidRPr="0013385F" w:rsidRDefault="0013385F" w:rsidP="008259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13385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ST17_01</w:t>
            </w:r>
          </w:p>
        </w:tc>
        <w:tc>
          <w:tcPr>
            <w:tcW w:w="2033" w:type="dxa"/>
            <w:shd w:val="clear" w:color="auto" w:fill="auto"/>
            <w:vAlign w:val="center"/>
            <w:hideMark/>
          </w:tcPr>
          <w:p w14:paraId="40CD719F" w14:textId="77777777" w:rsidR="0013385F" w:rsidRPr="0013385F" w:rsidRDefault="0013385F" w:rsidP="0082591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13385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Quality of care</w:t>
            </w:r>
          </w:p>
        </w:tc>
        <w:tc>
          <w:tcPr>
            <w:tcW w:w="1535" w:type="dxa"/>
            <w:shd w:val="clear" w:color="auto" w:fill="auto"/>
            <w:vAlign w:val="center"/>
            <w:hideMark/>
          </w:tcPr>
          <w:p w14:paraId="248CAF70" w14:textId="77777777" w:rsidR="0013385F" w:rsidRPr="006559BB" w:rsidRDefault="0013385F" w:rsidP="0082591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655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Person-centred care</w:t>
            </w:r>
          </w:p>
        </w:tc>
        <w:tc>
          <w:tcPr>
            <w:tcW w:w="3334" w:type="dxa"/>
            <w:shd w:val="clear" w:color="auto" w:fill="auto"/>
            <w:vAlign w:val="center"/>
            <w:hideMark/>
          </w:tcPr>
          <w:p w14:paraId="44332AE3" w14:textId="77777777" w:rsidR="0013385F" w:rsidRPr="006559BB" w:rsidRDefault="0013385F" w:rsidP="0082591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655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Inadequate analysis, assessment and/or application of mortality, morbidity, public health (e.g. vaccination, occupational health, environmental hazards, etc.) as well as Traditional and Complementary Medicine (T&amp;CM) practices and services and clinical data at practice or primary care level to identify and tailor programmes or services needed for the communities.</w:t>
            </w:r>
          </w:p>
        </w:tc>
        <w:tc>
          <w:tcPr>
            <w:tcW w:w="2705" w:type="dxa"/>
            <w:shd w:val="clear" w:color="auto" w:fill="auto"/>
            <w:vAlign w:val="center"/>
            <w:hideMark/>
          </w:tcPr>
          <w:p w14:paraId="7A012013" w14:textId="77777777" w:rsidR="0013385F" w:rsidRPr="006559BB" w:rsidRDefault="0013385F" w:rsidP="0082591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655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Community-oriented provision of health services at practice or primary care level, based on available data (e.g. clinical, mortality, morbidity, public health data, etc.).</w:t>
            </w:r>
            <w:r w:rsidRPr="00655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br/>
            </w:r>
            <w:r w:rsidRPr="00655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br/>
              <w:t xml:space="preserve">To analyse and develop suitable assessment tools for T&amp;CM practices and services, to have more evidence-based T&amp;CM practices.  </w:t>
            </w:r>
          </w:p>
          <w:p w14:paraId="18388266" w14:textId="77777777" w:rsidR="00603F5A" w:rsidRPr="006559BB" w:rsidRDefault="00603F5A" w:rsidP="0082591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720" w:type="dxa"/>
            <w:shd w:val="clear" w:color="auto" w:fill="auto"/>
            <w:vAlign w:val="center"/>
            <w:hideMark/>
          </w:tcPr>
          <w:p w14:paraId="4AEF4285" w14:textId="77777777" w:rsidR="0013385F" w:rsidRPr="006559BB" w:rsidRDefault="0013385F" w:rsidP="0082591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655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Strategies that enable or train healthcare innovators to conceptualise, implement, evaluate and disseminate community-oriented primary care programmes.</w:t>
            </w:r>
            <w:r w:rsidRPr="00655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br/>
            </w:r>
            <w:r w:rsidRPr="006559B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br/>
              <w:t xml:space="preserve">Develop tailor-made T&amp;CM programme according to the community’s needs. </w:t>
            </w:r>
          </w:p>
        </w:tc>
      </w:tr>
      <w:tr w:rsidR="00F27B00" w:rsidRPr="00F27B00" w14:paraId="3C848126" w14:textId="77777777" w:rsidTr="00FE1029">
        <w:trPr>
          <w:trHeight w:val="2041"/>
        </w:trPr>
        <w:tc>
          <w:tcPr>
            <w:tcW w:w="1345" w:type="dxa"/>
            <w:vMerge/>
            <w:vAlign w:val="center"/>
            <w:hideMark/>
          </w:tcPr>
          <w:p w14:paraId="0A62F42A" w14:textId="77777777" w:rsidR="0013385F" w:rsidRPr="0013385F" w:rsidRDefault="0013385F" w:rsidP="0082591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628" w:type="dxa"/>
            <w:shd w:val="clear" w:color="auto" w:fill="auto"/>
            <w:textDirection w:val="btLr"/>
            <w:vAlign w:val="center"/>
            <w:hideMark/>
          </w:tcPr>
          <w:p w14:paraId="113DACB4" w14:textId="77777777" w:rsidR="0013385F" w:rsidRPr="0013385F" w:rsidRDefault="0013385F" w:rsidP="008259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13385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ST17_02</w:t>
            </w:r>
          </w:p>
        </w:tc>
        <w:tc>
          <w:tcPr>
            <w:tcW w:w="2033" w:type="dxa"/>
            <w:shd w:val="clear" w:color="auto" w:fill="auto"/>
            <w:vAlign w:val="center"/>
            <w:hideMark/>
          </w:tcPr>
          <w:p w14:paraId="061726C6" w14:textId="77777777" w:rsidR="0013385F" w:rsidRPr="0013385F" w:rsidRDefault="0013385F" w:rsidP="0082591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13385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Quality of care</w:t>
            </w:r>
          </w:p>
        </w:tc>
        <w:tc>
          <w:tcPr>
            <w:tcW w:w="1535" w:type="dxa"/>
            <w:shd w:val="clear" w:color="auto" w:fill="auto"/>
            <w:vAlign w:val="center"/>
            <w:hideMark/>
          </w:tcPr>
          <w:p w14:paraId="413721F1" w14:textId="77777777" w:rsidR="0013385F" w:rsidRPr="0013385F" w:rsidRDefault="0013385F" w:rsidP="0082591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13385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Effectiveness and efficiency</w:t>
            </w:r>
          </w:p>
        </w:tc>
        <w:tc>
          <w:tcPr>
            <w:tcW w:w="3334" w:type="dxa"/>
            <w:shd w:val="clear" w:color="auto" w:fill="auto"/>
            <w:vAlign w:val="center"/>
            <w:hideMark/>
          </w:tcPr>
          <w:p w14:paraId="7B1DF43D" w14:textId="77777777" w:rsidR="0013385F" w:rsidRPr="0013385F" w:rsidRDefault="0013385F" w:rsidP="0082591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13385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Lack of evaluation of healthcare programmes, services, work processes including standard operating procedures in various areas (e.g. in child and maternal health, food and safety, laboratory, dental, pharmacy, T&amp;CM and other levels of care or relevant fields).</w:t>
            </w:r>
            <w:r w:rsidRPr="0013385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br/>
            </w:r>
            <w:r w:rsidRPr="0013385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br/>
              <w:t>Public and private healthcare facilities practice different approach of delivering T&amp;CM services to the public.</w:t>
            </w:r>
          </w:p>
        </w:tc>
        <w:tc>
          <w:tcPr>
            <w:tcW w:w="2705" w:type="dxa"/>
            <w:shd w:val="clear" w:color="auto" w:fill="auto"/>
            <w:vAlign w:val="center"/>
            <w:hideMark/>
          </w:tcPr>
          <w:p w14:paraId="472FB242" w14:textId="77777777" w:rsidR="0013385F" w:rsidRPr="0013385F" w:rsidRDefault="0013385F" w:rsidP="0082591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13385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Effectiveness, efficiency and health outcomes of programmes and services delivered. Examples include LEAN management of healthcare to improve effectiveness and efficiency; performance benchmarking; T&amp;CM services in T&amp;CM units in public hospital/ private healthcare facilities</w:t>
            </w:r>
            <w:r w:rsidR="005F5B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.</w:t>
            </w:r>
          </w:p>
        </w:tc>
        <w:tc>
          <w:tcPr>
            <w:tcW w:w="2720" w:type="dxa"/>
            <w:shd w:val="clear" w:color="auto" w:fill="auto"/>
            <w:vAlign w:val="center"/>
            <w:hideMark/>
          </w:tcPr>
          <w:p w14:paraId="0BD66F9D" w14:textId="77777777" w:rsidR="0013385F" w:rsidRPr="0013385F" w:rsidRDefault="0013385F" w:rsidP="0082591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13385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Provide inputs for the strengthening and revision of existing programmes, services, work processes including standard operating procedure, clinical practice guidelines and others.</w:t>
            </w:r>
          </w:p>
        </w:tc>
      </w:tr>
      <w:tr w:rsidR="00F27B00" w:rsidRPr="00F27B00" w14:paraId="30792F2C" w14:textId="77777777" w:rsidTr="00FE1029">
        <w:trPr>
          <w:trHeight w:val="2522"/>
        </w:trPr>
        <w:tc>
          <w:tcPr>
            <w:tcW w:w="1345" w:type="dxa"/>
            <w:vMerge/>
            <w:vAlign w:val="center"/>
            <w:hideMark/>
          </w:tcPr>
          <w:p w14:paraId="425B619A" w14:textId="77777777" w:rsidR="0013385F" w:rsidRPr="0013385F" w:rsidRDefault="0013385F" w:rsidP="0082591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628" w:type="dxa"/>
            <w:shd w:val="clear" w:color="auto" w:fill="auto"/>
            <w:textDirection w:val="btLr"/>
            <w:vAlign w:val="center"/>
            <w:hideMark/>
          </w:tcPr>
          <w:p w14:paraId="46BC1FC5" w14:textId="77777777" w:rsidR="0013385F" w:rsidRPr="0013385F" w:rsidRDefault="0013385F" w:rsidP="0082591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13385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ST17_13</w:t>
            </w:r>
          </w:p>
        </w:tc>
        <w:tc>
          <w:tcPr>
            <w:tcW w:w="2033" w:type="dxa"/>
            <w:shd w:val="clear" w:color="auto" w:fill="auto"/>
            <w:vAlign w:val="center"/>
            <w:hideMark/>
          </w:tcPr>
          <w:p w14:paraId="3A1BA5B4" w14:textId="77777777" w:rsidR="0013385F" w:rsidRPr="0013385F" w:rsidRDefault="0013385F" w:rsidP="0082591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13385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Access</w:t>
            </w:r>
          </w:p>
        </w:tc>
        <w:tc>
          <w:tcPr>
            <w:tcW w:w="1535" w:type="dxa"/>
            <w:shd w:val="clear" w:color="auto" w:fill="auto"/>
            <w:vAlign w:val="center"/>
            <w:hideMark/>
          </w:tcPr>
          <w:p w14:paraId="51B0BBC3" w14:textId="77777777" w:rsidR="0013385F" w:rsidRPr="0013385F" w:rsidRDefault="0013385F" w:rsidP="0082591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13385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Accessibility</w:t>
            </w:r>
          </w:p>
        </w:tc>
        <w:tc>
          <w:tcPr>
            <w:tcW w:w="3334" w:type="dxa"/>
            <w:shd w:val="clear" w:color="auto" w:fill="auto"/>
            <w:vAlign w:val="center"/>
            <w:hideMark/>
          </w:tcPr>
          <w:p w14:paraId="04200BB9" w14:textId="77777777" w:rsidR="0013385F" w:rsidRPr="0013385F" w:rsidRDefault="0013385F" w:rsidP="0082591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13385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Limited oral health services for toddlers, adults, population with special needs and vulnerable/ marginalised groups (e.g. the elderly and indigenous populations of Sabah and Sarawak).</w:t>
            </w:r>
          </w:p>
        </w:tc>
        <w:tc>
          <w:tcPr>
            <w:tcW w:w="2705" w:type="dxa"/>
            <w:shd w:val="clear" w:color="auto" w:fill="auto"/>
            <w:vAlign w:val="center"/>
            <w:hideMark/>
          </w:tcPr>
          <w:p w14:paraId="5C6E708D" w14:textId="77777777" w:rsidR="0013385F" w:rsidRPr="0013385F" w:rsidRDefault="0013385F" w:rsidP="0082591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13385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Evaluation of oral health services, focusing on accessibility and utilisation of services by toddlers, adults, population with special needs and vulnerable/ marginalised groups; looking at current services and barriers such as waiting time, impact and manpower needs.</w:t>
            </w:r>
            <w:r w:rsidRPr="0013385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br/>
            </w:r>
            <w:r w:rsidRPr="0013385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br/>
              <w:t>Assess the accessibility and affordability of oral healthcare services from users' perspective and public willingness to pay for these services.</w:t>
            </w:r>
          </w:p>
        </w:tc>
        <w:tc>
          <w:tcPr>
            <w:tcW w:w="2720" w:type="dxa"/>
            <w:shd w:val="clear" w:color="auto" w:fill="auto"/>
            <w:vAlign w:val="center"/>
            <w:hideMark/>
          </w:tcPr>
          <w:p w14:paraId="13E0C1D8" w14:textId="77777777" w:rsidR="0013385F" w:rsidRPr="0013385F" w:rsidRDefault="0013385F" w:rsidP="0082591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</w:pPr>
            <w:r w:rsidRPr="0013385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n-GB"/>
              </w:rPr>
              <w:t>Information for the improvement and expansion of oral health services.</w:t>
            </w:r>
          </w:p>
        </w:tc>
      </w:tr>
    </w:tbl>
    <w:p w14:paraId="34136B33" w14:textId="77777777" w:rsidR="0013385F" w:rsidRPr="0013385F" w:rsidRDefault="0013385F">
      <w:pPr>
        <w:rPr>
          <w:rFonts w:ascii="Times New Roman" w:hAnsi="Times New Roman" w:cs="Times New Roman"/>
          <w:sz w:val="24"/>
          <w:szCs w:val="24"/>
        </w:rPr>
      </w:pPr>
    </w:p>
    <w:sectPr w:rsidR="0013385F" w:rsidRPr="0013385F" w:rsidSect="0013385F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85F"/>
    <w:rsid w:val="00083C20"/>
    <w:rsid w:val="00095FA6"/>
    <w:rsid w:val="0013385F"/>
    <w:rsid w:val="00187CDE"/>
    <w:rsid w:val="001A6BE5"/>
    <w:rsid w:val="00210825"/>
    <w:rsid w:val="00233E7B"/>
    <w:rsid w:val="002D73D7"/>
    <w:rsid w:val="003F1E9C"/>
    <w:rsid w:val="004638C6"/>
    <w:rsid w:val="005F5BD7"/>
    <w:rsid w:val="00603F5A"/>
    <w:rsid w:val="006055D9"/>
    <w:rsid w:val="006559BB"/>
    <w:rsid w:val="006D5022"/>
    <w:rsid w:val="00761FD6"/>
    <w:rsid w:val="0082591C"/>
    <w:rsid w:val="008B03E1"/>
    <w:rsid w:val="00BF34BA"/>
    <w:rsid w:val="00C734CE"/>
    <w:rsid w:val="00CA7BB9"/>
    <w:rsid w:val="00CE22E9"/>
    <w:rsid w:val="00CF6832"/>
    <w:rsid w:val="00D132B3"/>
    <w:rsid w:val="00D20851"/>
    <w:rsid w:val="00D37716"/>
    <w:rsid w:val="00DF7089"/>
    <w:rsid w:val="00E64494"/>
    <w:rsid w:val="00F27B00"/>
    <w:rsid w:val="00F61025"/>
    <w:rsid w:val="00F97180"/>
    <w:rsid w:val="00FE1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9326F0"/>
  <w15:chartTrackingRefBased/>
  <w15:docId w15:val="{722E8F75-04D6-4F15-82E7-934941E84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765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928</Words>
  <Characters>5293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tang</dc:creator>
  <cp:keywords/>
  <dc:description/>
  <cp:lastModifiedBy>tang</cp:lastModifiedBy>
  <cp:revision>25</cp:revision>
  <dcterms:created xsi:type="dcterms:W3CDTF">2018-11-01T22:21:00Z</dcterms:created>
  <dcterms:modified xsi:type="dcterms:W3CDTF">2018-11-14T12:59:00Z</dcterms:modified>
</cp:coreProperties>
</file>