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CD6F0F" w14:textId="56023624" w:rsidR="00685B7B" w:rsidRPr="00B053D1" w:rsidRDefault="00685B7B" w:rsidP="00685B7B">
      <w:pPr>
        <w:spacing w:after="200" w:line="276" w:lineRule="auto"/>
      </w:pPr>
      <w:r w:rsidRPr="00B053D1">
        <w:t xml:space="preserve">Additional file </w:t>
      </w:r>
      <w:r>
        <w:t>9</w:t>
      </w:r>
      <w:r w:rsidRPr="00B053D1">
        <w:t xml:space="preserve"> </w:t>
      </w:r>
    </w:p>
    <w:p w14:paraId="0C39276D" w14:textId="23EBBD64" w:rsidR="006A6F1A" w:rsidRDefault="00A83296" w:rsidP="006A6F1A">
      <w:pPr>
        <w:spacing w:after="200" w:line="276" w:lineRule="auto"/>
        <w:rPr>
          <w:b/>
        </w:rPr>
      </w:pPr>
      <w:r>
        <w:rPr>
          <w:b/>
        </w:rPr>
        <w:t xml:space="preserve"> </w:t>
      </w:r>
    </w:p>
    <w:p w14:paraId="08ADA7AF" w14:textId="2DE3F3D9" w:rsidR="008A40A7" w:rsidRPr="0080179C" w:rsidRDefault="008A40A7" w:rsidP="008A40A7">
      <w:pPr>
        <w:jc w:val="both"/>
        <w:rPr>
          <w:b/>
        </w:rPr>
      </w:pPr>
      <w:r w:rsidRPr="002705D6">
        <w:rPr>
          <w:b/>
          <w:color w:val="000000"/>
        </w:rPr>
        <w:t xml:space="preserve">Figure </w:t>
      </w:r>
      <w:r w:rsidR="00685B7B">
        <w:rPr>
          <w:b/>
          <w:color w:val="000000"/>
        </w:rPr>
        <w:t>S</w:t>
      </w:r>
      <w:bookmarkStart w:id="0" w:name="_GoBack"/>
      <w:bookmarkEnd w:id="0"/>
      <w:r>
        <w:rPr>
          <w:b/>
          <w:color w:val="000000"/>
        </w:rPr>
        <w:t>8</w:t>
      </w:r>
      <w:r w:rsidRPr="002705D6">
        <w:rPr>
          <w:b/>
          <w:color w:val="000000"/>
        </w:rPr>
        <w:t xml:space="preserve">: </w:t>
      </w:r>
      <w:r w:rsidR="008B2EF3">
        <w:rPr>
          <w:rFonts w:eastAsiaTheme="minorEastAsia" w:hint="eastAsia"/>
          <w:b/>
          <w:color w:val="000000"/>
          <w:lang w:eastAsia="ko-KR"/>
        </w:rPr>
        <w:t>Intervention Effect on</w:t>
      </w:r>
      <w:r w:rsidR="008B2EF3" w:rsidRPr="00331C12">
        <w:rPr>
          <w:b/>
          <w:color w:val="000000"/>
        </w:rPr>
        <w:t xml:space="preserve"> Pneumococcal Vaccination Rates</w:t>
      </w:r>
      <w:r w:rsidR="008B2EF3">
        <w:rPr>
          <w:rFonts w:eastAsiaTheme="minorEastAsia" w:hint="eastAsia"/>
          <w:b/>
          <w:color w:val="000000"/>
          <w:lang w:eastAsia="ko-KR"/>
        </w:rPr>
        <w:t>:</w:t>
      </w:r>
      <w:r w:rsidR="008B2EF3" w:rsidRPr="00331C12">
        <w:rPr>
          <w:b/>
          <w:color w:val="000000"/>
        </w:rPr>
        <w:t xml:space="preserve"> </w:t>
      </w:r>
      <w:r w:rsidRPr="002705D6">
        <w:rPr>
          <w:b/>
          <w:color w:val="000000"/>
        </w:rPr>
        <w:t>Implementing Workflow Redesign and/or BPA Versus Comparison Clinics based on Difference in Difference Analyses – Immunocompromised Patients age</w:t>
      </w:r>
      <w:r>
        <w:rPr>
          <w:b/>
          <w:color w:val="000000"/>
        </w:rPr>
        <w:t>d</w:t>
      </w:r>
      <w:r w:rsidRPr="002705D6">
        <w:rPr>
          <w:b/>
          <w:color w:val="000000"/>
        </w:rPr>
        <w:t xml:space="preserve"> 65+</w:t>
      </w:r>
    </w:p>
    <w:p w14:paraId="4FDBCCB5" w14:textId="17B21002" w:rsidR="002C57AA" w:rsidRPr="00F36C49" w:rsidRDefault="008A40A7" w:rsidP="0080179C">
      <w:pPr>
        <w:jc w:val="both"/>
      </w:pPr>
      <w:r>
        <w:rPr>
          <w:color w:val="FF0000"/>
        </w:rPr>
        <w:t xml:space="preserve"> </w:t>
      </w:r>
      <w:r w:rsidR="008B6DBE">
        <w:rPr>
          <w:noProof/>
          <w:lang w:val="en-PH" w:eastAsia="en-PH"/>
        </w:rPr>
        <w:drawing>
          <wp:inline distT="0" distB="0" distL="0" distR="0" wp14:anchorId="0C38666E" wp14:editId="6ABE49F3">
            <wp:extent cx="4572000" cy="2743200"/>
            <wp:effectExtent l="0" t="0" r="19050" b="19050"/>
            <wp:docPr id="10" name="Chart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60D8F09E" w14:textId="77777777" w:rsidR="00F36C49" w:rsidRPr="006A4F0A" w:rsidRDefault="00F36C49" w:rsidP="00F36C49">
      <w:pPr>
        <w:jc w:val="both"/>
        <w:rPr>
          <w:color w:val="000000"/>
          <w:sz w:val="18"/>
        </w:rPr>
      </w:pPr>
      <w:r w:rsidRPr="006A4F0A">
        <w:rPr>
          <w:color w:val="000000"/>
          <w:sz w:val="18"/>
        </w:rPr>
        <w:t>BPA = best practice alert; HM = health maintenance notifications; WF = Workflow redesign.</w:t>
      </w:r>
    </w:p>
    <w:p w14:paraId="251CE70F" w14:textId="77777777" w:rsidR="00F36C49" w:rsidRPr="00574198" w:rsidRDefault="00F36C49" w:rsidP="0080179C">
      <w:pPr>
        <w:jc w:val="both"/>
        <w:rPr>
          <w:sz w:val="2"/>
        </w:rPr>
      </w:pPr>
    </w:p>
    <w:sectPr w:rsidR="00F36C49" w:rsidRPr="00574198" w:rsidSect="0050190E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3E3567" w14:textId="77777777" w:rsidR="00817376" w:rsidRDefault="00817376" w:rsidP="009E3BF6">
      <w:r>
        <w:separator/>
      </w:r>
    </w:p>
  </w:endnote>
  <w:endnote w:type="continuationSeparator" w:id="0">
    <w:p w14:paraId="6F32456D" w14:textId="77777777" w:rsidR="00817376" w:rsidRDefault="00817376" w:rsidP="009E3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722202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D141FF" w14:textId="77777777" w:rsidR="00B94DF2" w:rsidRDefault="00B94DF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5B7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DDDA036" w14:textId="77777777" w:rsidR="00B94DF2" w:rsidRDefault="00B94DF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0A8427" w14:textId="77777777" w:rsidR="00817376" w:rsidRDefault="00817376" w:rsidP="009E3BF6">
      <w:r>
        <w:separator/>
      </w:r>
    </w:p>
  </w:footnote>
  <w:footnote w:type="continuationSeparator" w:id="0">
    <w:p w14:paraId="3FA024E6" w14:textId="77777777" w:rsidR="00817376" w:rsidRDefault="00817376" w:rsidP="009E3B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5166E"/>
    <w:multiLevelType w:val="multilevel"/>
    <w:tmpl w:val="4B1A9974"/>
    <w:lvl w:ilvl="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3E2845D6"/>
    <w:multiLevelType w:val="hybridMultilevel"/>
    <w:tmpl w:val="E458BC6A"/>
    <w:lvl w:ilvl="0" w:tplc="637A96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9ptf5s9dsr5ewezrvivz9zhve2vz5500zpw&quot;&gt;Pneumococcal_Dec_2017&lt;record-ids&gt;&lt;item&gt;16&lt;/item&gt;&lt;item&gt;18&lt;/item&gt;&lt;item&gt;23&lt;/item&gt;&lt;item&gt;24&lt;/item&gt;&lt;item&gt;25&lt;/item&gt;&lt;item&gt;26&lt;/item&gt;&lt;item&gt;28&lt;/item&gt;&lt;item&gt;31&lt;/item&gt;&lt;item&gt;34&lt;/item&gt;&lt;item&gt;35&lt;/item&gt;&lt;item&gt;36&lt;/item&gt;&lt;/record-ids&gt;&lt;/item&gt;&lt;/Libraries&gt;"/>
    <w:docVar w:name="Total_Editing_Time" w:val="0"/>
  </w:docVars>
  <w:rsids>
    <w:rsidRoot w:val="009E3BF6"/>
    <w:rsid w:val="00001EAF"/>
    <w:rsid w:val="000051D8"/>
    <w:rsid w:val="000079D2"/>
    <w:rsid w:val="00020383"/>
    <w:rsid w:val="00027D33"/>
    <w:rsid w:val="00040FDE"/>
    <w:rsid w:val="0004292A"/>
    <w:rsid w:val="000437BA"/>
    <w:rsid w:val="000473E5"/>
    <w:rsid w:val="00047C88"/>
    <w:rsid w:val="000527A4"/>
    <w:rsid w:val="00052C42"/>
    <w:rsid w:val="00060DEC"/>
    <w:rsid w:val="00064714"/>
    <w:rsid w:val="000658DF"/>
    <w:rsid w:val="00074E3A"/>
    <w:rsid w:val="0007770C"/>
    <w:rsid w:val="000917F4"/>
    <w:rsid w:val="0009485E"/>
    <w:rsid w:val="000A6013"/>
    <w:rsid w:val="000B3E2B"/>
    <w:rsid w:val="000B4AAB"/>
    <w:rsid w:val="000C7A9D"/>
    <w:rsid w:val="000D4354"/>
    <w:rsid w:val="000D7341"/>
    <w:rsid w:val="000E0725"/>
    <w:rsid w:val="000E4638"/>
    <w:rsid w:val="000F0508"/>
    <w:rsid w:val="000F41D0"/>
    <w:rsid w:val="0011296B"/>
    <w:rsid w:val="0013093D"/>
    <w:rsid w:val="001410D6"/>
    <w:rsid w:val="00143101"/>
    <w:rsid w:val="00154706"/>
    <w:rsid w:val="0015487B"/>
    <w:rsid w:val="00154C58"/>
    <w:rsid w:val="001615F3"/>
    <w:rsid w:val="00162166"/>
    <w:rsid w:val="00177E02"/>
    <w:rsid w:val="00186249"/>
    <w:rsid w:val="001904C1"/>
    <w:rsid w:val="00197BFC"/>
    <w:rsid w:val="001C3250"/>
    <w:rsid w:val="001F69B4"/>
    <w:rsid w:val="00210135"/>
    <w:rsid w:val="00221649"/>
    <w:rsid w:val="00224CEB"/>
    <w:rsid w:val="0023655B"/>
    <w:rsid w:val="0024201F"/>
    <w:rsid w:val="00247604"/>
    <w:rsid w:val="00247C5E"/>
    <w:rsid w:val="002523CB"/>
    <w:rsid w:val="00254879"/>
    <w:rsid w:val="002705D6"/>
    <w:rsid w:val="002748C7"/>
    <w:rsid w:val="00276C27"/>
    <w:rsid w:val="0028114D"/>
    <w:rsid w:val="00294D2A"/>
    <w:rsid w:val="002A0F21"/>
    <w:rsid w:val="002A3EAA"/>
    <w:rsid w:val="002A71DC"/>
    <w:rsid w:val="002B052F"/>
    <w:rsid w:val="002B1882"/>
    <w:rsid w:val="002B39E7"/>
    <w:rsid w:val="002B7940"/>
    <w:rsid w:val="002B7DB8"/>
    <w:rsid w:val="002C57AA"/>
    <w:rsid w:val="002D0F1C"/>
    <w:rsid w:val="002E1F77"/>
    <w:rsid w:val="002F3A5B"/>
    <w:rsid w:val="002F77DD"/>
    <w:rsid w:val="0030312E"/>
    <w:rsid w:val="003141AE"/>
    <w:rsid w:val="00331C12"/>
    <w:rsid w:val="003361C8"/>
    <w:rsid w:val="0033772C"/>
    <w:rsid w:val="003508A3"/>
    <w:rsid w:val="00365EEC"/>
    <w:rsid w:val="003855E3"/>
    <w:rsid w:val="00397275"/>
    <w:rsid w:val="003A29F3"/>
    <w:rsid w:val="003A7BAA"/>
    <w:rsid w:val="003C4D49"/>
    <w:rsid w:val="003C6327"/>
    <w:rsid w:val="003C7BBE"/>
    <w:rsid w:val="003D2C13"/>
    <w:rsid w:val="003D5893"/>
    <w:rsid w:val="003E1EE4"/>
    <w:rsid w:val="003E5B59"/>
    <w:rsid w:val="003F10B6"/>
    <w:rsid w:val="0040283E"/>
    <w:rsid w:val="00413A0D"/>
    <w:rsid w:val="0042379D"/>
    <w:rsid w:val="00433FBB"/>
    <w:rsid w:val="0044146A"/>
    <w:rsid w:val="004538D9"/>
    <w:rsid w:val="00484DA5"/>
    <w:rsid w:val="004912BE"/>
    <w:rsid w:val="0049619F"/>
    <w:rsid w:val="004977D5"/>
    <w:rsid w:val="004A56EC"/>
    <w:rsid w:val="004A58AF"/>
    <w:rsid w:val="004A7D3C"/>
    <w:rsid w:val="004B28C7"/>
    <w:rsid w:val="004C158D"/>
    <w:rsid w:val="004D49E9"/>
    <w:rsid w:val="004F05B2"/>
    <w:rsid w:val="004F208E"/>
    <w:rsid w:val="0050190E"/>
    <w:rsid w:val="005066FC"/>
    <w:rsid w:val="0051321D"/>
    <w:rsid w:val="00524BAB"/>
    <w:rsid w:val="005329F9"/>
    <w:rsid w:val="005563C9"/>
    <w:rsid w:val="005705CB"/>
    <w:rsid w:val="00574198"/>
    <w:rsid w:val="005803CC"/>
    <w:rsid w:val="00581DD5"/>
    <w:rsid w:val="00590881"/>
    <w:rsid w:val="00592583"/>
    <w:rsid w:val="005B40D6"/>
    <w:rsid w:val="005B41B4"/>
    <w:rsid w:val="005B4CC3"/>
    <w:rsid w:val="005D380C"/>
    <w:rsid w:val="005D45CA"/>
    <w:rsid w:val="005E18E2"/>
    <w:rsid w:val="006009F5"/>
    <w:rsid w:val="00614D04"/>
    <w:rsid w:val="00621FCF"/>
    <w:rsid w:val="00631A46"/>
    <w:rsid w:val="00636100"/>
    <w:rsid w:val="00641499"/>
    <w:rsid w:val="0066473C"/>
    <w:rsid w:val="006678C9"/>
    <w:rsid w:val="006714D5"/>
    <w:rsid w:val="00673009"/>
    <w:rsid w:val="006815FB"/>
    <w:rsid w:val="00685B7B"/>
    <w:rsid w:val="00686AAE"/>
    <w:rsid w:val="00693DCB"/>
    <w:rsid w:val="006A371A"/>
    <w:rsid w:val="006A6F1A"/>
    <w:rsid w:val="006B3F4C"/>
    <w:rsid w:val="006C1A9D"/>
    <w:rsid w:val="006C3E2A"/>
    <w:rsid w:val="006C4460"/>
    <w:rsid w:val="006D1C76"/>
    <w:rsid w:val="006D2B36"/>
    <w:rsid w:val="006D6801"/>
    <w:rsid w:val="006E0422"/>
    <w:rsid w:val="006E2FC9"/>
    <w:rsid w:val="006F55FA"/>
    <w:rsid w:val="00711BA4"/>
    <w:rsid w:val="0071507F"/>
    <w:rsid w:val="00721DF7"/>
    <w:rsid w:val="007475BA"/>
    <w:rsid w:val="007569AE"/>
    <w:rsid w:val="00761050"/>
    <w:rsid w:val="00761EA2"/>
    <w:rsid w:val="00761FF3"/>
    <w:rsid w:val="00762C47"/>
    <w:rsid w:val="00765B59"/>
    <w:rsid w:val="00773044"/>
    <w:rsid w:val="00776C7E"/>
    <w:rsid w:val="007834CD"/>
    <w:rsid w:val="00783DC2"/>
    <w:rsid w:val="007A005D"/>
    <w:rsid w:val="007A037A"/>
    <w:rsid w:val="007A2E1F"/>
    <w:rsid w:val="007A3950"/>
    <w:rsid w:val="007A470F"/>
    <w:rsid w:val="007A7100"/>
    <w:rsid w:val="007D2F1E"/>
    <w:rsid w:val="007E0A0F"/>
    <w:rsid w:val="007E38D7"/>
    <w:rsid w:val="007E61D4"/>
    <w:rsid w:val="007F3906"/>
    <w:rsid w:val="00800321"/>
    <w:rsid w:val="008003DB"/>
    <w:rsid w:val="0080179C"/>
    <w:rsid w:val="00810995"/>
    <w:rsid w:val="00811FC2"/>
    <w:rsid w:val="00813078"/>
    <w:rsid w:val="00816457"/>
    <w:rsid w:val="00817376"/>
    <w:rsid w:val="00822F7C"/>
    <w:rsid w:val="00824222"/>
    <w:rsid w:val="00827B5E"/>
    <w:rsid w:val="0083456A"/>
    <w:rsid w:val="00837A40"/>
    <w:rsid w:val="008404CA"/>
    <w:rsid w:val="0084081F"/>
    <w:rsid w:val="008459A8"/>
    <w:rsid w:val="00846F2E"/>
    <w:rsid w:val="00854311"/>
    <w:rsid w:val="0085708D"/>
    <w:rsid w:val="0085798A"/>
    <w:rsid w:val="00861C56"/>
    <w:rsid w:val="00877CE6"/>
    <w:rsid w:val="00880A30"/>
    <w:rsid w:val="008A17AC"/>
    <w:rsid w:val="008A40A7"/>
    <w:rsid w:val="008B2EF3"/>
    <w:rsid w:val="008B6DBE"/>
    <w:rsid w:val="008C12BF"/>
    <w:rsid w:val="008C5B77"/>
    <w:rsid w:val="008D7074"/>
    <w:rsid w:val="008E64DB"/>
    <w:rsid w:val="008F0AA6"/>
    <w:rsid w:val="008F0D1E"/>
    <w:rsid w:val="008F4B5A"/>
    <w:rsid w:val="009008C2"/>
    <w:rsid w:val="009067FF"/>
    <w:rsid w:val="00906BB1"/>
    <w:rsid w:val="0091602D"/>
    <w:rsid w:val="00917AC7"/>
    <w:rsid w:val="00925653"/>
    <w:rsid w:val="00951390"/>
    <w:rsid w:val="00953845"/>
    <w:rsid w:val="009549E3"/>
    <w:rsid w:val="00955D42"/>
    <w:rsid w:val="0096284B"/>
    <w:rsid w:val="00963F35"/>
    <w:rsid w:val="00967B1A"/>
    <w:rsid w:val="00977832"/>
    <w:rsid w:val="00982BB5"/>
    <w:rsid w:val="009A43C3"/>
    <w:rsid w:val="009A77B1"/>
    <w:rsid w:val="009C7A1C"/>
    <w:rsid w:val="009E2566"/>
    <w:rsid w:val="009E3BF6"/>
    <w:rsid w:val="00A02868"/>
    <w:rsid w:val="00A43BFD"/>
    <w:rsid w:val="00A5403C"/>
    <w:rsid w:val="00A77F0F"/>
    <w:rsid w:val="00A83296"/>
    <w:rsid w:val="00A87DF0"/>
    <w:rsid w:val="00A95D9D"/>
    <w:rsid w:val="00A96D80"/>
    <w:rsid w:val="00AB49A1"/>
    <w:rsid w:val="00AD008F"/>
    <w:rsid w:val="00AD28FA"/>
    <w:rsid w:val="00AE38C9"/>
    <w:rsid w:val="00AE5105"/>
    <w:rsid w:val="00AE78ED"/>
    <w:rsid w:val="00AF1E9D"/>
    <w:rsid w:val="00AF2CB8"/>
    <w:rsid w:val="00B02BD2"/>
    <w:rsid w:val="00B20491"/>
    <w:rsid w:val="00B204C2"/>
    <w:rsid w:val="00B223F8"/>
    <w:rsid w:val="00B24982"/>
    <w:rsid w:val="00B44E76"/>
    <w:rsid w:val="00B456C3"/>
    <w:rsid w:val="00B54972"/>
    <w:rsid w:val="00B57B77"/>
    <w:rsid w:val="00B60508"/>
    <w:rsid w:val="00B6116D"/>
    <w:rsid w:val="00B61AD6"/>
    <w:rsid w:val="00B77F91"/>
    <w:rsid w:val="00B94DF2"/>
    <w:rsid w:val="00BA5311"/>
    <w:rsid w:val="00BC32FB"/>
    <w:rsid w:val="00BC6893"/>
    <w:rsid w:val="00BD0868"/>
    <w:rsid w:val="00BD26B5"/>
    <w:rsid w:val="00BD557D"/>
    <w:rsid w:val="00BF2EFF"/>
    <w:rsid w:val="00BF77B2"/>
    <w:rsid w:val="00C10A7A"/>
    <w:rsid w:val="00C13586"/>
    <w:rsid w:val="00C174AD"/>
    <w:rsid w:val="00C2299B"/>
    <w:rsid w:val="00C26416"/>
    <w:rsid w:val="00C40147"/>
    <w:rsid w:val="00C40E8A"/>
    <w:rsid w:val="00C41F31"/>
    <w:rsid w:val="00C42487"/>
    <w:rsid w:val="00C42B45"/>
    <w:rsid w:val="00C625C1"/>
    <w:rsid w:val="00C66575"/>
    <w:rsid w:val="00C66A8D"/>
    <w:rsid w:val="00C7087C"/>
    <w:rsid w:val="00C759F5"/>
    <w:rsid w:val="00C8202A"/>
    <w:rsid w:val="00C83FF8"/>
    <w:rsid w:val="00C87F43"/>
    <w:rsid w:val="00C95036"/>
    <w:rsid w:val="00CA1C73"/>
    <w:rsid w:val="00CA1E93"/>
    <w:rsid w:val="00CA3ECA"/>
    <w:rsid w:val="00CB043C"/>
    <w:rsid w:val="00CB2352"/>
    <w:rsid w:val="00CC046E"/>
    <w:rsid w:val="00CC3EF6"/>
    <w:rsid w:val="00CE10E7"/>
    <w:rsid w:val="00CF333C"/>
    <w:rsid w:val="00D00131"/>
    <w:rsid w:val="00D052CA"/>
    <w:rsid w:val="00D13B40"/>
    <w:rsid w:val="00D2172A"/>
    <w:rsid w:val="00D266BF"/>
    <w:rsid w:val="00D36363"/>
    <w:rsid w:val="00D52A93"/>
    <w:rsid w:val="00D55240"/>
    <w:rsid w:val="00D72D81"/>
    <w:rsid w:val="00D74460"/>
    <w:rsid w:val="00D83289"/>
    <w:rsid w:val="00D85485"/>
    <w:rsid w:val="00D90CFE"/>
    <w:rsid w:val="00D92F67"/>
    <w:rsid w:val="00DA52FF"/>
    <w:rsid w:val="00DD0939"/>
    <w:rsid w:val="00DD0A73"/>
    <w:rsid w:val="00DD3E75"/>
    <w:rsid w:val="00DE19D2"/>
    <w:rsid w:val="00DF1683"/>
    <w:rsid w:val="00DF6507"/>
    <w:rsid w:val="00DF6900"/>
    <w:rsid w:val="00E30ADC"/>
    <w:rsid w:val="00E313B4"/>
    <w:rsid w:val="00E31740"/>
    <w:rsid w:val="00E31DB3"/>
    <w:rsid w:val="00E34B98"/>
    <w:rsid w:val="00E46869"/>
    <w:rsid w:val="00E50411"/>
    <w:rsid w:val="00E62BA2"/>
    <w:rsid w:val="00E845A2"/>
    <w:rsid w:val="00E92F49"/>
    <w:rsid w:val="00E934AD"/>
    <w:rsid w:val="00EA550E"/>
    <w:rsid w:val="00EA688F"/>
    <w:rsid w:val="00EA6F89"/>
    <w:rsid w:val="00EB07E1"/>
    <w:rsid w:val="00EC024D"/>
    <w:rsid w:val="00ED5A31"/>
    <w:rsid w:val="00EE3549"/>
    <w:rsid w:val="00EE6694"/>
    <w:rsid w:val="00EF64A8"/>
    <w:rsid w:val="00F03FC0"/>
    <w:rsid w:val="00F061C7"/>
    <w:rsid w:val="00F25DC2"/>
    <w:rsid w:val="00F337B3"/>
    <w:rsid w:val="00F36C49"/>
    <w:rsid w:val="00F4558A"/>
    <w:rsid w:val="00F544D9"/>
    <w:rsid w:val="00F57F19"/>
    <w:rsid w:val="00F86E25"/>
    <w:rsid w:val="00F87592"/>
    <w:rsid w:val="00F959A8"/>
    <w:rsid w:val="00FA045C"/>
    <w:rsid w:val="00FA07FF"/>
    <w:rsid w:val="00FE40FE"/>
    <w:rsid w:val="00FF0D09"/>
    <w:rsid w:val="00FF7030"/>
    <w:rsid w:val="00FF7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04B9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9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96284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9628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3BF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3BF6"/>
  </w:style>
  <w:style w:type="paragraph" w:styleId="Footer">
    <w:name w:val="footer"/>
    <w:basedOn w:val="Normal"/>
    <w:link w:val="FooterChar"/>
    <w:uiPriority w:val="99"/>
    <w:unhideWhenUsed/>
    <w:rsid w:val="009E3BF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3BF6"/>
  </w:style>
  <w:style w:type="character" w:styleId="CommentReference">
    <w:name w:val="annotation reference"/>
    <w:basedOn w:val="DefaultParagraphFont"/>
    <w:uiPriority w:val="99"/>
    <w:semiHidden/>
    <w:unhideWhenUsed/>
    <w:rsid w:val="009E3B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3BF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3BF6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3B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3BF6"/>
    <w:rPr>
      <w:rFonts w:ascii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3B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3BF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D2F1E"/>
    <w:pPr>
      <w:ind w:left="720"/>
      <w:contextualSpacing/>
    </w:pPr>
    <w:rPr>
      <w:rFonts w:eastAsia="Malgun Gothic"/>
    </w:rPr>
  </w:style>
  <w:style w:type="character" w:customStyle="1" w:styleId="htmlpage">
    <w:name w:val="htmlpage"/>
    <w:rsid w:val="006C1A9D"/>
  </w:style>
  <w:style w:type="character" w:customStyle="1" w:styleId="Heading1Char">
    <w:name w:val="Heading 1 Char"/>
    <w:basedOn w:val="DefaultParagraphFont"/>
    <w:link w:val="Heading1"/>
    <w:rsid w:val="0096284B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96284B"/>
    <w:rPr>
      <w:rFonts w:ascii="Arial" w:eastAsia="Times New Roman" w:hAnsi="Arial" w:cs="Arial"/>
      <w:b/>
      <w:bCs/>
      <w:sz w:val="26"/>
      <w:szCs w:val="26"/>
    </w:rPr>
  </w:style>
  <w:style w:type="character" w:styleId="Strong">
    <w:name w:val="Strong"/>
    <w:basedOn w:val="DefaultParagraphFont"/>
    <w:uiPriority w:val="22"/>
    <w:qFormat/>
    <w:rsid w:val="0096284B"/>
    <w:rPr>
      <w:b/>
      <w:bCs/>
    </w:rPr>
  </w:style>
  <w:style w:type="paragraph" w:customStyle="1" w:styleId="p1">
    <w:name w:val="p1"/>
    <w:basedOn w:val="Normal"/>
    <w:rsid w:val="0096284B"/>
    <w:pPr>
      <w:spacing w:line="137" w:lineRule="atLeast"/>
      <w:jc w:val="both"/>
    </w:pPr>
    <w:rPr>
      <w:rFonts w:ascii="Helvetica" w:hAnsi="Helvetica"/>
      <w:color w:val="2D2829"/>
      <w:sz w:val="14"/>
      <w:szCs w:val="14"/>
    </w:rPr>
  </w:style>
  <w:style w:type="paragraph" w:customStyle="1" w:styleId="EndNoteBibliographyTitle">
    <w:name w:val="EndNote Bibliography Title"/>
    <w:basedOn w:val="Normal"/>
    <w:link w:val="EndNoteBibliographyTitleChar"/>
    <w:rsid w:val="002A0F21"/>
    <w:pPr>
      <w:jc w:val="center"/>
    </w:pPr>
  </w:style>
  <w:style w:type="character" w:customStyle="1" w:styleId="EndNoteBibliographyTitleChar">
    <w:name w:val="EndNote Bibliography Title Char"/>
    <w:basedOn w:val="DefaultParagraphFont"/>
    <w:link w:val="EndNoteBibliographyTitle"/>
    <w:rsid w:val="002A0F21"/>
    <w:rPr>
      <w:rFonts w:ascii="Times New Roman" w:eastAsia="Times New Roman" w:hAnsi="Times New Roman" w:cs="Times New Roman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2A0F21"/>
    <w:pPr>
      <w:jc w:val="both"/>
    </w:pPr>
  </w:style>
  <w:style w:type="character" w:customStyle="1" w:styleId="EndNoteBibliographyChar">
    <w:name w:val="EndNote Bibliography Char"/>
    <w:basedOn w:val="DefaultParagraphFont"/>
    <w:link w:val="EndNoteBibliography"/>
    <w:rsid w:val="002A0F21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A0F2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A0F21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rsid w:val="000F41D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0A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9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96284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9628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3BF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3BF6"/>
  </w:style>
  <w:style w:type="paragraph" w:styleId="Footer">
    <w:name w:val="footer"/>
    <w:basedOn w:val="Normal"/>
    <w:link w:val="FooterChar"/>
    <w:uiPriority w:val="99"/>
    <w:unhideWhenUsed/>
    <w:rsid w:val="009E3BF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3BF6"/>
  </w:style>
  <w:style w:type="character" w:styleId="CommentReference">
    <w:name w:val="annotation reference"/>
    <w:basedOn w:val="DefaultParagraphFont"/>
    <w:uiPriority w:val="99"/>
    <w:semiHidden/>
    <w:unhideWhenUsed/>
    <w:rsid w:val="009E3B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3BF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3BF6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3B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3BF6"/>
    <w:rPr>
      <w:rFonts w:ascii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3B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3BF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D2F1E"/>
    <w:pPr>
      <w:ind w:left="720"/>
      <w:contextualSpacing/>
    </w:pPr>
    <w:rPr>
      <w:rFonts w:eastAsia="Malgun Gothic"/>
    </w:rPr>
  </w:style>
  <w:style w:type="character" w:customStyle="1" w:styleId="htmlpage">
    <w:name w:val="htmlpage"/>
    <w:rsid w:val="006C1A9D"/>
  </w:style>
  <w:style w:type="character" w:customStyle="1" w:styleId="Heading1Char">
    <w:name w:val="Heading 1 Char"/>
    <w:basedOn w:val="DefaultParagraphFont"/>
    <w:link w:val="Heading1"/>
    <w:rsid w:val="0096284B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96284B"/>
    <w:rPr>
      <w:rFonts w:ascii="Arial" w:eastAsia="Times New Roman" w:hAnsi="Arial" w:cs="Arial"/>
      <w:b/>
      <w:bCs/>
      <w:sz w:val="26"/>
      <w:szCs w:val="26"/>
    </w:rPr>
  </w:style>
  <w:style w:type="character" w:styleId="Strong">
    <w:name w:val="Strong"/>
    <w:basedOn w:val="DefaultParagraphFont"/>
    <w:uiPriority w:val="22"/>
    <w:qFormat/>
    <w:rsid w:val="0096284B"/>
    <w:rPr>
      <w:b/>
      <w:bCs/>
    </w:rPr>
  </w:style>
  <w:style w:type="paragraph" w:customStyle="1" w:styleId="p1">
    <w:name w:val="p1"/>
    <w:basedOn w:val="Normal"/>
    <w:rsid w:val="0096284B"/>
    <w:pPr>
      <w:spacing w:line="137" w:lineRule="atLeast"/>
      <w:jc w:val="both"/>
    </w:pPr>
    <w:rPr>
      <w:rFonts w:ascii="Helvetica" w:hAnsi="Helvetica"/>
      <w:color w:val="2D2829"/>
      <w:sz w:val="14"/>
      <w:szCs w:val="14"/>
    </w:rPr>
  </w:style>
  <w:style w:type="paragraph" w:customStyle="1" w:styleId="EndNoteBibliographyTitle">
    <w:name w:val="EndNote Bibliography Title"/>
    <w:basedOn w:val="Normal"/>
    <w:link w:val="EndNoteBibliographyTitleChar"/>
    <w:rsid w:val="002A0F21"/>
    <w:pPr>
      <w:jc w:val="center"/>
    </w:pPr>
  </w:style>
  <w:style w:type="character" w:customStyle="1" w:styleId="EndNoteBibliographyTitleChar">
    <w:name w:val="EndNote Bibliography Title Char"/>
    <w:basedOn w:val="DefaultParagraphFont"/>
    <w:link w:val="EndNoteBibliographyTitle"/>
    <w:rsid w:val="002A0F21"/>
    <w:rPr>
      <w:rFonts w:ascii="Times New Roman" w:eastAsia="Times New Roman" w:hAnsi="Times New Roman" w:cs="Times New Roman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2A0F21"/>
    <w:pPr>
      <w:jc w:val="both"/>
    </w:pPr>
  </w:style>
  <w:style w:type="character" w:customStyle="1" w:styleId="EndNoteBibliographyChar">
    <w:name w:val="EndNote Bibliography Char"/>
    <w:basedOn w:val="DefaultParagraphFont"/>
    <w:link w:val="EndNoteBibliography"/>
    <w:rsid w:val="002A0F21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A0F2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A0F21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rsid w:val="000F41D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0A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2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chart" Target="charts/chart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oleObject" Target="file:///C:\Users\Minkyoung\Box%20Sync\4.PORC\Merck_PneumoVaccin\Results\temp.xlsx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PH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lineChart>
        <c:grouping val="standard"/>
        <c:varyColors val="0"/>
        <c:ser>
          <c:idx val="1"/>
          <c:order val="0"/>
          <c:spPr>
            <a:ln w="25400" cap="rnd" cmpd="sng" algn="ctr">
              <a:noFill/>
              <a:round/>
            </a:ln>
            <a:effectLst/>
          </c:spPr>
          <c:marker>
            <c:symbol val="circle"/>
            <c:size val="4"/>
            <c:spPr>
              <a:solidFill>
                <a:schemeClr val="accent6">
                  <a:shade val="76000"/>
                </a:schemeClr>
              </a:solidFill>
              <a:ln w="9525" cap="flat" cmpd="sng" algn="ctr">
                <a:solidFill>
                  <a:schemeClr val="accent6">
                    <a:shade val="76000"/>
                  </a:schemeClr>
                </a:solidFill>
                <a:round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errBars>
            <c:errDir val="y"/>
            <c:errBarType val="both"/>
            <c:errValType val="cust"/>
            <c:noEndCap val="0"/>
            <c:plus>
              <c:numRef>
                <c:f>Sheet3!$J$14:$L$14</c:f>
                <c:numCache>
                  <c:formatCode>General</c:formatCode>
                  <c:ptCount val="3"/>
                  <c:pt idx="0">
                    <c:v>5.9843500000000008E-2</c:v>
                  </c:pt>
                  <c:pt idx="1">
                    <c:v>4.4102799999999998E-2</c:v>
                  </c:pt>
                  <c:pt idx="2">
                    <c:v>4.9274099999999994E-2</c:v>
                  </c:pt>
                </c:numCache>
              </c:numRef>
            </c:plus>
            <c:minus>
              <c:numRef>
                <c:f>Sheet3!$J$14:$L$14</c:f>
                <c:numCache>
                  <c:formatCode>General</c:formatCode>
                  <c:ptCount val="3"/>
                  <c:pt idx="0">
                    <c:v>5.9843500000000008E-2</c:v>
                  </c:pt>
                  <c:pt idx="1">
                    <c:v>4.4102799999999998E-2</c:v>
                  </c:pt>
                  <c:pt idx="2">
                    <c:v>4.9274099999999994E-2</c:v>
                  </c:pt>
                </c:numCache>
              </c:numRef>
            </c:minus>
            <c:spPr>
              <a:noFill/>
              <a:ln w="9525">
                <a:solidFill>
                  <a:schemeClr val="dk1">
                    <a:lumMod val="65000"/>
                    <a:lumOff val="35000"/>
                  </a:schemeClr>
                </a:solidFill>
              </a:ln>
              <a:effectLst/>
            </c:spPr>
          </c:errBars>
          <c:cat>
            <c:strRef>
              <c:f>Sheet3!$J$12:$L$12</c:f>
              <c:strCache>
                <c:ptCount val="3"/>
                <c:pt idx="0">
                  <c:v>WF+BPA/HM*</c:v>
                </c:pt>
                <c:pt idx="1">
                  <c:v>BPA/HM*</c:v>
                </c:pt>
                <c:pt idx="2">
                  <c:v>WF*</c:v>
                </c:pt>
              </c:strCache>
            </c:strRef>
          </c:cat>
          <c:val>
            <c:numRef>
              <c:f>Sheet3!$J$13:$L$13</c:f>
              <c:numCache>
                <c:formatCode>0.00</c:formatCode>
                <c:ptCount val="3"/>
                <c:pt idx="0">
                  <c:v>-6.2529100000000004E-2</c:v>
                </c:pt>
                <c:pt idx="1">
                  <c:v>-0.1073877</c:v>
                </c:pt>
                <c:pt idx="2">
                  <c:v>-0.11054799999999999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5C89-2044-97D4-EBF3C3708E41}"/>
            </c:ext>
          </c:extLst>
        </c:ser>
        <c:dLbls>
          <c:dLblPos val="r"/>
          <c:showLegendKey val="0"/>
          <c:showVal val="1"/>
          <c:showCatName val="0"/>
          <c:showSerName val="0"/>
          <c:showPercent val="0"/>
          <c:showBubbleSize val="0"/>
        </c:dLbls>
        <c:dropLines>
          <c:spPr>
            <a:ln w="9525" cap="flat" cmpd="sng" algn="ctr">
              <a:solidFill>
                <a:schemeClr val="dk1">
                  <a:lumMod val="35000"/>
                  <a:lumOff val="65000"/>
                  <a:alpha val="33000"/>
                </a:schemeClr>
              </a:solidFill>
              <a:round/>
            </a:ln>
            <a:effectLst/>
          </c:spPr>
        </c:dropLines>
        <c:marker val="1"/>
        <c:smooth val="0"/>
        <c:axId val="333149312"/>
        <c:axId val="333151232"/>
      </c:lineChart>
      <c:catAx>
        <c:axId val="33314931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1" i="0" u="none" strike="noStrike" kern="1200" cap="all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100" b="1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Intervention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333151232"/>
        <c:crosses val="autoZero"/>
        <c:auto val="1"/>
        <c:lblAlgn val="ctr"/>
        <c:lblOffset val="100"/>
        <c:noMultiLvlLbl val="0"/>
      </c:catAx>
      <c:valAx>
        <c:axId val="333151232"/>
        <c:scaling>
          <c:orientation val="minMax"/>
          <c:max val="0.13"/>
          <c:min val="-0.17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b="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r>
                  <a:rPr lang="en-US" b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Percentage points</a:t>
                </a:r>
              </a:p>
            </c:rich>
          </c:tx>
          <c:overlay val="0"/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33149312"/>
        <c:crosses val="autoZero"/>
        <c:crossBetween val="between"/>
      </c:valAx>
      <c:spPr>
        <a:gradFill>
          <a:gsLst>
            <a:gs pos="100000">
              <a:schemeClr val="lt1">
                <a:lumMod val="95000"/>
              </a:schemeClr>
            </a:gs>
            <a:gs pos="0">
              <a:schemeClr val="lt1"/>
            </a:gs>
          </a:gsLst>
          <a:lin ang="5400000" scaled="0"/>
        </a:gradFill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  <c:userShapes r:id="rId3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0.34896</cdr:x>
      <cdr:y>0.45833</cdr:y>
    </cdr:from>
    <cdr:to>
      <cdr:x>0.40521</cdr:x>
      <cdr:y>0.53819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1595460" y="1257294"/>
          <a:ext cx="257175" cy="21907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US" sz="1100">
              <a:solidFill>
                <a:schemeClr val="tx1">
                  <a:lumMod val="65000"/>
                  <a:lumOff val="35000"/>
                </a:schemeClr>
              </a:solidFill>
            </a:rPr>
            <a:t>*</a:t>
          </a:r>
        </a:p>
      </cdr:txBody>
    </cdr:sp>
  </cdr:relSizeAnchor>
  <cdr:relSizeAnchor xmlns:cdr="http://schemas.openxmlformats.org/drawingml/2006/chartDrawing">
    <cdr:from>
      <cdr:x>0.6198</cdr:x>
      <cdr:y>0.57639</cdr:y>
    </cdr:from>
    <cdr:to>
      <cdr:x>0.67605</cdr:x>
      <cdr:y>0.65625</cdr:y>
    </cdr:to>
    <cdr:sp macro="" textlink="">
      <cdr:nvSpPr>
        <cdr:cNvPr id="4" name="TextBox 1"/>
        <cdr:cNvSpPr txBox="1"/>
      </cdr:nvSpPr>
      <cdr:spPr>
        <a:xfrm xmlns:a="http://schemas.openxmlformats.org/drawingml/2006/main">
          <a:off x="2833710" y="1581147"/>
          <a:ext cx="257175" cy="21907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US" sz="1100">
              <a:solidFill>
                <a:schemeClr val="tx1">
                  <a:lumMod val="65000"/>
                  <a:lumOff val="35000"/>
                </a:schemeClr>
              </a:solidFill>
            </a:rPr>
            <a:t>*</a:t>
          </a:r>
        </a:p>
      </cdr:txBody>
    </cdr:sp>
  </cdr:relSizeAnchor>
  <cdr:relSizeAnchor xmlns:cdr="http://schemas.openxmlformats.org/drawingml/2006/chartDrawing">
    <cdr:from>
      <cdr:x>0.88611</cdr:x>
      <cdr:y>0.57754</cdr:y>
    </cdr:from>
    <cdr:to>
      <cdr:x>0.94236</cdr:x>
      <cdr:y>0.6574</cdr:y>
    </cdr:to>
    <cdr:sp macro="" textlink="">
      <cdr:nvSpPr>
        <cdr:cNvPr id="5" name="TextBox 1"/>
        <cdr:cNvSpPr txBox="1"/>
      </cdr:nvSpPr>
      <cdr:spPr>
        <a:xfrm xmlns:a="http://schemas.openxmlformats.org/drawingml/2006/main">
          <a:off x="4051310" y="1584317"/>
          <a:ext cx="257175" cy="21907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>
              <a:solidFill>
                <a:schemeClr val="tx1">
                  <a:lumMod val="65000"/>
                  <a:lumOff val="35000"/>
                </a:schemeClr>
              </a:solidFill>
            </a:rPr>
            <a:t>*</a:t>
          </a: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a10f9ac0-5937-4b4f-b459-96aedd9ed2c5" origin="userSelected">
  <element uid="9920fcc9-9f43-4d43-9e3e-b98a219cfd55" value=""/>
</sisl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96A1602-835B-42DD-9976-B7F4D34E2AB8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B0FA4AF7-2535-41EB-B069-797CAC804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288</Characters>
  <Application>Microsoft Office Word</Application>
  <DocSecurity>0</DocSecurity>
  <Lines>6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SPi Global</Company>
  <LinksUpToDate>false</LinksUpToDate>
  <CharactersWithSpaces>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HEALCANCIA</cp:lastModifiedBy>
  <cp:revision>2</cp:revision>
  <dcterms:created xsi:type="dcterms:W3CDTF">2019-04-02T10:18:00Z</dcterms:created>
  <dcterms:modified xsi:type="dcterms:W3CDTF">2019-06-15T15:57:00Z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7c35e10e-4591-4461-843b-a775c15c6380</vt:lpwstr>
  </property>
  <property fmtid="{D5CDD505-2E9C-101B-9397-08002B2CF9AE}" pid="3" name="bjSaver">
    <vt:lpwstr>+hZh1h+dN9Cwrbh19RLRsUqbGqJ3YYXx</vt:lpwstr>
  </property>
  <property fmtid="{D5CDD505-2E9C-101B-9397-08002B2CF9AE}" pid="4" name="bjDocumentSecurityLabel">
    <vt:lpwstr>Not Classified</vt:lpwstr>
  </property>
  <property fmtid="{D5CDD505-2E9C-101B-9397-08002B2CF9AE}" pid="5" name="_NewReviewCycle">
    <vt:lpwstr/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policy="a10f9ac0-5937-4b4f-b459-96aedd9ed2c5" origin="userSelected" xmlns="http://www.boldonj</vt:lpwstr>
  </property>
  <property fmtid="{D5CDD505-2E9C-101B-9397-08002B2CF9AE}" pid="7" name="bjDocumentLabelXML-0">
    <vt:lpwstr>ames.com/2008/01/sie/internal/label"&gt;&lt;element uid="9920fcc9-9f43-4d43-9e3e-b98a219cfd55" value="" /&gt;&lt;/sisl&gt;</vt:lpwstr>
  </property>
  <property fmtid="{D5CDD505-2E9C-101B-9397-08002B2CF9AE}" pid="8" name="_AdHocReviewCycleID">
    <vt:i4>-208300390</vt:i4>
  </property>
  <property fmtid="{D5CDD505-2E9C-101B-9397-08002B2CF9AE}" pid="9" name="_ReviewingToolsShownOnce">
    <vt:lpwstr/>
  </property>
</Properties>
</file>