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horzAnchor="margin" w:tblpY="1095"/>
        <w:tblW w:w="9776" w:type="dxa"/>
        <w:tblLook w:val="04A0" w:firstRow="1" w:lastRow="0" w:firstColumn="1" w:lastColumn="0" w:noHBand="0" w:noVBand="1"/>
      </w:tblPr>
      <w:tblGrid>
        <w:gridCol w:w="1838"/>
        <w:gridCol w:w="1843"/>
        <w:gridCol w:w="6095"/>
      </w:tblGrid>
      <w:tr w:rsidR="00DE7577" w:rsidRPr="00DE7577" w:rsidTr="006925BD">
        <w:tc>
          <w:tcPr>
            <w:tcW w:w="1838" w:type="dxa"/>
          </w:tcPr>
          <w:p w:rsidR="00DE7577" w:rsidRPr="00DE7577" w:rsidRDefault="00DE7577" w:rsidP="006925BD">
            <w:pPr>
              <w:bidi w:val="0"/>
              <w:rPr>
                <w:rFonts w:asciiTheme="majorBidi" w:hAnsiTheme="majorBidi" w:cstheme="majorBidi"/>
                <w:sz w:val="24"/>
                <w:szCs w:val="24"/>
              </w:rPr>
            </w:pPr>
            <w:r w:rsidRPr="00DE7577">
              <w:rPr>
                <w:rFonts w:asciiTheme="majorBidi" w:hAnsiTheme="majorBidi" w:cstheme="majorBidi"/>
                <w:sz w:val="24"/>
                <w:szCs w:val="24"/>
              </w:rPr>
              <w:t xml:space="preserve">Type of evidence </w:t>
            </w:r>
          </w:p>
        </w:tc>
        <w:tc>
          <w:tcPr>
            <w:tcW w:w="1843" w:type="dxa"/>
          </w:tcPr>
          <w:p w:rsidR="00DE7577" w:rsidRPr="00DE7577" w:rsidRDefault="00DE7577" w:rsidP="006925BD">
            <w:pPr>
              <w:bidi w:val="0"/>
              <w:rPr>
                <w:rFonts w:asciiTheme="majorBidi" w:hAnsiTheme="majorBidi" w:cstheme="majorBidi"/>
                <w:sz w:val="24"/>
                <w:szCs w:val="24"/>
              </w:rPr>
            </w:pPr>
            <w:r w:rsidRPr="00DE7577">
              <w:rPr>
                <w:rFonts w:asciiTheme="majorBidi" w:hAnsiTheme="majorBidi" w:cstheme="majorBidi"/>
                <w:sz w:val="24"/>
                <w:szCs w:val="24"/>
              </w:rPr>
              <w:t>Aspect of Validity</w:t>
            </w:r>
          </w:p>
        </w:tc>
        <w:tc>
          <w:tcPr>
            <w:tcW w:w="6095" w:type="dxa"/>
          </w:tcPr>
          <w:p w:rsidR="00DE7577" w:rsidRPr="00DE7577" w:rsidRDefault="00DE7577" w:rsidP="006925BD">
            <w:pPr>
              <w:bidi w:val="0"/>
              <w:rPr>
                <w:rFonts w:asciiTheme="majorBidi" w:hAnsiTheme="majorBidi" w:cstheme="majorBidi"/>
                <w:sz w:val="24"/>
                <w:szCs w:val="24"/>
              </w:rPr>
            </w:pPr>
            <w:r w:rsidRPr="00DE7577">
              <w:rPr>
                <w:rFonts w:asciiTheme="majorBidi" w:hAnsiTheme="majorBidi" w:cstheme="majorBidi"/>
                <w:sz w:val="24"/>
                <w:szCs w:val="24"/>
              </w:rPr>
              <w:t xml:space="preserve">Validity Evidence </w:t>
            </w:r>
          </w:p>
        </w:tc>
      </w:tr>
      <w:tr w:rsidR="00DE7577" w:rsidRPr="00DE7577" w:rsidTr="006925BD">
        <w:tc>
          <w:tcPr>
            <w:tcW w:w="1838" w:type="dxa"/>
            <w:vMerge w:val="restart"/>
          </w:tcPr>
          <w:p w:rsidR="00DE7577" w:rsidRPr="00DE7577" w:rsidRDefault="00DE7577" w:rsidP="006925BD">
            <w:pPr>
              <w:bidi w:val="0"/>
              <w:rPr>
                <w:rFonts w:asciiTheme="majorBidi" w:hAnsiTheme="majorBidi" w:cstheme="majorBidi"/>
                <w:sz w:val="24"/>
                <w:szCs w:val="24"/>
              </w:rPr>
            </w:pPr>
            <w:r w:rsidRPr="00DE7577">
              <w:rPr>
                <w:rFonts w:asciiTheme="majorBidi" w:hAnsiTheme="majorBidi" w:cstheme="majorBidi"/>
                <w:sz w:val="24"/>
                <w:szCs w:val="24"/>
              </w:rPr>
              <w:t>Data based evidence</w:t>
            </w:r>
          </w:p>
        </w:tc>
        <w:tc>
          <w:tcPr>
            <w:tcW w:w="1843" w:type="dxa"/>
          </w:tcPr>
          <w:p w:rsidR="00DE7577" w:rsidRPr="00DE7577" w:rsidRDefault="00DE7577" w:rsidP="006925BD">
            <w:pPr>
              <w:bidi w:val="0"/>
              <w:rPr>
                <w:rFonts w:asciiTheme="majorBidi" w:hAnsiTheme="majorBidi" w:cstheme="majorBidi"/>
                <w:sz w:val="24"/>
                <w:szCs w:val="24"/>
              </w:rPr>
            </w:pPr>
            <w:r w:rsidRPr="00DE7577">
              <w:rPr>
                <w:rFonts w:asciiTheme="majorBidi" w:hAnsiTheme="majorBidi" w:cstheme="majorBidi"/>
                <w:sz w:val="24"/>
                <w:szCs w:val="24"/>
              </w:rPr>
              <w:t xml:space="preserve">Structural </w:t>
            </w:r>
          </w:p>
        </w:tc>
        <w:tc>
          <w:tcPr>
            <w:tcW w:w="6095" w:type="dxa"/>
          </w:tcPr>
          <w:p w:rsidR="00DE7577" w:rsidRPr="00DE7577" w:rsidRDefault="00DE7577" w:rsidP="006925BD">
            <w:pPr>
              <w:autoSpaceDE w:val="0"/>
              <w:autoSpaceDN w:val="0"/>
              <w:bidi w:val="0"/>
              <w:adjustRightInd w:val="0"/>
              <w:jc w:val="both"/>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2"/>
            </w:r>
            <w:r w:rsidRPr="00DE7577">
              <w:rPr>
                <w:rFonts w:asciiTheme="majorBidi" w:eastAsia="Code2000" w:hAnsiTheme="majorBidi" w:cstheme="majorBidi"/>
                <w:sz w:val="24"/>
                <w:szCs w:val="24"/>
              </w:rPr>
              <w:t xml:space="preserve"> Demonstrating internal relationships among items (structural fidelity) or subsets of items consistent with the underlying theory (factor analysis, item difficulty hierarchies that are consistent with the construct map)</w:t>
            </w:r>
          </w:p>
          <w:p w:rsidR="00DE7577" w:rsidRPr="00DE7577" w:rsidRDefault="00DE7577" w:rsidP="006925BD">
            <w:pPr>
              <w:autoSpaceDE w:val="0"/>
              <w:autoSpaceDN w:val="0"/>
              <w:bidi w:val="0"/>
              <w:adjustRightInd w:val="0"/>
              <w:jc w:val="both"/>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2"/>
            </w:r>
            <w:r w:rsidRPr="00DE7577">
              <w:rPr>
                <w:rFonts w:asciiTheme="majorBidi" w:eastAsia="Code2000" w:hAnsiTheme="majorBidi" w:cstheme="majorBidi"/>
                <w:sz w:val="24"/>
                <w:szCs w:val="24"/>
              </w:rPr>
              <w:t xml:space="preserve"> Demonstrating that conditional difficulties of items are equal or consistent with known influences on test performance (differential item functioning analysis)</w:t>
            </w:r>
          </w:p>
          <w:p w:rsidR="00DE7577" w:rsidRPr="00DE7577" w:rsidRDefault="00DE7577" w:rsidP="006925BD">
            <w:pPr>
              <w:autoSpaceDE w:val="0"/>
              <w:autoSpaceDN w:val="0"/>
              <w:bidi w:val="0"/>
              <w:adjustRightInd w:val="0"/>
              <w:jc w:val="both"/>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2"/>
            </w:r>
            <w:r w:rsidRPr="00DE7577">
              <w:rPr>
                <w:rFonts w:asciiTheme="majorBidi" w:eastAsia="Code2000" w:hAnsiTheme="majorBidi" w:cstheme="majorBidi"/>
                <w:sz w:val="24"/>
                <w:szCs w:val="24"/>
              </w:rPr>
              <w:t xml:space="preserve"> Utilizing a measurement model that combines (weights) information across observations (scales) and takes into account (controls for) undesirable influences on the scores in a manner that is cons</w:t>
            </w:r>
          </w:p>
        </w:tc>
      </w:tr>
      <w:tr w:rsidR="00DE7577" w:rsidRPr="00DE7577" w:rsidTr="006925BD">
        <w:tc>
          <w:tcPr>
            <w:tcW w:w="1838" w:type="dxa"/>
            <w:vMerge/>
          </w:tcPr>
          <w:p w:rsidR="00DE7577" w:rsidRPr="00DE7577" w:rsidRDefault="00DE7577" w:rsidP="006925BD">
            <w:pPr>
              <w:bidi w:val="0"/>
              <w:rPr>
                <w:rFonts w:asciiTheme="majorBidi" w:hAnsiTheme="majorBidi" w:cstheme="majorBidi"/>
                <w:sz w:val="24"/>
                <w:szCs w:val="24"/>
              </w:rPr>
            </w:pPr>
          </w:p>
        </w:tc>
        <w:tc>
          <w:tcPr>
            <w:tcW w:w="1843" w:type="dxa"/>
          </w:tcPr>
          <w:p w:rsidR="00DE7577" w:rsidRPr="00DE7577" w:rsidRDefault="00DE7577" w:rsidP="006925BD">
            <w:pPr>
              <w:bidi w:val="0"/>
              <w:rPr>
                <w:rFonts w:asciiTheme="majorBidi" w:hAnsiTheme="majorBidi" w:cstheme="majorBidi"/>
                <w:sz w:val="24"/>
                <w:szCs w:val="24"/>
              </w:rPr>
            </w:pPr>
            <w:r w:rsidRPr="00DE7577">
              <w:rPr>
                <w:rFonts w:asciiTheme="majorBidi" w:hAnsiTheme="majorBidi" w:cstheme="majorBidi"/>
                <w:sz w:val="24"/>
                <w:szCs w:val="24"/>
              </w:rPr>
              <w:t xml:space="preserve">Generalizability </w:t>
            </w:r>
          </w:p>
        </w:tc>
        <w:tc>
          <w:tcPr>
            <w:tcW w:w="6095" w:type="dxa"/>
          </w:tcPr>
          <w:p w:rsidR="00DE7577" w:rsidRPr="00DE7577" w:rsidRDefault="00DE7577" w:rsidP="006925BD">
            <w:pPr>
              <w:autoSpaceDE w:val="0"/>
              <w:autoSpaceDN w:val="0"/>
              <w:bidi w:val="0"/>
              <w:adjustRightInd w:val="0"/>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2"/>
            </w:r>
            <w:r w:rsidRPr="00DE7577">
              <w:rPr>
                <w:rFonts w:asciiTheme="majorBidi" w:eastAsia="Code2000" w:hAnsiTheme="majorBidi" w:cstheme="majorBidi"/>
                <w:sz w:val="24"/>
                <w:szCs w:val="24"/>
              </w:rPr>
              <w:t xml:space="preserve"> Demonstrating reliability of measures from the instrument across a variety of contexts</w:t>
            </w:r>
          </w:p>
          <w:p w:rsidR="00DE7577" w:rsidRPr="00DE7577" w:rsidRDefault="00DE7577" w:rsidP="006925BD">
            <w:pPr>
              <w:autoSpaceDE w:val="0"/>
              <w:autoSpaceDN w:val="0"/>
              <w:bidi w:val="0"/>
              <w:adjustRightInd w:val="0"/>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2"/>
            </w:r>
            <w:r w:rsidRPr="00DE7577">
              <w:rPr>
                <w:rFonts w:asciiTheme="majorBidi" w:eastAsia="Code2000" w:hAnsiTheme="majorBidi" w:cstheme="majorBidi"/>
                <w:sz w:val="24"/>
                <w:szCs w:val="24"/>
              </w:rPr>
              <w:t xml:space="preserve"> Internal consistency</w:t>
            </w:r>
          </w:p>
          <w:p w:rsidR="00DE7577" w:rsidRPr="00DE7577" w:rsidRDefault="00DE7577" w:rsidP="006925BD">
            <w:pPr>
              <w:autoSpaceDE w:val="0"/>
              <w:autoSpaceDN w:val="0"/>
              <w:bidi w:val="0"/>
              <w:adjustRightInd w:val="0"/>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2"/>
            </w:r>
            <w:r w:rsidRPr="00DE7577">
              <w:rPr>
                <w:rFonts w:asciiTheme="majorBidi" w:eastAsia="Code2000" w:hAnsiTheme="majorBidi" w:cstheme="majorBidi"/>
                <w:sz w:val="24"/>
                <w:szCs w:val="24"/>
              </w:rPr>
              <w:t xml:space="preserve"> Test-retest</w:t>
            </w:r>
          </w:p>
          <w:p w:rsidR="00DE7577" w:rsidRPr="00DE7577" w:rsidRDefault="00DE7577" w:rsidP="006925BD">
            <w:pPr>
              <w:autoSpaceDE w:val="0"/>
              <w:autoSpaceDN w:val="0"/>
              <w:bidi w:val="0"/>
              <w:adjustRightInd w:val="0"/>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3"/>
            </w:r>
            <w:r w:rsidRPr="00DE7577">
              <w:rPr>
                <w:rFonts w:asciiTheme="majorBidi" w:eastAsia="Code2000" w:hAnsiTheme="majorBidi" w:cstheme="majorBidi"/>
                <w:sz w:val="24"/>
                <w:szCs w:val="24"/>
              </w:rPr>
              <w:t xml:space="preserve"> Inter-rater </w:t>
            </w:r>
          </w:p>
          <w:p w:rsidR="00DE7577" w:rsidRPr="00DE7577" w:rsidRDefault="00DE7577" w:rsidP="006925BD">
            <w:pPr>
              <w:autoSpaceDE w:val="0"/>
              <w:autoSpaceDN w:val="0"/>
              <w:bidi w:val="0"/>
              <w:adjustRightInd w:val="0"/>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3"/>
            </w:r>
            <w:r w:rsidRPr="00DE7577">
              <w:rPr>
                <w:rFonts w:asciiTheme="majorBidi" w:eastAsia="Code2000" w:hAnsiTheme="majorBidi" w:cstheme="majorBidi"/>
                <w:sz w:val="24"/>
                <w:szCs w:val="24"/>
              </w:rPr>
              <w:t xml:space="preserve"> Alternate form</w:t>
            </w:r>
          </w:p>
          <w:p w:rsidR="00DE7577" w:rsidRPr="00DE7577" w:rsidRDefault="00DE7577" w:rsidP="006925BD">
            <w:pPr>
              <w:autoSpaceDE w:val="0"/>
              <w:autoSpaceDN w:val="0"/>
              <w:bidi w:val="0"/>
              <w:adjustRightInd w:val="0"/>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3"/>
            </w:r>
            <w:r w:rsidRPr="00DE7577">
              <w:rPr>
                <w:rFonts w:asciiTheme="majorBidi" w:eastAsia="Code2000" w:hAnsiTheme="majorBidi" w:cstheme="majorBidi"/>
                <w:sz w:val="24"/>
                <w:szCs w:val="24"/>
              </w:rPr>
              <w:t xml:space="preserve"> Application of meta-analytic procedures to validity coefficients across a variety of measurement contexts and samples (validity generalization)</w:t>
            </w:r>
          </w:p>
        </w:tc>
      </w:tr>
      <w:tr w:rsidR="00DE7577" w:rsidRPr="00DE7577" w:rsidTr="006925BD">
        <w:tc>
          <w:tcPr>
            <w:tcW w:w="1838" w:type="dxa"/>
            <w:vMerge/>
          </w:tcPr>
          <w:p w:rsidR="00DE7577" w:rsidRPr="00DE7577" w:rsidRDefault="00DE7577" w:rsidP="006925BD">
            <w:pPr>
              <w:bidi w:val="0"/>
              <w:rPr>
                <w:rFonts w:asciiTheme="majorBidi" w:hAnsiTheme="majorBidi" w:cstheme="majorBidi"/>
                <w:sz w:val="24"/>
                <w:szCs w:val="24"/>
              </w:rPr>
            </w:pPr>
          </w:p>
        </w:tc>
        <w:tc>
          <w:tcPr>
            <w:tcW w:w="1843" w:type="dxa"/>
          </w:tcPr>
          <w:p w:rsidR="00DE7577" w:rsidRPr="00DE7577" w:rsidRDefault="00DE7577" w:rsidP="006925BD">
            <w:pPr>
              <w:bidi w:val="0"/>
              <w:rPr>
                <w:rFonts w:asciiTheme="majorBidi" w:hAnsiTheme="majorBidi" w:cstheme="majorBidi"/>
                <w:sz w:val="24"/>
                <w:szCs w:val="24"/>
              </w:rPr>
            </w:pPr>
            <w:r w:rsidRPr="00DE7577">
              <w:rPr>
                <w:rFonts w:asciiTheme="majorBidi" w:hAnsiTheme="majorBidi" w:cstheme="majorBidi"/>
                <w:sz w:val="24"/>
                <w:szCs w:val="24"/>
              </w:rPr>
              <w:t xml:space="preserve">External </w:t>
            </w:r>
          </w:p>
        </w:tc>
        <w:tc>
          <w:tcPr>
            <w:tcW w:w="6095" w:type="dxa"/>
          </w:tcPr>
          <w:p w:rsidR="00DE7577" w:rsidRPr="00DE7577" w:rsidRDefault="00DE7577" w:rsidP="006925BD">
            <w:pPr>
              <w:autoSpaceDE w:val="0"/>
              <w:autoSpaceDN w:val="0"/>
              <w:bidi w:val="0"/>
              <w:adjustRightInd w:val="0"/>
              <w:jc w:val="both"/>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3"/>
            </w:r>
            <w:r w:rsidRPr="00DE7577">
              <w:rPr>
                <w:rFonts w:asciiTheme="majorBidi" w:eastAsia="Code2000" w:hAnsiTheme="majorBidi" w:cstheme="majorBidi"/>
                <w:sz w:val="24"/>
                <w:szCs w:val="24"/>
              </w:rPr>
              <w:t xml:space="preserve"> Demonstrating that predicted group differences are realized empirically.</w:t>
            </w:r>
          </w:p>
          <w:p w:rsidR="00DE7577" w:rsidRPr="00DE7577" w:rsidRDefault="00DE7577" w:rsidP="006925BD">
            <w:pPr>
              <w:autoSpaceDE w:val="0"/>
              <w:autoSpaceDN w:val="0"/>
              <w:bidi w:val="0"/>
              <w:adjustRightInd w:val="0"/>
              <w:jc w:val="both"/>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3"/>
            </w:r>
            <w:r w:rsidRPr="00DE7577">
              <w:rPr>
                <w:rFonts w:asciiTheme="majorBidi" w:eastAsia="Code2000" w:hAnsiTheme="majorBidi" w:cstheme="majorBidi"/>
                <w:sz w:val="24"/>
                <w:szCs w:val="24"/>
              </w:rPr>
              <w:t xml:space="preserve"> Experimentation: Any theory-based comparison that yields outcomes consistent with theory.</w:t>
            </w:r>
          </w:p>
          <w:p w:rsidR="00DE7577" w:rsidRPr="00DE7577" w:rsidRDefault="00DE7577" w:rsidP="006925BD">
            <w:pPr>
              <w:autoSpaceDE w:val="0"/>
              <w:autoSpaceDN w:val="0"/>
              <w:bidi w:val="0"/>
              <w:adjustRightInd w:val="0"/>
              <w:jc w:val="both"/>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3"/>
            </w:r>
            <w:r w:rsidRPr="00DE7577">
              <w:rPr>
                <w:rFonts w:asciiTheme="majorBidi" w:eastAsia="Code2000" w:hAnsiTheme="majorBidi" w:cstheme="majorBidi"/>
                <w:sz w:val="24"/>
                <w:szCs w:val="24"/>
              </w:rPr>
              <w:t xml:space="preserve"> Comparison of Groups: Differences between groups that theory predicts will be different on the underlying construct</w:t>
            </w:r>
          </w:p>
          <w:p w:rsidR="00DE7577" w:rsidRPr="00DE7577" w:rsidRDefault="00DE7577" w:rsidP="006925BD">
            <w:pPr>
              <w:autoSpaceDE w:val="0"/>
              <w:autoSpaceDN w:val="0"/>
              <w:bidi w:val="0"/>
              <w:adjustRightInd w:val="0"/>
              <w:jc w:val="both"/>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3"/>
            </w:r>
            <w:r w:rsidRPr="00DE7577">
              <w:rPr>
                <w:rFonts w:asciiTheme="majorBidi" w:eastAsia="Code2000" w:hAnsiTheme="majorBidi" w:cstheme="majorBidi"/>
                <w:sz w:val="24"/>
                <w:szCs w:val="24"/>
              </w:rPr>
              <w:t xml:space="preserve"> Changes Over Time: Individuals are typically expected to change over time as a result of maturation. Observed differences such as these can also be used as evidence for construct validity.</w:t>
            </w:r>
          </w:p>
        </w:tc>
      </w:tr>
      <w:tr w:rsidR="00DE7577" w:rsidRPr="00DE7577" w:rsidTr="006925BD">
        <w:tc>
          <w:tcPr>
            <w:tcW w:w="1838" w:type="dxa"/>
            <w:vMerge/>
          </w:tcPr>
          <w:p w:rsidR="00DE7577" w:rsidRPr="00DE7577" w:rsidRDefault="00DE7577" w:rsidP="006925BD">
            <w:pPr>
              <w:bidi w:val="0"/>
              <w:rPr>
                <w:rFonts w:asciiTheme="majorBidi" w:hAnsiTheme="majorBidi" w:cstheme="majorBidi"/>
                <w:sz w:val="24"/>
                <w:szCs w:val="24"/>
              </w:rPr>
            </w:pPr>
          </w:p>
        </w:tc>
        <w:tc>
          <w:tcPr>
            <w:tcW w:w="1843" w:type="dxa"/>
          </w:tcPr>
          <w:p w:rsidR="00DE7577" w:rsidRPr="00DE7577" w:rsidRDefault="00DE7577" w:rsidP="006925BD">
            <w:pPr>
              <w:bidi w:val="0"/>
              <w:rPr>
                <w:rFonts w:asciiTheme="majorBidi" w:hAnsiTheme="majorBidi" w:cstheme="majorBidi"/>
                <w:sz w:val="24"/>
                <w:szCs w:val="24"/>
              </w:rPr>
            </w:pPr>
            <w:r w:rsidRPr="00DE7577">
              <w:rPr>
                <w:rFonts w:asciiTheme="majorBidi" w:hAnsiTheme="majorBidi" w:cstheme="majorBidi"/>
                <w:sz w:val="24"/>
                <w:szCs w:val="24"/>
              </w:rPr>
              <w:t xml:space="preserve">Consequential </w:t>
            </w:r>
          </w:p>
        </w:tc>
        <w:tc>
          <w:tcPr>
            <w:tcW w:w="6095" w:type="dxa"/>
          </w:tcPr>
          <w:p w:rsidR="00DE7577" w:rsidRPr="00DE7577" w:rsidRDefault="00DE7577" w:rsidP="006925BD">
            <w:pPr>
              <w:autoSpaceDE w:val="0"/>
              <w:autoSpaceDN w:val="0"/>
              <w:bidi w:val="0"/>
              <w:adjustRightInd w:val="0"/>
              <w:jc w:val="both"/>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2"/>
            </w:r>
            <w:r w:rsidRPr="00DE7577">
              <w:rPr>
                <w:rFonts w:asciiTheme="majorBidi" w:eastAsia="Code2000" w:hAnsiTheme="majorBidi" w:cstheme="majorBidi"/>
                <w:sz w:val="24"/>
                <w:szCs w:val="24"/>
              </w:rPr>
              <w:t xml:space="preserve"> Detecting positive or negative impact on individuals (bias) (e.g., identifying substantively explainable DIF versus sources of item or test bias, determining whether the labels generated in test use result in stigmatization of some groups, expert judgment about the suitability of test content for making decisions about individuals and groups)</w:t>
            </w:r>
          </w:p>
        </w:tc>
      </w:tr>
    </w:tbl>
    <w:p w:rsidR="00336D6C" w:rsidRDefault="00276076" w:rsidP="00DE7577">
      <w:pPr>
        <w:bidi w:val="0"/>
        <w:rPr>
          <w:rFonts w:asciiTheme="majorBidi" w:hAnsiTheme="majorBidi" w:cstheme="majorBidi"/>
        </w:rPr>
      </w:pPr>
      <w:r>
        <w:rPr>
          <w:rFonts w:asciiTheme="majorBidi" w:hAnsiTheme="majorBidi" w:cstheme="majorBidi"/>
        </w:rPr>
        <w:t>Additional file 1</w:t>
      </w:r>
    </w:p>
    <w:p w:rsidR="00DE7577" w:rsidRPr="00DE7577" w:rsidRDefault="00276076" w:rsidP="00276076">
      <w:pPr>
        <w:bidi w:val="0"/>
        <w:rPr>
          <w:rFonts w:asciiTheme="majorBidi" w:hAnsiTheme="majorBidi" w:cstheme="majorBidi"/>
        </w:rPr>
      </w:pPr>
      <w:bookmarkStart w:id="0" w:name="_GoBack"/>
      <w:r>
        <w:rPr>
          <w:rFonts w:ascii="Times New Roman" w:hAnsi="Times New Roman" w:cs="Times New Roman"/>
          <w:sz w:val="24"/>
          <w:szCs w:val="24"/>
        </w:rPr>
        <w:t xml:space="preserve">PHC Trust questionnaire </w:t>
      </w:r>
      <w:r w:rsidRPr="00276076">
        <w:rPr>
          <w:rFonts w:ascii="Times New Roman" w:hAnsi="Times New Roman" w:cs="Times New Roman"/>
          <w:sz w:val="24"/>
          <w:szCs w:val="24"/>
        </w:rPr>
        <w:t xml:space="preserve">validity evidences </w:t>
      </w:r>
      <w:r w:rsidRPr="00276076">
        <w:rPr>
          <w:rFonts w:ascii="Times New Roman" w:hAnsi="Times New Roman" w:cs="Times New Roman"/>
          <w:sz w:val="24"/>
          <w:szCs w:val="24"/>
        </w:rPr>
        <w:t>based on</w:t>
      </w:r>
      <w:r>
        <w:rPr>
          <w:rFonts w:ascii="Times New Roman" w:hAnsi="Times New Roman" w:cs="Times New Roman"/>
          <w:sz w:val="24"/>
          <w:szCs w:val="24"/>
        </w:rPr>
        <w:t xml:space="preserve"> </w:t>
      </w:r>
      <w:r w:rsidRPr="00276076">
        <w:rPr>
          <w:rFonts w:ascii="Times New Roman" w:hAnsi="Times New Roman" w:cs="Times New Roman"/>
          <w:sz w:val="24"/>
          <w:szCs w:val="24"/>
        </w:rPr>
        <w:t xml:space="preserve">six-component validity assessment framework provided by </w:t>
      </w:r>
      <w:proofErr w:type="spellStart"/>
      <w:r w:rsidRPr="00276076">
        <w:rPr>
          <w:rFonts w:ascii="Times New Roman" w:hAnsi="Times New Roman" w:cs="Times New Roman"/>
          <w:sz w:val="24"/>
          <w:szCs w:val="24"/>
        </w:rPr>
        <w:t>Messick</w:t>
      </w:r>
      <w:proofErr w:type="spellEnd"/>
      <w:r w:rsidRPr="00276076">
        <w:rPr>
          <w:rFonts w:ascii="Times New Roman" w:hAnsi="Times New Roman" w:cs="Times New Roman"/>
          <w:sz w:val="24"/>
          <w:szCs w:val="24"/>
        </w:rPr>
        <w:t xml:space="preserve"> </w:t>
      </w:r>
      <w:r>
        <w:rPr>
          <w:rFonts w:asciiTheme="majorBidi" w:hAnsiTheme="majorBidi" w:cstheme="majorBidi"/>
        </w:rPr>
        <w:t>(1995)</w:t>
      </w:r>
      <w:bookmarkEnd w:id="0"/>
      <w:r w:rsidR="00DE7577" w:rsidRPr="00DE7577">
        <w:rPr>
          <w:rFonts w:asciiTheme="majorBidi" w:hAnsiTheme="majorBidi" w:cstheme="majorBidi"/>
        </w:rPr>
        <w:br w:type="page"/>
      </w:r>
    </w:p>
    <w:p w:rsidR="00DE7577" w:rsidRPr="00DE7577" w:rsidRDefault="00DE7577" w:rsidP="00DE7577">
      <w:pPr>
        <w:bidi w:val="0"/>
        <w:rPr>
          <w:rFonts w:asciiTheme="majorBidi" w:hAnsiTheme="majorBidi" w:cstheme="majorBidi"/>
        </w:rPr>
      </w:pPr>
    </w:p>
    <w:tbl>
      <w:tblPr>
        <w:tblStyle w:val="TableGrid"/>
        <w:tblW w:w="0" w:type="auto"/>
        <w:tblLook w:val="04A0" w:firstRow="1" w:lastRow="0" w:firstColumn="1" w:lastColumn="0" w:noHBand="0" w:noVBand="1"/>
      </w:tblPr>
      <w:tblGrid>
        <w:gridCol w:w="1838"/>
        <w:gridCol w:w="2126"/>
        <w:gridCol w:w="5052"/>
      </w:tblGrid>
      <w:tr w:rsidR="00DE7577" w:rsidRPr="00DE7577" w:rsidTr="00F4728C">
        <w:tc>
          <w:tcPr>
            <w:tcW w:w="1838" w:type="dxa"/>
          </w:tcPr>
          <w:p w:rsidR="00DE7577" w:rsidRPr="00DE7577" w:rsidRDefault="00DE7577" w:rsidP="00F4728C">
            <w:pPr>
              <w:bidi w:val="0"/>
              <w:rPr>
                <w:rFonts w:asciiTheme="majorBidi" w:hAnsiTheme="majorBidi" w:cstheme="majorBidi"/>
                <w:sz w:val="24"/>
                <w:szCs w:val="24"/>
              </w:rPr>
            </w:pPr>
            <w:r w:rsidRPr="00DE7577">
              <w:rPr>
                <w:rFonts w:asciiTheme="majorBidi" w:hAnsiTheme="majorBidi" w:cstheme="majorBidi"/>
                <w:sz w:val="24"/>
                <w:szCs w:val="24"/>
              </w:rPr>
              <w:t xml:space="preserve">Type of evidence </w:t>
            </w:r>
          </w:p>
        </w:tc>
        <w:tc>
          <w:tcPr>
            <w:tcW w:w="2126" w:type="dxa"/>
          </w:tcPr>
          <w:p w:rsidR="00DE7577" w:rsidRPr="00DE7577" w:rsidRDefault="00DE7577" w:rsidP="00F4728C">
            <w:pPr>
              <w:bidi w:val="0"/>
              <w:rPr>
                <w:rFonts w:asciiTheme="majorBidi" w:hAnsiTheme="majorBidi" w:cstheme="majorBidi"/>
                <w:sz w:val="24"/>
                <w:szCs w:val="24"/>
              </w:rPr>
            </w:pPr>
            <w:r w:rsidRPr="00DE7577">
              <w:rPr>
                <w:rFonts w:asciiTheme="majorBidi" w:hAnsiTheme="majorBidi" w:cstheme="majorBidi"/>
                <w:sz w:val="24"/>
                <w:szCs w:val="24"/>
              </w:rPr>
              <w:t>Aspect of Validity</w:t>
            </w:r>
          </w:p>
        </w:tc>
        <w:tc>
          <w:tcPr>
            <w:tcW w:w="5052" w:type="dxa"/>
          </w:tcPr>
          <w:p w:rsidR="00DE7577" w:rsidRPr="00DE7577" w:rsidRDefault="00DE7577" w:rsidP="00F4728C">
            <w:pPr>
              <w:bidi w:val="0"/>
              <w:rPr>
                <w:rFonts w:asciiTheme="majorBidi" w:hAnsiTheme="majorBidi" w:cstheme="majorBidi"/>
                <w:sz w:val="24"/>
                <w:szCs w:val="24"/>
              </w:rPr>
            </w:pPr>
            <w:r w:rsidRPr="00DE7577">
              <w:rPr>
                <w:rFonts w:asciiTheme="majorBidi" w:hAnsiTheme="majorBidi" w:cstheme="majorBidi"/>
                <w:sz w:val="24"/>
                <w:szCs w:val="24"/>
              </w:rPr>
              <w:t xml:space="preserve">Validity Evidence </w:t>
            </w:r>
          </w:p>
        </w:tc>
      </w:tr>
      <w:tr w:rsidR="00DE7577" w:rsidRPr="00DE7577" w:rsidTr="00F4728C">
        <w:tc>
          <w:tcPr>
            <w:tcW w:w="1838" w:type="dxa"/>
            <w:vMerge w:val="restart"/>
          </w:tcPr>
          <w:p w:rsidR="00DE7577" w:rsidRPr="00DE7577" w:rsidRDefault="00DE7577" w:rsidP="00F4728C">
            <w:pPr>
              <w:bidi w:val="0"/>
              <w:rPr>
                <w:rFonts w:asciiTheme="majorBidi" w:hAnsiTheme="majorBidi" w:cstheme="majorBidi"/>
                <w:sz w:val="24"/>
                <w:szCs w:val="24"/>
              </w:rPr>
            </w:pPr>
            <w:r w:rsidRPr="00DE7577">
              <w:rPr>
                <w:rFonts w:asciiTheme="majorBidi" w:hAnsiTheme="majorBidi" w:cstheme="majorBidi"/>
                <w:sz w:val="24"/>
                <w:szCs w:val="24"/>
              </w:rPr>
              <w:t>Test based evidence</w:t>
            </w:r>
          </w:p>
        </w:tc>
        <w:tc>
          <w:tcPr>
            <w:tcW w:w="2126" w:type="dxa"/>
          </w:tcPr>
          <w:p w:rsidR="00DE7577" w:rsidRPr="00DE7577" w:rsidRDefault="00DE7577" w:rsidP="00F4728C">
            <w:pPr>
              <w:bidi w:val="0"/>
              <w:rPr>
                <w:rFonts w:asciiTheme="majorBidi" w:hAnsiTheme="majorBidi" w:cstheme="majorBidi"/>
                <w:sz w:val="24"/>
                <w:szCs w:val="24"/>
              </w:rPr>
            </w:pPr>
            <w:r w:rsidRPr="00DE7577">
              <w:rPr>
                <w:rFonts w:asciiTheme="majorBidi" w:hAnsiTheme="majorBidi" w:cstheme="majorBidi"/>
                <w:sz w:val="24"/>
                <w:szCs w:val="24"/>
              </w:rPr>
              <w:t xml:space="preserve">Content  </w:t>
            </w:r>
          </w:p>
        </w:tc>
        <w:tc>
          <w:tcPr>
            <w:tcW w:w="5052" w:type="dxa"/>
          </w:tcPr>
          <w:p w:rsidR="00DE7577" w:rsidRPr="00DE7577" w:rsidRDefault="00DE7577" w:rsidP="00DE7577">
            <w:pPr>
              <w:autoSpaceDE w:val="0"/>
              <w:autoSpaceDN w:val="0"/>
              <w:bidi w:val="0"/>
              <w:adjustRightInd w:val="0"/>
              <w:jc w:val="both"/>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2"/>
            </w:r>
            <w:r w:rsidRPr="00DE7577">
              <w:rPr>
                <w:rFonts w:asciiTheme="majorBidi" w:eastAsia="Code2000" w:hAnsiTheme="majorBidi" w:cstheme="majorBidi"/>
                <w:sz w:val="24"/>
                <w:szCs w:val="24"/>
              </w:rPr>
              <w:t xml:space="preserve"> Documentation of purpose &amp; uses of the instrument</w:t>
            </w:r>
          </w:p>
          <w:p w:rsidR="00DE7577" w:rsidRPr="00DE7577" w:rsidRDefault="00DE7577" w:rsidP="00DE7577">
            <w:pPr>
              <w:autoSpaceDE w:val="0"/>
              <w:autoSpaceDN w:val="0"/>
              <w:bidi w:val="0"/>
              <w:adjustRightInd w:val="0"/>
              <w:jc w:val="both"/>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2"/>
            </w:r>
            <w:r w:rsidRPr="00DE7577">
              <w:rPr>
                <w:rFonts w:asciiTheme="majorBidi" w:eastAsia="Code2000" w:hAnsiTheme="majorBidi" w:cstheme="majorBidi"/>
                <w:sz w:val="24"/>
                <w:szCs w:val="24"/>
              </w:rPr>
              <w:t xml:space="preserve"> Documentation of use of domain analysis</w:t>
            </w:r>
          </w:p>
          <w:p w:rsidR="00DE7577" w:rsidRPr="00DE7577" w:rsidRDefault="00DE7577" w:rsidP="00DE7577">
            <w:pPr>
              <w:autoSpaceDE w:val="0"/>
              <w:autoSpaceDN w:val="0"/>
              <w:bidi w:val="0"/>
              <w:adjustRightInd w:val="0"/>
              <w:jc w:val="both"/>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2"/>
            </w:r>
            <w:r>
              <w:rPr>
                <w:rFonts w:ascii="Segoe UI Symbol" w:eastAsia="Code2000" w:hAnsi="Segoe UI Symbol" w:cs="Segoe UI Symbol"/>
                <w:sz w:val="24"/>
                <w:szCs w:val="24"/>
              </w:rPr>
              <w:t xml:space="preserve"> </w:t>
            </w:r>
            <w:r w:rsidRPr="00DE7577">
              <w:rPr>
                <w:rFonts w:asciiTheme="majorBidi" w:eastAsia="Code2000" w:hAnsiTheme="majorBidi" w:cstheme="majorBidi"/>
                <w:sz w:val="24"/>
                <w:szCs w:val="24"/>
              </w:rPr>
              <w:t>Development of test blueprint &amp; item templates</w:t>
            </w:r>
          </w:p>
          <w:p w:rsidR="00DE7577" w:rsidRPr="00DE7577" w:rsidRDefault="00DE7577" w:rsidP="00DE7577">
            <w:pPr>
              <w:autoSpaceDE w:val="0"/>
              <w:autoSpaceDN w:val="0"/>
              <w:bidi w:val="0"/>
              <w:adjustRightInd w:val="0"/>
              <w:jc w:val="both"/>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2"/>
            </w:r>
            <w:r w:rsidRPr="00DE7577">
              <w:rPr>
                <w:rFonts w:asciiTheme="majorBidi" w:eastAsia="Code2000" w:hAnsiTheme="majorBidi" w:cstheme="majorBidi"/>
                <w:sz w:val="24"/>
                <w:szCs w:val="24"/>
              </w:rPr>
              <w:t xml:space="preserve"> Documentation of test development process</w:t>
            </w:r>
          </w:p>
          <w:p w:rsidR="00DE7577" w:rsidRPr="00DE7577" w:rsidRDefault="00DE7577" w:rsidP="00DE7577">
            <w:pPr>
              <w:tabs>
                <w:tab w:val="left" w:pos="1695"/>
              </w:tabs>
              <w:bidi w:val="0"/>
              <w:jc w:val="both"/>
              <w:rPr>
                <w:rFonts w:asciiTheme="majorBidi" w:hAnsiTheme="majorBidi" w:cstheme="majorBidi"/>
                <w:sz w:val="24"/>
                <w:szCs w:val="24"/>
              </w:rPr>
            </w:pPr>
            <w:r>
              <w:rPr>
                <w:rFonts w:ascii="Segoe UI Symbol" w:eastAsia="Code2000" w:hAnsi="Segoe UI Symbol" w:cs="Segoe UI Symbol"/>
                <w:sz w:val="24"/>
                <w:szCs w:val="24"/>
              </w:rPr>
              <w:sym w:font="Wingdings 2" w:char="F0A2"/>
            </w:r>
            <w:r w:rsidRPr="00DE7577">
              <w:rPr>
                <w:rFonts w:asciiTheme="majorBidi" w:eastAsia="Code2000" w:hAnsiTheme="majorBidi" w:cstheme="majorBidi"/>
                <w:sz w:val="24"/>
                <w:szCs w:val="24"/>
              </w:rPr>
              <w:t xml:space="preserve"> Expert Review (Readability, Clarity, Clarity of instructions, Fairness, Sensitivity)</w:t>
            </w:r>
          </w:p>
        </w:tc>
      </w:tr>
      <w:tr w:rsidR="00DE7577" w:rsidRPr="00DE7577" w:rsidTr="00F4728C">
        <w:tc>
          <w:tcPr>
            <w:tcW w:w="1838" w:type="dxa"/>
            <w:vMerge/>
          </w:tcPr>
          <w:p w:rsidR="00DE7577" w:rsidRPr="00DE7577" w:rsidRDefault="00DE7577" w:rsidP="00F4728C">
            <w:pPr>
              <w:bidi w:val="0"/>
              <w:rPr>
                <w:rFonts w:asciiTheme="majorBidi" w:hAnsiTheme="majorBidi" w:cstheme="majorBidi"/>
                <w:sz w:val="24"/>
                <w:szCs w:val="24"/>
              </w:rPr>
            </w:pPr>
          </w:p>
        </w:tc>
        <w:tc>
          <w:tcPr>
            <w:tcW w:w="2126" w:type="dxa"/>
          </w:tcPr>
          <w:p w:rsidR="00DE7577" w:rsidRPr="00DE7577" w:rsidRDefault="00DE7577" w:rsidP="00F4728C">
            <w:pPr>
              <w:bidi w:val="0"/>
              <w:rPr>
                <w:rFonts w:asciiTheme="majorBidi" w:hAnsiTheme="majorBidi" w:cstheme="majorBidi"/>
                <w:sz w:val="24"/>
                <w:szCs w:val="24"/>
              </w:rPr>
            </w:pPr>
            <w:r w:rsidRPr="00DE7577">
              <w:rPr>
                <w:rFonts w:asciiTheme="majorBidi" w:hAnsiTheme="majorBidi" w:cstheme="majorBidi"/>
                <w:sz w:val="24"/>
                <w:szCs w:val="24"/>
              </w:rPr>
              <w:t xml:space="preserve">Substantive  </w:t>
            </w:r>
          </w:p>
        </w:tc>
        <w:tc>
          <w:tcPr>
            <w:tcW w:w="5052" w:type="dxa"/>
          </w:tcPr>
          <w:p w:rsidR="00DE7577" w:rsidRPr="00DE7577" w:rsidRDefault="00DE7577" w:rsidP="00DE7577">
            <w:pPr>
              <w:autoSpaceDE w:val="0"/>
              <w:autoSpaceDN w:val="0"/>
              <w:bidi w:val="0"/>
              <w:adjustRightInd w:val="0"/>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2"/>
            </w:r>
            <w:r w:rsidRPr="00DE7577">
              <w:rPr>
                <w:rFonts w:asciiTheme="majorBidi" w:eastAsia="Code2000" w:hAnsiTheme="majorBidi" w:cstheme="majorBidi"/>
                <w:sz w:val="24"/>
                <w:szCs w:val="24"/>
              </w:rPr>
              <w:t xml:space="preserve"> Development of operationalized definition &amp; theoretical framework of the construct</w:t>
            </w:r>
          </w:p>
          <w:p w:rsidR="00DE7577" w:rsidRPr="00DE7577" w:rsidRDefault="00DE7577" w:rsidP="00DE7577">
            <w:pPr>
              <w:autoSpaceDE w:val="0"/>
              <w:autoSpaceDN w:val="0"/>
              <w:bidi w:val="0"/>
              <w:adjustRightInd w:val="0"/>
              <w:jc w:val="both"/>
              <w:rPr>
                <w:rFonts w:asciiTheme="majorBidi" w:eastAsia="Code2000" w:hAnsiTheme="majorBidi" w:cstheme="majorBidi"/>
                <w:sz w:val="24"/>
                <w:szCs w:val="24"/>
              </w:rPr>
            </w:pPr>
            <w:r w:rsidRPr="00DE7577">
              <w:rPr>
                <w:rFonts w:asciiTheme="majorBidi" w:eastAsia="Code2000" w:hAnsiTheme="majorBidi" w:cstheme="majorBidi"/>
                <w:sz w:val="24"/>
                <w:szCs w:val="24"/>
              </w:rPr>
              <w:t>(including internal, external, &amp; processing models)</w:t>
            </w:r>
          </w:p>
          <w:p w:rsidR="00DE7577" w:rsidRPr="00DE7577" w:rsidRDefault="00DE7577" w:rsidP="00DE7577">
            <w:pPr>
              <w:autoSpaceDE w:val="0"/>
              <w:autoSpaceDN w:val="0"/>
              <w:bidi w:val="0"/>
              <w:adjustRightInd w:val="0"/>
              <w:jc w:val="both"/>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2"/>
            </w:r>
            <w:r w:rsidRPr="00DE7577">
              <w:rPr>
                <w:rFonts w:asciiTheme="majorBidi" w:eastAsia="Code2000" w:hAnsiTheme="majorBidi" w:cstheme="majorBidi"/>
                <w:sz w:val="24"/>
                <w:szCs w:val="24"/>
              </w:rPr>
              <w:t xml:space="preserve"> Documentation of use of expertise</w:t>
            </w:r>
          </w:p>
          <w:p w:rsidR="00DE7577" w:rsidRPr="00DE7577" w:rsidRDefault="00DE7577" w:rsidP="00DE7577">
            <w:pPr>
              <w:bidi w:val="0"/>
              <w:jc w:val="both"/>
              <w:rPr>
                <w:rFonts w:asciiTheme="majorBidi" w:hAnsiTheme="majorBidi" w:cstheme="majorBidi"/>
                <w:sz w:val="24"/>
                <w:szCs w:val="24"/>
              </w:rPr>
            </w:pPr>
            <w:r>
              <w:rPr>
                <w:rFonts w:ascii="Segoe UI Symbol" w:eastAsia="Code2000" w:hAnsi="Segoe UI Symbol" w:cs="Segoe UI Symbol"/>
                <w:sz w:val="24"/>
                <w:szCs w:val="24"/>
              </w:rPr>
              <w:sym w:font="Wingdings 2" w:char="F0A3"/>
            </w:r>
            <w:r w:rsidRPr="00DE7577">
              <w:rPr>
                <w:rFonts w:asciiTheme="majorBidi" w:eastAsia="Code2000" w:hAnsiTheme="majorBidi" w:cstheme="majorBidi"/>
                <w:sz w:val="24"/>
                <w:szCs w:val="24"/>
              </w:rPr>
              <w:t xml:space="preserve"> Verifying of use of the proposed processes by respondents (think aloud)</w:t>
            </w:r>
          </w:p>
        </w:tc>
      </w:tr>
      <w:tr w:rsidR="00DE7577" w:rsidRPr="00DE7577" w:rsidTr="00F4728C">
        <w:tc>
          <w:tcPr>
            <w:tcW w:w="1838" w:type="dxa"/>
            <w:vMerge/>
          </w:tcPr>
          <w:p w:rsidR="00DE7577" w:rsidRPr="00DE7577" w:rsidRDefault="00DE7577" w:rsidP="00F4728C">
            <w:pPr>
              <w:bidi w:val="0"/>
              <w:rPr>
                <w:rFonts w:asciiTheme="majorBidi" w:hAnsiTheme="majorBidi" w:cstheme="majorBidi"/>
                <w:sz w:val="24"/>
                <w:szCs w:val="24"/>
              </w:rPr>
            </w:pPr>
          </w:p>
        </w:tc>
        <w:tc>
          <w:tcPr>
            <w:tcW w:w="2126" w:type="dxa"/>
          </w:tcPr>
          <w:p w:rsidR="00DE7577" w:rsidRPr="00DE7577" w:rsidRDefault="00DE7577" w:rsidP="00F4728C">
            <w:pPr>
              <w:bidi w:val="0"/>
              <w:rPr>
                <w:rFonts w:asciiTheme="majorBidi" w:hAnsiTheme="majorBidi" w:cstheme="majorBidi"/>
                <w:sz w:val="24"/>
                <w:szCs w:val="24"/>
              </w:rPr>
            </w:pPr>
            <w:r w:rsidRPr="00DE7577">
              <w:rPr>
                <w:rFonts w:asciiTheme="majorBidi" w:hAnsiTheme="majorBidi" w:cstheme="majorBidi"/>
                <w:sz w:val="24"/>
                <w:szCs w:val="24"/>
              </w:rPr>
              <w:t xml:space="preserve">Structural  </w:t>
            </w:r>
          </w:p>
        </w:tc>
        <w:tc>
          <w:tcPr>
            <w:tcW w:w="5052" w:type="dxa"/>
          </w:tcPr>
          <w:p w:rsidR="00DE7577" w:rsidRPr="00DE7577" w:rsidRDefault="00DE7577" w:rsidP="00DE7577">
            <w:pPr>
              <w:autoSpaceDE w:val="0"/>
              <w:autoSpaceDN w:val="0"/>
              <w:bidi w:val="0"/>
              <w:adjustRightInd w:val="0"/>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2"/>
            </w:r>
            <w:r w:rsidRPr="00DE7577">
              <w:rPr>
                <w:rFonts w:asciiTheme="majorBidi" w:eastAsia="Code2000" w:hAnsiTheme="majorBidi" w:cstheme="majorBidi"/>
                <w:sz w:val="24"/>
                <w:szCs w:val="24"/>
              </w:rPr>
              <w:t xml:space="preserve"> Development of internal model</w:t>
            </w:r>
          </w:p>
          <w:p w:rsidR="00DE7577" w:rsidRPr="00DE7577" w:rsidRDefault="00DE7577" w:rsidP="00DE7577">
            <w:pPr>
              <w:autoSpaceDE w:val="0"/>
              <w:autoSpaceDN w:val="0"/>
              <w:bidi w:val="0"/>
              <w:adjustRightInd w:val="0"/>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3"/>
            </w:r>
            <w:r w:rsidRPr="00DE7577">
              <w:rPr>
                <w:rFonts w:asciiTheme="majorBidi" w:eastAsia="Code2000" w:hAnsiTheme="majorBidi" w:cstheme="majorBidi"/>
                <w:sz w:val="24"/>
                <w:szCs w:val="24"/>
              </w:rPr>
              <w:t xml:space="preserve"> Rationale for adoption of reference framework (criterion versus normative) </w:t>
            </w:r>
          </w:p>
          <w:p w:rsidR="00DE7577" w:rsidRPr="00DE7577" w:rsidRDefault="00DE7577" w:rsidP="00DE7577">
            <w:pPr>
              <w:autoSpaceDE w:val="0"/>
              <w:autoSpaceDN w:val="0"/>
              <w:bidi w:val="0"/>
              <w:adjustRightInd w:val="0"/>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2"/>
            </w:r>
            <w:r w:rsidRPr="00DE7577">
              <w:rPr>
                <w:rFonts w:asciiTheme="majorBidi" w:eastAsia="Code2000" w:hAnsiTheme="majorBidi" w:cstheme="majorBidi"/>
                <w:sz w:val="24"/>
                <w:szCs w:val="24"/>
              </w:rPr>
              <w:t xml:space="preserve"> Rationale for developing response format (rating scale and/or distracters)</w:t>
            </w:r>
          </w:p>
          <w:p w:rsidR="00DE7577" w:rsidRPr="00DE7577" w:rsidRDefault="00DE7577" w:rsidP="00DE7577">
            <w:pPr>
              <w:autoSpaceDE w:val="0"/>
              <w:autoSpaceDN w:val="0"/>
              <w:bidi w:val="0"/>
              <w:adjustRightInd w:val="0"/>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2"/>
            </w:r>
            <w:r w:rsidRPr="00DE7577">
              <w:rPr>
                <w:rFonts w:asciiTheme="majorBidi" w:eastAsia="Code2000" w:hAnsiTheme="majorBidi" w:cstheme="majorBidi"/>
                <w:sz w:val="24"/>
                <w:szCs w:val="24"/>
              </w:rPr>
              <w:t xml:space="preserve"> Rationale for adoption of measurement model</w:t>
            </w:r>
          </w:p>
        </w:tc>
      </w:tr>
      <w:tr w:rsidR="00DE7577" w:rsidRPr="00DE7577" w:rsidTr="00F4728C">
        <w:tc>
          <w:tcPr>
            <w:tcW w:w="1838" w:type="dxa"/>
            <w:vMerge/>
          </w:tcPr>
          <w:p w:rsidR="00DE7577" w:rsidRPr="00DE7577" w:rsidRDefault="00DE7577" w:rsidP="00F4728C">
            <w:pPr>
              <w:bidi w:val="0"/>
              <w:rPr>
                <w:rFonts w:asciiTheme="majorBidi" w:hAnsiTheme="majorBidi" w:cstheme="majorBidi"/>
                <w:sz w:val="24"/>
                <w:szCs w:val="24"/>
              </w:rPr>
            </w:pPr>
          </w:p>
        </w:tc>
        <w:tc>
          <w:tcPr>
            <w:tcW w:w="2126" w:type="dxa"/>
          </w:tcPr>
          <w:p w:rsidR="00DE7577" w:rsidRPr="00DE7577" w:rsidRDefault="00DE7577" w:rsidP="00DE7577">
            <w:pPr>
              <w:bidi w:val="0"/>
              <w:rPr>
                <w:rFonts w:asciiTheme="majorBidi" w:hAnsiTheme="majorBidi" w:cstheme="majorBidi"/>
                <w:sz w:val="24"/>
                <w:szCs w:val="24"/>
              </w:rPr>
            </w:pPr>
            <w:r w:rsidRPr="00DE7577">
              <w:rPr>
                <w:rFonts w:asciiTheme="majorBidi" w:hAnsiTheme="majorBidi" w:cstheme="majorBidi"/>
                <w:sz w:val="24"/>
                <w:szCs w:val="24"/>
              </w:rPr>
              <w:t xml:space="preserve">Generalizability </w:t>
            </w:r>
          </w:p>
        </w:tc>
        <w:tc>
          <w:tcPr>
            <w:tcW w:w="5052" w:type="dxa"/>
          </w:tcPr>
          <w:p w:rsidR="00DE7577" w:rsidRPr="00DE7577" w:rsidRDefault="00DE7577" w:rsidP="00DE7577">
            <w:pPr>
              <w:autoSpaceDE w:val="0"/>
              <w:autoSpaceDN w:val="0"/>
              <w:bidi w:val="0"/>
              <w:adjustRightInd w:val="0"/>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2"/>
            </w:r>
            <w:r w:rsidRPr="00DE7577">
              <w:rPr>
                <w:rFonts w:asciiTheme="majorBidi" w:eastAsia="Code2000" w:hAnsiTheme="majorBidi" w:cstheme="majorBidi"/>
                <w:sz w:val="24"/>
                <w:szCs w:val="24"/>
              </w:rPr>
              <w:t xml:space="preserve"> Specification of target population</w:t>
            </w:r>
          </w:p>
          <w:p w:rsidR="00DE7577" w:rsidRPr="00DE7577" w:rsidRDefault="00DE7577" w:rsidP="00DE7577">
            <w:pPr>
              <w:autoSpaceDE w:val="0"/>
              <w:autoSpaceDN w:val="0"/>
              <w:bidi w:val="0"/>
              <w:adjustRightInd w:val="0"/>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2"/>
            </w:r>
            <w:r w:rsidRPr="00DE7577">
              <w:rPr>
                <w:rFonts w:asciiTheme="majorBidi" w:eastAsia="Code2000" w:hAnsiTheme="majorBidi" w:cstheme="majorBidi"/>
                <w:sz w:val="24"/>
                <w:szCs w:val="24"/>
              </w:rPr>
              <w:t xml:space="preserve"> Selection of norming population</w:t>
            </w:r>
          </w:p>
        </w:tc>
      </w:tr>
      <w:tr w:rsidR="00DE7577" w:rsidRPr="00DE7577" w:rsidTr="00F4728C">
        <w:tc>
          <w:tcPr>
            <w:tcW w:w="1838" w:type="dxa"/>
            <w:vMerge/>
          </w:tcPr>
          <w:p w:rsidR="00DE7577" w:rsidRPr="00DE7577" w:rsidRDefault="00DE7577" w:rsidP="00F4728C">
            <w:pPr>
              <w:bidi w:val="0"/>
              <w:rPr>
                <w:rFonts w:asciiTheme="majorBidi" w:hAnsiTheme="majorBidi" w:cstheme="majorBidi"/>
                <w:sz w:val="24"/>
                <w:szCs w:val="24"/>
              </w:rPr>
            </w:pPr>
          </w:p>
        </w:tc>
        <w:tc>
          <w:tcPr>
            <w:tcW w:w="2126" w:type="dxa"/>
          </w:tcPr>
          <w:p w:rsidR="00DE7577" w:rsidRPr="00DE7577" w:rsidRDefault="00DE7577" w:rsidP="00F4728C">
            <w:pPr>
              <w:bidi w:val="0"/>
              <w:rPr>
                <w:rFonts w:asciiTheme="majorBidi" w:hAnsiTheme="majorBidi" w:cstheme="majorBidi"/>
                <w:sz w:val="24"/>
                <w:szCs w:val="24"/>
              </w:rPr>
            </w:pPr>
            <w:r w:rsidRPr="00DE7577">
              <w:rPr>
                <w:rFonts w:asciiTheme="majorBidi" w:hAnsiTheme="majorBidi" w:cstheme="majorBidi"/>
                <w:sz w:val="24"/>
                <w:szCs w:val="24"/>
              </w:rPr>
              <w:t xml:space="preserve">External </w:t>
            </w:r>
          </w:p>
        </w:tc>
        <w:tc>
          <w:tcPr>
            <w:tcW w:w="5052" w:type="dxa"/>
          </w:tcPr>
          <w:p w:rsidR="00DE7577" w:rsidRPr="00DE7577" w:rsidRDefault="00DE7577" w:rsidP="00DE7577">
            <w:pPr>
              <w:autoSpaceDE w:val="0"/>
              <w:autoSpaceDN w:val="0"/>
              <w:bidi w:val="0"/>
              <w:adjustRightInd w:val="0"/>
              <w:jc w:val="both"/>
              <w:rPr>
                <w:rFonts w:asciiTheme="majorBidi" w:eastAsia="Code2000" w:hAnsiTheme="majorBidi" w:cstheme="majorBidi"/>
                <w:sz w:val="24"/>
                <w:szCs w:val="24"/>
              </w:rPr>
            </w:pPr>
            <w:r>
              <w:rPr>
                <w:rFonts w:ascii="Segoe UI Symbol" w:eastAsia="Code2000" w:hAnsi="Segoe UI Symbol" w:cs="Segoe UI Symbol"/>
                <w:sz w:val="24"/>
                <w:szCs w:val="24"/>
              </w:rPr>
              <w:sym w:font="Wingdings 2" w:char="F0A3"/>
            </w:r>
            <w:r w:rsidRPr="00DE7577">
              <w:rPr>
                <w:rFonts w:asciiTheme="majorBidi" w:eastAsia="Code2000" w:hAnsiTheme="majorBidi" w:cstheme="majorBidi"/>
                <w:sz w:val="24"/>
                <w:szCs w:val="24"/>
              </w:rPr>
              <w:t xml:space="preserve"> Demonstrating that the construct theory is sufficiently developed to support investigations of external aspect evidence</w:t>
            </w:r>
          </w:p>
        </w:tc>
      </w:tr>
      <w:tr w:rsidR="00DE7577" w:rsidRPr="00DE7577" w:rsidTr="00F4728C">
        <w:tc>
          <w:tcPr>
            <w:tcW w:w="1838" w:type="dxa"/>
            <w:vMerge/>
          </w:tcPr>
          <w:p w:rsidR="00DE7577" w:rsidRPr="00DE7577" w:rsidRDefault="00DE7577" w:rsidP="00F4728C">
            <w:pPr>
              <w:bidi w:val="0"/>
              <w:rPr>
                <w:rFonts w:asciiTheme="majorBidi" w:hAnsiTheme="majorBidi" w:cstheme="majorBidi"/>
                <w:sz w:val="24"/>
                <w:szCs w:val="24"/>
              </w:rPr>
            </w:pPr>
          </w:p>
        </w:tc>
        <w:tc>
          <w:tcPr>
            <w:tcW w:w="2126" w:type="dxa"/>
          </w:tcPr>
          <w:p w:rsidR="00DE7577" w:rsidRPr="00DE7577" w:rsidRDefault="00DE7577" w:rsidP="00F4728C">
            <w:pPr>
              <w:bidi w:val="0"/>
              <w:rPr>
                <w:rFonts w:asciiTheme="majorBidi" w:hAnsiTheme="majorBidi" w:cstheme="majorBidi"/>
                <w:sz w:val="24"/>
                <w:szCs w:val="24"/>
              </w:rPr>
            </w:pPr>
            <w:r w:rsidRPr="00DE7577">
              <w:rPr>
                <w:rFonts w:asciiTheme="majorBidi" w:hAnsiTheme="majorBidi" w:cstheme="majorBidi"/>
                <w:sz w:val="24"/>
                <w:szCs w:val="24"/>
              </w:rPr>
              <w:t>Consequential</w:t>
            </w:r>
          </w:p>
        </w:tc>
        <w:tc>
          <w:tcPr>
            <w:tcW w:w="5052" w:type="dxa"/>
          </w:tcPr>
          <w:p w:rsidR="00DE7577" w:rsidRPr="00DE7577" w:rsidRDefault="00DE7577" w:rsidP="00DE7577">
            <w:pPr>
              <w:bidi w:val="0"/>
              <w:jc w:val="both"/>
              <w:rPr>
                <w:rFonts w:asciiTheme="majorBidi" w:hAnsiTheme="majorBidi" w:cstheme="majorBidi"/>
                <w:sz w:val="24"/>
                <w:szCs w:val="24"/>
              </w:rPr>
            </w:pPr>
            <w:r>
              <w:rPr>
                <w:rFonts w:ascii="Segoe UI Symbol" w:eastAsia="Code2000" w:hAnsi="Segoe UI Symbol" w:cs="Segoe UI Symbol"/>
                <w:sz w:val="24"/>
                <w:szCs w:val="24"/>
              </w:rPr>
              <w:sym w:font="Wingdings 2" w:char="F0A3"/>
            </w:r>
            <w:r w:rsidRPr="00DE7577">
              <w:rPr>
                <w:rFonts w:asciiTheme="majorBidi" w:eastAsia="Code2000" w:hAnsiTheme="majorBidi" w:cstheme="majorBidi"/>
                <w:sz w:val="24"/>
                <w:szCs w:val="24"/>
              </w:rPr>
              <w:t xml:space="preserve"> Detecting positive or negative impact on systems (systemic validity)</w:t>
            </w:r>
          </w:p>
        </w:tc>
      </w:tr>
    </w:tbl>
    <w:p w:rsidR="00DE7577" w:rsidRPr="00DE7577" w:rsidRDefault="00DE7577" w:rsidP="00DE7577">
      <w:pPr>
        <w:bidi w:val="0"/>
        <w:rPr>
          <w:rFonts w:asciiTheme="majorBidi" w:hAnsiTheme="majorBidi" w:cstheme="majorBidi"/>
        </w:rPr>
      </w:pPr>
    </w:p>
    <w:sectPr w:rsidR="00DE7577" w:rsidRPr="00DE7577" w:rsidSect="003A335D">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0AFF" w:usb1="00007843" w:usb2="00000001" w:usb3="00000000" w:csb0="000001BF" w:csb1="00000000"/>
  </w:font>
  <w:font w:name="Times New Roman">
    <w:panose1 w:val="02020603050405020304"/>
    <w:charset w:val="00"/>
    <w:family w:val="roman"/>
    <w:pitch w:val="variable"/>
    <w:sig w:usb0="E0000AFF" w:usb1="00007843" w:usb2="00000001" w:usb3="00000000" w:csb0="000001BF" w:csb1="00000000"/>
  </w:font>
  <w:font w:name="Segoe UI Symbol">
    <w:panose1 w:val="020B0502040204020203"/>
    <w:charset w:val="00"/>
    <w:family w:val="swiss"/>
    <w:pitch w:val="variable"/>
    <w:sig w:usb0="8000006F" w:usb1="1200FBEF" w:usb2="0064C000" w:usb3="00000000" w:csb0="00000001" w:csb1="00000000"/>
  </w:font>
  <w:font w:name="Code2000">
    <w:altName w:val="Arial Unicode MS"/>
    <w:panose1 w:val="00000000000000000000"/>
    <w:charset w:val="81"/>
    <w:family w:val="auto"/>
    <w:notTrueType/>
    <w:pitch w:val="default"/>
    <w:sig w:usb0="00000001" w:usb1="09060000" w:usb2="00000010" w:usb3="00000000" w:csb0="0008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577"/>
    <w:rsid w:val="00276076"/>
    <w:rsid w:val="003A335D"/>
    <w:rsid w:val="006925BD"/>
    <w:rsid w:val="006D658F"/>
    <w:rsid w:val="00B75CC2"/>
    <w:rsid w:val="00DE757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3CDDC0-0879-44F9-8647-825FFA85A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75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473</Words>
  <Characters>2702</Characters>
  <Application>Microsoft Office Word</Application>
  <DocSecurity>0</DocSecurity>
  <Lines>22</Lines>
  <Paragraphs>6</Paragraphs>
  <ScaleCrop>false</ScaleCrop>
  <Company/>
  <LinksUpToDate>false</LinksUpToDate>
  <CharactersWithSpaces>3169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SamSystemShargh</dc:creator>
  <cp:keywords/>
  <dc:description/>
  <cp:lastModifiedBy>SamSystemShargh</cp:lastModifiedBy>
  <cp:revision>3</cp:revision>
  <dcterms:created xsi:type="dcterms:W3CDTF">2019-04-07T13:14:00Z</dcterms:created>
  <dcterms:modified xsi:type="dcterms:W3CDTF">2019-07-10T05:40:00Z</dcterms:modified>
</cp:coreProperties>
</file>