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A4" w:rsidRDefault="00E324A4">
      <w:pPr>
        <w:rPr>
          <w:sz w:val="16"/>
          <w:szCs w:val="16"/>
        </w:rPr>
      </w:pPr>
    </w:p>
    <w:p w:rsidR="0050089F" w:rsidRPr="00FE61FE" w:rsidRDefault="0050089F">
      <w:pPr>
        <w:rPr>
          <w:sz w:val="16"/>
          <w:szCs w:val="16"/>
        </w:rPr>
      </w:pPr>
    </w:p>
    <w:p w:rsidR="00605098" w:rsidRPr="001C54B0" w:rsidRDefault="00E324A4" w:rsidP="001C54B0">
      <w:pPr>
        <w:widowControl w:val="0"/>
        <w:spacing w:line="240" w:lineRule="auto"/>
        <w:jc w:val="center"/>
        <w:rPr>
          <w:rFonts w:ascii="Calibri" w:eastAsia="Calibri" w:hAnsi="Calibri" w:cs="Calibri"/>
          <w:b/>
          <w:sz w:val="32"/>
          <w:szCs w:val="24"/>
        </w:rPr>
      </w:pPr>
      <w:r w:rsidRPr="00DC1936">
        <w:rPr>
          <w:b/>
          <w:sz w:val="32"/>
          <w:szCs w:val="16"/>
        </w:rPr>
        <w:t>A</w:t>
      </w:r>
      <w:r w:rsidR="009A13A8">
        <w:rPr>
          <w:b/>
          <w:sz w:val="32"/>
          <w:szCs w:val="32"/>
        </w:rPr>
        <w:t>dditional file</w:t>
      </w:r>
      <w:r w:rsidRPr="009E2835">
        <w:rPr>
          <w:b/>
          <w:sz w:val="32"/>
          <w:szCs w:val="32"/>
        </w:rPr>
        <w:t xml:space="preserve"> </w:t>
      </w:r>
      <w:r w:rsidR="00D30D9F">
        <w:rPr>
          <w:b/>
          <w:sz w:val="32"/>
          <w:szCs w:val="32"/>
        </w:rPr>
        <w:t>2</w:t>
      </w:r>
      <w:bookmarkStart w:id="0" w:name="_GoBack"/>
      <w:bookmarkEnd w:id="0"/>
      <w:r w:rsidR="009E2835" w:rsidRPr="009E2835">
        <w:rPr>
          <w:b/>
          <w:sz w:val="32"/>
          <w:szCs w:val="32"/>
        </w:rPr>
        <w:t xml:space="preserve">: </w:t>
      </w:r>
      <w:r w:rsidR="001C54B0">
        <w:rPr>
          <w:rFonts w:ascii="Calibri" w:eastAsia="Calibri" w:hAnsi="Calibri" w:cs="Calibri"/>
          <w:b/>
          <w:sz w:val="32"/>
          <w:szCs w:val="24"/>
        </w:rPr>
        <w:t>Studies identified in the search that used PDSA method</w:t>
      </w:r>
    </w:p>
    <w:tbl>
      <w:tblPr>
        <w:tblStyle w:val="PlainTable2"/>
        <w:tblW w:w="16155" w:type="dxa"/>
        <w:tblLayout w:type="fixed"/>
        <w:tblCellMar>
          <w:top w:w="57" w:type="dxa"/>
          <w:bottom w:w="57" w:type="dxa"/>
        </w:tblCellMar>
        <w:tblLook w:val="04A0" w:firstRow="1" w:lastRow="0" w:firstColumn="1" w:lastColumn="0" w:noHBand="0" w:noVBand="1"/>
      </w:tblPr>
      <w:tblGrid>
        <w:gridCol w:w="1696"/>
        <w:gridCol w:w="1276"/>
        <w:gridCol w:w="1127"/>
        <w:gridCol w:w="1427"/>
        <w:gridCol w:w="1217"/>
        <w:gridCol w:w="4309"/>
        <w:gridCol w:w="1276"/>
        <w:gridCol w:w="2126"/>
        <w:gridCol w:w="1701"/>
      </w:tblGrid>
      <w:tr w:rsidR="00915F6B" w:rsidRPr="009A13A8" w:rsidTr="000B7C9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CC0B09">
            <w:pPr>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Author</w:t>
            </w:r>
          </w:p>
        </w:tc>
        <w:tc>
          <w:tcPr>
            <w:tcW w:w="1276" w:type="dxa"/>
            <w:hideMark/>
          </w:tcPr>
          <w:p w:rsidR="00CC0B09" w:rsidRPr="009A13A8" w:rsidRDefault="00CC0B09" w:rsidP="00CC0B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Country</w:t>
            </w:r>
          </w:p>
        </w:tc>
        <w:tc>
          <w:tcPr>
            <w:tcW w:w="1127" w:type="dxa"/>
            <w:hideMark/>
          </w:tcPr>
          <w:p w:rsidR="00CC0B09" w:rsidRPr="009A13A8" w:rsidRDefault="00CC0B09" w:rsidP="00CC0B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Reach</w:t>
            </w:r>
          </w:p>
        </w:tc>
        <w:tc>
          <w:tcPr>
            <w:tcW w:w="1427" w:type="dxa"/>
            <w:hideMark/>
          </w:tcPr>
          <w:p w:rsidR="00CC0B09" w:rsidRPr="009A13A8" w:rsidRDefault="00CC0B09" w:rsidP="00CC0B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Area of Healthcare</w:t>
            </w:r>
          </w:p>
        </w:tc>
        <w:tc>
          <w:tcPr>
            <w:tcW w:w="1217" w:type="dxa"/>
            <w:hideMark/>
          </w:tcPr>
          <w:p w:rsidR="00CC0B09" w:rsidRPr="009A13A8" w:rsidRDefault="00CC0B09" w:rsidP="00CC0B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Department Specialty</w:t>
            </w:r>
          </w:p>
        </w:tc>
        <w:tc>
          <w:tcPr>
            <w:tcW w:w="4309" w:type="dxa"/>
            <w:hideMark/>
          </w:tcPr>
          <w:p w:rsidR="00CC0B09" w:rsidRPr="009A13A8" w:rsidRDefault="00CC0B09" w:rsidP="00CC0B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Title</w:t>
            </w:r>
          </w:p>
        </w:tc>
        <w:tc>
          <w:tcPr>
            <w:tcW w:w="1276" w:type="dxa"/>
            <w:hideMark/>
          </w:tcPr>
          <w:p w:rsidR="00CC0B09" w:rsidRPr="009A13A8" w:rsidRDefault="00CC0B09" w:rsidP="00CC0B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Supporting Framework</w:t>
            </w:r>
          </w:p>
        </w:tc>
        <w:tc>
          <w:tcPr>
            <w:tcW w:w="2126" w:type="dxa"/>
            <w:hideMark/>
          </w:tcPr>
          <w:p w:rsidR="00CC0B09" w:rsidRPr="009A13A8" w:rsidRDefault="00CC0B09" w:rsidP="00CC0B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en-GB"/>
              </w:rPr>
            </w:pPr>
            <w:r w:rsidRPr="009A13A8">
              <w:rPr>
                <w:rFonts w:ascii="Arial" w:eastAsia="Times New Roman" w:hAnsi="Arial" w:cs="Arial"/>
                <w:sz w:val="16"/>
                <w:szCs w:val="16"/>
                <w:lang w:eastAsia="en-GB"/>
              </w:rPr>
              <w:t>Thoroughness of PDSA-description</w:t>
            </w:r>
          </w:p>
        </w:tc>
        <w:tc>
          <w:tcPr>
            <w:tcW w:w="1701" w:type="dxa"/>
          </w:tcPr>
          <w:p w:rsidR="00CC0B09" w:rsidRPr="009A13A8" w:rsidRDefault="009C1942" w:rsidP="00726B7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9A13A8">
              <w:rPr>
                <w:rFonts w:ascii="Arial" w:hAnsi="Arial" w:cs="Arial"/>
                <w:sz w:val="16"/>
                <w:szCs w:val="16"/>
              </w:rPr>
              <w:t xml:space="preserve">Was </w:t>
            </w:r>
            <w:r w:rsidR="00726B7E" w:rsidRPr="009A13A8">
              <w:rPr>
                <w:rFonts w:ascii="Arial" w:hAnsi="Arial" w:cs="Arial"/>
                <w:sz w:val="16"/>
                <w:szCs w:val="16"/>
              </w:rPr>
              <w:t>there improvement</w:t>
            </w:r>
            <w:r w:rsidRPr="009A13A8">
              <w:rPr>
                <w:rFonts w:ascii="Arial" w:hAnsi="Arial" w:cs="Arial"/>
                <w:sz w:val="16"/>
                <w:szCs w:val="16"/>
              </w:rPr>
              <w:t>?</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552EFC" w:rsidRPr="009A13A8">
              <w:rPr>
                <w:rFonts w:ascii="Arial" w:eastAsia="Times New Roman" w:hAnsi="Arial" w:cs="Arial"/>
                <w:sz w:val="16"/>
                <w:szCs w:val="16"/>
                <w:lang w:eastAsia="en-GB"/>
              </w:rPr>
              <w:instrText>ADDIN CSL_CITATION { "citationItems" : [ { "id" : "ITEM-1", "itemData" : { "DOI" : "10.1136/bmjquality.u201413.w1473", "ISSN" : "2050-1315", "PMID" : "26734412", "abstract" : "The ultimate goal of every tuberculosis (TB) treatment program is a high treatment success rate. Treatment success is extremely important because, when the rate is high, it significantly contributes to declining numbers of new cases by reducing the number and period of infectious cases, TB morbidity and mortality, and prevents the emergence of resistant strains. Our aim was to decrease TB mortality by increasing pulmonary TB patients' treatment success rate to at least 85 % in Lacs Health District by end of July 2014. A systems and dialogic analysis of the public health system related to TB patients' treatment revealed that it was not performing well; we found weak coverage and quality of TB services, a poorly-functioning TB health information system, poor-performing health workforce, poor availability of HIV tests and antiretroviral for TB patients, and low degree of patients' participation in their care. We redesigned the system to correct those weaknesses. The effectiveness of these changes was monitored using plan, do, study, act (PDSA) cycles. We increased TB patient success rate from 80% to 95% between February 2012 and July 2014.The mortality rate dropped from 13% to 3% and the failure to follow-up rate dropped from 3% to 2%. In conclusion, district health systems performance depends on factors such as the closeness of services to population; skilled workforce; the ability to collect and analyze data and use information for action; population empowerment, and good management and improvement capabilities of management team especially the public health director. High TB patients' success rate depends also on the availability of antiretroviral drugs. It is highly important that every district health management team member develops improvement capabilities.", "author" : [ { "dropping-particle" : "", "family" : "Afanvi", "given" : "Kossivi Agbelenko", "non-dropping-particle" : "", "parse-names" : false, "suffix" : "" } ], "container-title" : "BMJ Quality Improvement Reports", "id" : "ITEM-1", "issue" : "1", "issued" : { "date-parts" : [ [ "2015" ] ] }, "page" : "u201413.w1473", "publisher-place" : "England", "title" : "From many deaths to some few cases of drug-resistant tuberculosis: travelling with the systems quality improvement model in Lacs Health District, Togo", "type" : "article-journal", "volume" : "4" }, "uris" : [ "http://www.mendeley.com/documents/?uuid=e57d4ecb-98c2-4755-8b5a-c56e626c5246" ] } ], "mendeley" : { "formattedCitation" : "[1]", "plainTextFormattedCitation" : "[1]", "previouslyFormattedCitation" : "[1]"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w:t>
            </w:r>
            <w:r w:rsidRPr="009A13A8">
              <w:rPr>
                <w:rFonts w:ascii="Arial" w:eastAsia="Times New Roman" w:hAnsi="Arial" w:cs="Arial"/>
                <w:sz w:val="16"/>
                <w:szCs w:val="16"/>
                <w:lang w:eastAsia="en-GB"/>
              </w:rPr>
              <w:fldChar w:fldCharType="end"/>
            </w:r>
            <w:r w:rsidRPr="009A13A8">
              <w:rPr>
                <w:rFonts w:ascii="Arial" w:eastAsia="Times New Roman" w:hAnsi="Arial" w:cs="Arial"/>
                <w:sz w:val="16"/>
                <w:szCs w:val="16"/>
                <w:lang w:eastAsia="en-GB"/>
              </w:rPr>
              <w:t xml:space="preserve"> Afanvi</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Togo</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Public Health</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From many deaths to some few cases of drug-resistant tuberculosis: travelling with the systems quality improvement model in Lacs Health District, Togo</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"10.1136/bmjquality.u212405.w5122", "ISSN" : "2050-1315", "abstract" : "Venous thromboembolism (VTE) is one of the leading causes of maternal mortality in the UK. Therefore, timely VTE risk assessment is essential in all obstetrics patients. The Commissioning for Quality and Innovation (CQUIN) payment framework set a target for trusts to complete a VTE risk assessment within 24 hours of admission for 95% of patients. A combination of factors, including lack of integration between multiple IT systems, means that this CQUIN target is currently not being met for obstetric patients in the Hospital Birth Centre at Guys and St Thomas' NHS Trust. This project aims to increase staff awareness of this issue and educate them regarding the correct procedure for VTE assessment. Trialled methods included reminders at staff handovers, use of magnets on the patient whiteboard, posters and stickers displayed around the unit and a loyalty card scheme as incentive to complete assessments. Initial average completion rate was 20.7%, which increased to 67.5% after the first plan, do, study, act (PDSA) cycle with a slight drop to 65.7% after the second cycle. Completion rates increased to 92.3% on the last day of the third PDSA cycle. Although we did not reach the 95% target, we have raised awareness of the importance of recording VTE assessment on electronic systems, and hope we have created sustainable change. PROBLEM This quality improvement project was under-taken at St Thomas' Hospital Birth Centre (HBC) by four fourth year medical students, under the supervision of an obstetric consult-ant and two junior doctors. St Thomas' is a tertiary teaching hospital in London, UK and is the base for maternity services for the Guy's and St Thomas' (GSTT) NHS Foundation Trust. With 22 beds on HBC, an average of 40 patients are admitted each day. The depart-ment has 90 staff members in total with 15 present on each shift. St Thomas' HBC patient population encompasses South-East London and annually sees approximately 6000 births. As part of GSTT protocol, venous thromboembolism (VTE) risk assessment of women on HBC is completed on two separ-ate computer systems. One is BadgerNet, Clevermed version 2.9.1.0, a maternity elec-tronic record where antenatal, postnatal, and delivery details are recorded. The second system is the electronic patient record (EPR), iSOFT version 1.6. The CQUIN target is for 95% of patients to have a VTE assessment completed within 24 hours of admission. Previously women who delivered during their admission had their VTE assessment\u2026", "author" : [ { "dropping-particle" : "", "family" : "Ahmad", "given" : "Aminah Noor", "non-dropping-particle" : "", "parse-names" : false, "suffix" : "" }, { "dropping-particle" : "", "family" : "Leyla Byrne", "given" : "Megan", "non-dropping-particle" : "", "parse-names" : false, "suffix" : "" }, { "dropping-particle" : "", "family" : "Imambaccus", "given" : "Nazia", "non-dropping-particle" : "", "parse-names" : false, "suffix" : "" }, { "dropping-particle" : "", "family" : "Hubert", "given" : "Dawid", "non-dropping-particle" : "", "parse-names" : false, "suffix" : "" }, { "dropping-particle" : "", "family" : "Gateley", "given" : "Anna", "non-dropping-particle" : "", "parse-names" : false, "suffix" : "" }, { "dropping-particle" : "", "family" : "Abdullahi Idle", "given" : "Salwa", "non-dropping-particle" : "", "parse-names" : false, "suffix" : "" }, { "dropping-particle" : "", "family" : "Lloyd", "given" : "Jilly", "non-dropping-particle" : "", "parse-names" : false, "suffix" : "" } ], "container-title" : "BMJ Quality Improvement Reports", "id" : "ITEM-1", "issue" : "1", "issued" : { "date-parts" : [ [ "2016" ] ] }, "page" : "u212405.w5122", "title" : "Venous thromboembolism capture on electronic systems in obstetrics patients at St Thomas' Hospital", "type" : "article-journal", "volume" : "5" }, "uris" : [ "http://www.mendeley.com/documents/?uuid=3d3b9b72-941f-44c4-81f9-ade40b2ea08b" ] } ], "mendeley" : { "formattedCitation" : "[2]", "plainTextFormattedCitation" : "[2]", "previouslyFormattedCitation" : "[2]"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w:t>
            </w:r>
            <w:r w:rsidRPr="009A13A8">
              <w:rPr>
                <w:rFonts w:ascii="Arial" w:eastAsia="Times New Roman" w:hAnsi="Arial" w:cs="Arial"/>
                <w:sz w:val="16"/>
                <w:szCs w:val="16"/>
                <w:lang w:eastAsia="en-GB"/>
              </w:rPr>
              <w:fldChar w:fldCharType="end"/>
            </w:r>
            <w:r w:rsidRPr="009A13A8">
              <w:rPr>
                <w:rFonts w:ascii="Arial" w:eastAsia="Times New Roman" w:hAnsi="Arial" w:cs="Arial"/>
                <w:sz w:val="16"/>
                <w:szCs w:val="16"/>
                <w:lang w:eastAsia="en-GB"/>
              </w:rPr>
              <w:t xml:space="preserve"> Ahmad</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Gyn/obs</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Venous thromboembolism capture on electronic systems in obstetrics patients at St Thomas' Hospital</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"10.1136/bmjquality.u210787.w4336", "ISSN" : "2050-1315", "author" : [ { "dropping-particle" : "", "family" : "Ahmed Awaji", "given" : "Maryam", "non-dropping-particle" : "", "parse-names" : false, "suffix" : "" }, { "dropping-particle" : "", "family" : "Al-Surimi", "given" : "Khaled", "non-dropping-particle" : "", "parse-names" : false, "suffix" : "" } ], "container-title" : "BMJ Quality Improvement Reports", "id" : "ITEM-1", "issue" : "1", "issued" : { "date-parts" : [ [ "2016" ] ] }, "page" : "u210787.w4336", "title" : "Promoting the role of patients in improving hand hygiene compliance amongst health care workers", "type" : "article-journal", "volume" : "5" }, "uris" : [ "http://www.mendeley.com/documents/?uuid=ea653026-754c-41a0-bb54-158ec6684ca7" ] } ], "mendeley" : { "formattedCitation" : "[3]", "plainTextFormattedCitation" : "[3]", "previouslyFormattedCitation" : "[3]"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AhmedAwaji</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Kingdom of Saudi Arabia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Nationwide</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Oncology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Promoting the role of patients in improving hand hygiene compliance amongst health care workers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"10.1136/bmjquality.u212414.w4934", "ISBN" : "2050-1315 (Print)\r2050-1315", "ISSN" : "2050-1315", "PMID" : "27933145", "abstract" : "The Department of Health has defined hospital acquired venous thromboembolism (VTE) as any VTE event occurring within 90 days of hospital admission or surgery. (1) Hospital acquired thrombosis (HAT) is common during and after hospital admission and is considered a major patient safety issue. Current NICE guideline (CG 92) 2010, recommends that medical patients assessed at risk of VTE should have pharmacological prophylaxis commenced as soon as possible after risk assessment has been completed and continued until the patient is no longer at increased risk of VTE. (2) This quality improvement project was carried out in the medical assessment unit in Derriford Hospital, Plymouth. We aimed to increase appropriate VTE pharmacological prophylaxis to 100% prescribed in 6 hours by the end of May 2016 using the Plan-Do-Study-Act (PDSA) methodology. The primary outcome measure was whether or not enoxaparin was given within 6 hours of admission. Analysis showed that a major contributing factor to the prolonged time interval was lack of awareness of the Trust VTE guidelines which had recently been updated in accordance with NICE recommendations. Baseline measurement demonstrated that 29% of patients had first dose of enoxaparin within the 6-hour target, with a mean delay of 12 hours 22 minutes. With implementation of an education programme and development of a local VTE prevention care pathway to raise awareness of the new guidelines, a significant improvement was achieved with 71% of patients meeting the 6-hour target in PDSA cycle 1 and 83% of patients in PDSA cycle 2. The average time interval also reduced to 5 hours 52 minutes in PDSA cycle 1 and 5 hours 7 minutes in PDSA cycle 2. In conclusion, through utilization of simple change methodology, enoxaparin prescribing practice significantly improved. Potentially this may reduce morbidity (and mortality) associated with HAT together with cost implications of its management.", "author" : [ { "dropping-particle" : "", "family" : "Akinbobuyi", "given" : "Oluwatosin", "non-dropping-particle" : "", "parse-names" : false, "suffix" : "" }, { "dropping-particle" : "", "family" : "shalders", "given" : "louise", "non-dropping-particle" : "", "parse-names" : false, "suffix" : "" }, { "dropping-particle" : "", "family" : "Nokes", "given" : "Tim", "non-dropping-particle" : "", "parse-names" : false, "suffix" : "" } ], "container-title" : "BMJ Quality Improvement Reports", "id" : "ITEM-1", "issue" : "1", "issued" : { "date-parts" : [ [ "2016" ] ] }, "page" : "u212414.w4934", "title" : "Ensuring timely thromboprophylaxis on a Medical Assessment Unit", "type" : "article-journal", "volume" : "5" }, "uris" : [ "http://www.mendeley.com/documents/?uuid=cc843b50-7df6-4c2f-833e-b56184fe4519" ] } ], "mendeley" : { "formattedCitation" : "[4]", "plainTextFormattedCitation" : "[4]", "previouslyFormattedCitation" : "[4]"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Akinbobuyi</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Ensuring timely thromboprophylaxis on a medical assessment unit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"10.1136/bmjquality.u210108.w4174", "ISSN" : "2050-1315", "PMID" : "27493747", "abstract" : "Improving physical healthcare to reduce premature mortality in people with SMI (Serious Mental Illness) is a priority for ELFT (East London NHS Foundation Trust) and NHS England. It is well know that people with schizophrenia have a life expectancy which is approximately 20% shorter than that of the general population and a substantial mortality difference exists between people with schizophrenia and the general community.[1-2] Among other risk factors, such as poor diet, physical inactivity, and high rates of smoking, the iatrogenic effects of anti-psychotic medications have been found to increase the risk of metabolic syndrome. This can easily be detected through regular monitoring. Through this project, it was our aim to improve the physical health monitoring of City &amp; Hackney Assertive Outreach Service (AOS) patients with a view to decrease mortality rate, increase life expectancy, increase the quality of life, and reduce harm from medication. This was done using quality improvement methods, including several change ideas, each of which started sequentially over the course of a nine month period from November 2014. Following QI methodology, this utilised cycles of iterative learning using PDSA methods and was supported by the Trust's extensive programme of quality improvement, including training provided by the Institute for Healthcare Improvement. The project involved setting a specific aim which was improving the physical health monitoring of AOS patients to 80% by July 2015 and for our patients to have physical health checks (blood tests, weight, ECG, BP) as a minimum annually. From baseline measurements of between 50-75%, we reached our target of 80% for weight, BP and blood tests monitoring, with 89%, 91%, and 84% achieved respectively by July 2015. Further progress still needs to be made on ECGs, with 77% achieved by July 2015, although the monitoring of ECG nearly doubled from 39% in November 2014 to 77% in July 2015. This project demonstrated that effective leadership, collaborative team work, embedding the project in our daily practice, generating local solutions, and improved communication between primary and secondary care can increase the physical health monitoring of this complex and challenging patient group. The team continues to identify other areas for change that may lead to further improvement in the physical health monitoring of AOS patients while making sure that the improvement is sustained.", "author" : [ { "dropping-particle" : "", "family" : "Akyuz", "given" : "Elvan", "non-dropping-particle" : "", "parse-names" : false, "suffix" : "" }, { "dropping-particle" : "", "family" : "jain", "given" : "amit", "non-dropping-particle" : "", "parse-names" : false, "suffix" : "" }, { "dropping-particle" : "", "family" : "phelan", "given" : "declan", "non-dropping-particle" : "", "parse-names" : false, "suffix" : "" }, { "dropping-particle" : "", "family" : "Gupta", "given" : "Susham", "non-dropping-particle" : "", "parse-names" : false, "suffix" : "" } ], "container-title" : "BMJ Quality Improvement Reports", "id" : "ITEM-1", "issue" : "1", "issued" : { "date-parts" : [ [ "2016" ] ] }, "note" : "Henrik V. B. Laursen (2016-11-24 06:54:40)(Select): http://qir.bmj.com/content/5/1/u210108.w4174/suppl/DC1;", "page" : "u210108.w4174", "publisher-place" : "England", "title" : "Improving the Physical Health Monitoring of City &amp;amp; Hackney Assertive Outreach Service Patients", "type" : "article-journal", "volume" : "5" }, "uris" : [ "http://www.mendeley.com/documents/?uuid=6234e4c5-cfe2-4891-971f-a4125d332ddf" ] } ], "mendeley" : { "formattedCitation" : "[5]", "plainTextFormattedCitation" : "[5]", "previouslyFormattedCitation" : "[5]"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Akyuz</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Public Health</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Physical Health Monitoring of City &amp; Hackney Assertive Outreach Service Patients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552EFC" w:rsidRPr="009A13A8">
              <w:rPr>
                <w:rFonts w:ascii="Arial" w:eastAsia="Times New Roman" w:hAnsi="Arial" w:cs="Arial"/>
                <w:sz w:val="16"/>
                <w:szCs w:val="16"/>
                <w:lang w:eastAsia="en-GB"/>
              </w:rPr>
              <w:instrText>ADDIN CSL_CITATION { "citationItems" : [ { "id" : "ITEM-1", "itemData" : { "DOI" : "10.1093/intqhc/mzw082", "ISSN" : "1464-3677", "PMID" : "27512129", "abstract" : "PROBLEM Effective handovers are critical for patient care and safety. Electronic handover tools are increasingly used today to provide an effective and standardized platform for information exchange. The implementation of an electronic handover system in tertiary hospitals can be a major challenge. Previous efforts in implementing an electronic handover tool failed due to poor compliance and buy-in from end-users. A new electronic handover tool was developed and incorporated into the existing electronic medical records (EMRs) for medical patients in Singapore General Hospital (SGH). INITIAL ASSESSMENT There was poor compliance by on-call doctors in acknowledging electronic handovers, and lack of adherence to safety rules, raising concerns about the safety and efficiency of the electronic handover tool. Urgent measures were needed to ensure its safe and sustained use. SOLUTION A quality improvement group comprising stakeholders, including end-users, developed multi-faceted interventions using rapid PDSA (P-Plan, D-Do, S-Study, A-Act ) cycles to address these issues. IMPLEMENTATION Innovative solutions using media and online software provided cost-efficient measures to improve compliance. EVALUATION The percentage of unacknowledged handovers per day was used as the main outcome measure throughout all PDSA cycles. Doctors were also assessed for improvement in their knowledge of safety rules and their perception of the electronic handover tool. LESSONS LEARNT An electronic handover tool complementing daily clinical practice can be successfully implemented using solutions devised through close collaboration with end-users supported by the senior leadership. A combined 'bottom-up' and 'top-down' approach with regular process evaluations is crucial for its long-term sustainability.", "author" : [ { "dropping-particle" : "", "family" : "Alhamid", "given" : "Sharifah Munirah", "non-dropping-particle" : "", "parse-names" : false, "suffix" : "" }, { "dropping-particle" : "", "family" : "Lee", "given" : "Desmond Xue-Yuan", "non-dropping-particle" : "", "parse-names" : false, "suffix" : "" }, { "dropping-particle" : "", "family" : "Wong", "given" : "Hei Man", "non-dropping-particle" : "", "parse-names" : false, "suffix" : "" }, { "dropping-particle" : "", "family" : "Chuah", "given" : "Matthew Bingfeng", "non-dropping-particle" : "", "parse-names" : false, "suffix" : "" }, { "dropping-particle" : "", "family" : "Wong", "given" : "Yu Jun", "non-dropping-particle" : "", "parse-names" : false, "suffix" : "" }, { "dropping-particle" : "", "family" : "Narasimhalu", "given" : "Kaavya", "non-dropping-particle" : "", "parse-names" : false, "suffix" : "" }, { "dropping-particle" : "", "family" : "Tan", "given" : "Thuan Tong", "non-dropping-particle" : "", "parse-names" : false, "suffix" : "" }, { "dropping-particle" : "", "family" : "Low", "given" : "Su Ying", "non-dropping-particle" : "", "parse-names" : false, "suffix" : "" } ], "container-title" : "International journal for quality in health care : journal of the International Society for Quality in Health Care", "id" : "ITEM-1", "issue" : "5", "issued" : { "date-parts" : [ [ "2016" ] ] }, "page" : "608-614", "publisher" : ". Published by Oxford University Press in association with the International Society for Quality in Health Care", "publisher-place" : "England", "title" : "Implementing electronic handover: interventions to improve efficiency, safety and sustainability.", "type" : "article-journal", "volume" : "28" }, "uris" : [ "http://www.mendeley.com/documents/?uuid=ef8f72aa-a5c3-4d87-9497-8ebf5d58d6cc" ] } ], "mendeley" : { "formattedCitation" : "[6]", "plainTextFormattedCitation" : "[6]", "previouslyFormattedCitation" : "[6]"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w:t>
            </w:r>
            <w:r w:rsidRPr="009A13A8">
              <w:rPr>
                <w:rFonts w:ascii="Arial" w:eastAsia="Times New Roman" w:hAnsi="Arial" w:cs="Arial"/>
                <w:sz w:val="16"/>
                <w:szCs w:val="16"/>
                <w:lang w:eastAsia="en-GB"/>
              </w:rPr>
              <w:fldChar w:fldCharType="end"/>
            </w:r>
            <w:r w:rsidRPr="009A13A8">
              <w:rPr>
                <w:rFonts w:ascii="Arial" w:eastAsia="Times New Roman" w:hAnsi="Arial" w:cs="Arial"/>
                <w:sz w:val="16"/>
                <w:szCs w:val="16"/>
                <w:lang w:eastAsia="en-GB"/>
              </w:rPr>
              <w:t xml:space="preserve"> Alhamid</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Singapore</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Implementing electronic handover: interventions to improve efficiency, safety and sustainability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552EFC" w:rsidRPr="009A13A8">
              <w:rPr>
                <w:rFonts w:ascii="Arial" w:eastAsia="Times New Roman" w:hAnsi="Arial" w:cs="Arial"/>
                <w:sz w:val="16"/>
                <w:szCs w:val="16"/>
                <w:lang w:eastAsia="en-GB"/>
              </w:rPr>
              <w:instrText>ADDIN CSL_CITATION { "citationItems" : [ { "id" : "ITEM-1", "itemData" : { "DOI" : "10.1136/bmjquality.u209172.w3737 [doi]", "ISSN" : "2050-1315", "abstract" : "The oral public health program for patients with diabetes was initiated by Saudi Arabia Ministry of Health (MoH) based on international quality standard to control the severity of oral disease in patients with diabetes through improving the accessibility of patients to dental clinics in primary health care centers (PHCC). This program intends to deliver oral health care (OHC) for each patient with diabetes at least one visit every six months. However, we found that more than 90% of patients with diabetes that visited prince Mohammed bin Saud PHCC in Riyadh do not get their regular dental check up every six months. We developed a quality improvement project (QIP) using the quality improvement model to activate MoH oral health program for patients with diabetes visiting prince Mohamed bin Saud PHCC. The aim of our QIP was to increase number of patients with diabetes receiving their regular oral health check up during the PHC visit. The quality team tested two simple improvement ideas. The first idea was having the dentist signature on appointment request. The testing of the first idea led to the second idea, that both physician and dentist should sign the referral form. After running several PDSA cycles to test these interventions ideas, we found the number of patients with diabetes seen in dental clinic had increased dramatically compared with the baseline assessment. We conclude that the idea of signing the referral form by both physician and dentist is a practical and simple strategy to be executed and has a direct impact on the patient clinical flow between clinics.", "author" : [ { "dropping-particle" : "", "family" : "Aljaber", "given" : "A", "non-dropping-particle" : "", "parse-names" : false, "suffix" : "" }, { "dropping-particle" : "", "family" : "Al-Surimi", "given" : "K", "non-dropping-particle" : "", "parse-names" : false, "suffix" : "" } ], "container-title" : "BMJ quality improvement reports", "id" : "ITEM-1", "issue" : "1 PG  - 10.1136/bmjquality.u209172.w3737. eCollection 2015", "issued" : { "date-parts" : [ [ "2015" ] ] }, "note" : "Henrik V. B. Laursen (2016-11-24 02:40:44)(Select): suppl: http://qir.bmj.com/content/4/1/u209172.w3737/suppl/DC1;", "page" : "10.1136/bmjquality.u209172.w3737. eCollection 2015", "publisher-place" : "England", "title" : "Promoting oral health practice among patients with diabetes attending primary health care clinics", "type" : "article-journal", "volume" : "4" }, "uris" : [ "http://www.mendeley.com/documents/?uuid=2bd555ef-5c27-47ee-9e92-c393379d723a" ] } ], "mendeley" : { "formattedCitation" : "[7]", "plainTextFormattedCitation" : "[7]", "previouslyFormattedCitation" : "[7]"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Aljaber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Kingdom of Saudi Arabia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Promoting oral health practice among patients with diabetes attending primary health care clinics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"u211474.w4624 [pii]", "abstract" : "Frequent, preventable medical errors can have an adverse effect on patient safety and quality as well as leading to wasted resources. In the laboratory, errors can occur at any stage of sample processing; pre-analytical, analytical, and post analytical stages. However evidence shows most of the laboratory errors occur during the pre-analytical stage. The receipt and processing of specimens is one of the main steps in the pre-analytical stage. Errors in this stage could be due to mislabeling, incorrect test entry and entering the wrong location, among other reasons. Most of these errors are preventable. At the Riyadh Regional Laboratory of the Ministry of Health, we found that there was an average of 2.31 errors per 1000 processed samples; these errors had occurred during the pre-analytical stage. These samples were returned back from other laboratory departments, such as Chemistry, Hematology and Microbiology, to the receiving and processing department. We decided to carry out an improvement project where we applied a systematic approach to identify and analyse the root causes of the problem using quality tools such as a process flowchart and a fish-bone diagram. The Model for Improvement was used and several PDSA (Plan, Do, Study, Act) cycles were run to test interventions which aimed to prevent laboratory processing errors and mistakes. The project results showed a 25% reduction in errors during the pre-analytical stage.", "author" : [ { "dropping-particle" : "", "family" : "Saleem", "given" : "N", "non-dropping-particle" : "Al", "parse-names" : false, "suffix" : "" }, { "dropping-particle" : "", "family" : "Al-Surimi", "given" : "K", "non-dropping-particle" : "", "parse-names" : false, "suffix" : "" } ], "container-title" : "BMJ quality improvement reports", "id" : "ITEM-1", "issue" : "1 PG  - u211474.w4624. eCollection 2016", "issued" : { "date-parts" : [ [ "2016" ] ] }, "page" : "u211474.w4624. eCollection 2016", "publisher-place" : "England", "title" : "Reducing the occurrence of errors in a laboratory's specimen receiving and processing department", "type" : "article-journal", "volume" : "5" }, "uris" : [ "http://www.mendeley.com/documents/?uuid=9a6c9ef5-fd64-4e45-b79f-eab522dd2138" ] } ], "mendeley" : { "formattedCitation" : "[8]", "plainTextFormattedCitation" : "[8]", "previouslyFormattedCitation" : "[8]"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AlSaleem</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Kingdom of Saudi Arabia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Nationwide</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Paraclinic</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Reducing the occurrence of errors in a laboratory's specimen receiving and processing department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552EFC" w:rsidRPr="009A13A8">
              <w:rPr>
                <w:rFonts w:ascii="Arial" w:eastAsia="Times New Roman" w:hAnsi="Arial" w:cs="Arial"/>
                <w:sz w:val="16"/>
                <w:szCs w:val="16"/>
                <w:lang w:eastAsia="en-GB"/>
              </w:rPr>
              <w:instrText>ADDIN CSL_CITATION { "citationItems" : [ { "id" : "ITEM-1", "itemData" : { "DOI" : "10.1136/bmjquality.u209223.w3773", "ISBN" : "2050-1315", "ISSN" : "2050-1315", "PMID" : "26734438", "abstract" : "Turnaround time is an important quality indicator in surgical pathology. Retrospective analysis of three data points in September 2014, January 2015, and February 2015 showed that on average, about a quarter (24%) of routine surgical pathology cases (26%, 19%, and 27% respectively) are not reported on time and do not meet the accepted level of the College of American Pathologists' (CAP) standard turnaround time, which states at least 90% of routine surgical pathology cases should be reported and verified within two days. Our daily observation supported by a root cause analysis exercise revealed that subprocesses including slide allocation and delivery to pathologists, slide review by pathologists, report editing by transcriptionists, and report verification by pathologists are where most delays occur. Thus, to tackle these process issues we developed a quality improvement project using the model of improvement methods to streamline the sample flow process and avoid unjustified reporting delay. The improvement ideas included developing a time log sheet to be attached with all pathology requests, and sending a daily reminder email followed by a phonecall to all pathologists to verify completed reports on the same day. These intervention elements were tested using multiple PDSA cycles resulting in a very noticeable improvement, with more than 94% of all routine cases reported in less than two days, meeting and exceeding the CAP standards. Such noticeable improvement in turnaround of surgical pathology reports will eventually lead to improving the quality and safety of patient care outcome, including diagnosing patients on time, developing the appropriate treatment plan, and avoiding unjustified complications resulting in morbidity and mortality due to delayed reports.", "author" : [ { "dropping-particle" : "", "family" : "Alshieban", "given" : "Saeed", "non-dropping-particle" : "", "parse-names" : false, "suffix" : "" }, { "dropping-particle" : "", "family" : "Al-Surimi", "given" : "Khaled", "non-dropping-particle" : "", "parse-names" : false, "suffix" : "" } ], "container-title" : "BMJ Quality Improvement Reports", "id" : "ITEM-1", "issue" : "1", "issued" : { "date-parts" : [ [ "2015" ] ] }, "note" : "Henrik V. B. Laursen (2016-12-02 00:03:15)(Select): http://qir.bmj.com/content/4/1/u209223.w3773/suppl/DC1\nog\nhttp://qir.bmj.com/content/4/1/u209223.w3773/suppl/DC2;", "page" : "u209223.w3773", "publisher-place" : "England", "title" : "Reducing turnaround time of surgical pathology reports in pathology and laboratory medicine departments", "type" : "article-journal", "volume" : "4" }, "uris" : [ "http://www.mendeley.com/documents/?uuid=78d0fc67-a749-4dc5-a4a2-ac2bd3336ad5" ] } ], "mendeley" : { "formattedCitation" : "[9]", "plainTextFormattedCitation" : "[9]", "previouslyFormattedCitation" : "[9]"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Alshieban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Kingdom of Saudi Arabia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Paraclinic</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Reducing turnaround time of surgical pathology reports in pathology and laboratory medicine departments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552EFC" w:rsidRPr="009A13A8">
              <w:rPr>
                <w:rFonts w:ascii="Arial" w:eastAsia="Times New Roman" w:hAnsi="Arial" w:cs="Arial"/>
                <w:sz w:val="16"/>
                <w:szCs w:val="16"/>
                <w:lang w:eastAsia="en-GB"/>
              </w:rPr>
              <w:instrText>ADDIN CSL_CITATION { "citationItems" : [ { "id" : "ITEM-1", "itemData" : { "DOI" : "10.1136/bmjquality.u204819.w3337 [doi]", "ISBN" : "2050-1315", "ISSN" : "2050-1315", "PMID" : "26734324", "abstract" : "The Scottish Patient Safety Programme in Primary Care (SPSP-PC) aims to improve the medicines reconciliation process in primary care to help reduce the number of adverse events causing avoidable harm. [1] The aim of this project is to improve the process for handling Immediate Discharge Documents (IDDs) in a single practice and develop a protocol using the care bundle approach. The care bundle consisted of: 1. Medicines reconciled and repeat prescription updated 2. Follow up documented 3. Diagnosis coded 4. Were all actions completed? A baseline audit was performed followed by three PDSA cycles. Interventions included: education at each cycle, decision that all Doctors would use the Medicines Reconciliation Polypharmacy LES template and constructing an electronic checklist for the care bundle. Compliance with the care bundle rose from 20% in the baseline measurement to 100% in PDSA cycles two and three. In conclusion, a protocol was developed for the processing of IDDs utilizing the care bundle approach with an electronic checklist, resulting in an improvement in the practice management of IDDs.", "author" : [ { "dropping-particle" : "", "family" : "Anderson", "given" : "C", "non-dropping-particle" : "", "parse-names" : false, "suffix" : "" }, { "dropping-particle" : "", "family" : "McNab", "given" : "D", "non-dropping-particle" : "", "parse-names" : false, "suffix" : "" } ], "container-title" : "BMJ quality improvement reports", "id" : "ITEM-1", "issue" : "1 PG  - 10.1136/bmjquality.u204819.w3337. eCollection 2015", "issued" : { "date-parts" : [ [ "2015" ] ] }, "note" : "Henrik V. B. Laursen (2016-11-24 02:21:01)(Select): suppl: http://qir.bmj.com/content/4/1/u204819.w3337/suppl/DC1;", "page" : "10.1136/bmjquality.u204819.w3337. eCollection 2015", "publisher-place" : "England", "title" : "Quality improvement project using a care bundle approach on the management of the immediate discharge document (IDD) within a single general practice", "type" : "article-journal", "volume" : "4" }, "uris" : [ "http://www.mendeley.com/documents/?uuid=0a30c52c-5512-4f6c-b792-104b783228f9" ] } ], "mendeley" : { "formattedCitation" : "[10]", "plainTextFormattedCitation" : "[10]", "previouslyFormattedCitation" : "[10]"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w:t>
            </w:r>
            <w:r w:rsidRPr="009A13A8">
              <w:rPr>
                <w:rFonts w:ascii="Arial" w:eastAsia="Times New Roman" w:hAnsi="Arial" w:cs="Arial"/>
                <w:sz w:val="16"/>
                <w:szCs w:val="16"/>
                <w:lang w:eastAsia="en-GB"/>
              </w:rPr>
              <w:fldChar w:fldCharType="end"/>
            </w:r>
            <w:r w:rsidRPr="009A13A8">
              <w:rPr>
                <w:rFonts w:ascii="Arial" w:eastAsia="Times New Roman" w:hAnsi="Arial" w:cs="Arial"/>
                <w:sz w:val="16"/>
                <w:szCs w:val="16"/>
                <w:lang w:eastAsia="en-GB"/>
              </w:rPr>
              <w:t xml:space="preserve"> Anderson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Scotland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Quality improvement project using a care bundle approach on the management of the immediate discharge document (IDD) within a single general practice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"10.1136/bmjquality.u203816.w1911", "ISSN" : "2050-1315", "abstract" : "The National Institute of Clinical Excellence (NICE) released new fluid guidelines following data suggesting 20% of patients receiving fluids suffer adversely (2013). This quality improvement group assessed fluid prescribing in a tertiary teaching centre and introduced a new fluid- prescribing chart to align practice with NICE recommendations. Notes and corresponding fluid prescription charts were reviewed for evidence of (1) indication, (2) co-morbidities, and (3) further management as surrogate markers of safe prescribing in accordance with NICE. Overall, the data showed practice fell short and prompted a redesign of the Trust fluid prescription chart. Three different variations of the chart were issued consecutively using a PDSA method (plan, do, study, act) over a 6-month period. They all included indication, co-morbidities and further management plans as constant design features. Suggestions from interested parties were incorporated and an educational programme was implemented to promote awareness. Prior to our intervention, an indication for fluids was documented in 26% of notes, it took an average of 4.6 minutes to find co-morbidities, and further management plans were rarely documented. Following the new prescription chart, an indication was recorded in 72% of cases, co-morbidities noted on 63% of charts with 93.1% accuracy, and further management documented in 100% of cases. The new fluid prescription chart encourages prescribers to incorporate NICE recommendations when prescribing fluids. The new fluid prescription design has since been rolled out Trust wide.", "author" : [ { "dropping-particle" : "", "family" : "Andersson", "given" : "Johanna", "non-dropping-particle" : "", "parse-names" : false, "suffix" : "" }, { "dropping-particle" : "", "family" : "Bull", "given" : "Thomas", "non-dropping-particle" : "", "parse-names" : false, "suffix" : "" }, { "dropping-particle" : "", "family" : "Paul", "given" : "Daniel", "non-dropping-particle" : "", "parse-names" : false, "suffix" : "" }, { "dropping-particle" : "", "family" : "Reynolds", "given" : "Emily", "non-dropping-particle" : "", "parse-names" : false, "suffix" : "" }, { "dropping-particle" : "", "family" : "Nishimura", "given" : "Aimi", "non-dropping-particle" : "", "parse-names" : false, "suffix" : "" }, { "dropping-particle" : "", "family" : "Lloyd", "given" : "Jessica", "non-dropping-particle" : "", "parse-names" : false, "suffix" : "" }, { "dropping-particle" : "", "family" : "Jetley", "given" : "Amanda", "non-dropping-particle" : "", "parse-names" : false, "suffix" : "" }, { "dropping-particle" : "", "family" : "Davies", "given" : "Mari", "non-dropping-particle" : "", "parse-names" : false, "suffix" : "" }, { "dropping-particle" : "", "family" : "Eisenhauer", "given" : "Helen", "non-dropping-particle" : "", "parse-names" : false, "suffix" : "" }, { "dropping-particle" : "", "family" : "Maggs", "given" : "Daniel", "non-dropping-particle" : "", "parse-names" : false, "suffix" : "" }, { "dropping-particle" : "", "family" : "Clapham", "given" : "Sorcha", "non-dropping-particle" : "", "parse-names" : false, "suffix" : "" }, { "dropping-particle" : "", "family" : "Trivedi", "given" : "Kaushali", "non-dropping-particle" : "", "parse-names" : false, "suffix" : "" }, { "dropping-particle" : "", "family" : "Hair", "given" : "Robert", "non-dropping-particle" : "", "parse-names" : false, "suffix" : "" }, { "dropping-particle" : "", "family" : "Plumb", "given" : "Benjamin", "non-dropping-particle" : "", "parse-names" : false, "suffix" : "" }, { "dropping-particle" : "", "family" : "Plumb", "given" : "Benjamin", "non-dropping-particle" : "", "parse-names" : false, "suffix" : "" } ], "container-title" : "BMJ Quality Improvement Reports", "id" : "ITEM-1", "issue" : "1", "issued" : { "date-parts" : [ [ "2015" ] ] }, "page" : "u203816.w1911", "title" : "Safer fluid prescribing at North Bristol Trust: Bringing practice in line with NICE Guidance with a redesign of the fluid prescription chart", "type" : "article-journal", "volume" : "4" }, "uris" : [ "http://www.mendeley.com/documents/?uuid=7fc244b8-b934-46cc-9c5e-4c4d6a5d4d68" ] } ], "mendeley" : { "formattedCitation" : "[11]", "plainTextFormattedCitation" : "[11]", "previouslyFormattedCitation" : "[11]"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Andersson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Safer fluid prescribing at North Bristol Trust: Bringing practice in line with NICE Guidance with a redesign of the fluid prescription chart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"10.1016/j.pedn.2015.08.005", "ISSN" : "08825963", "PMID" : "26382966", "abstract" : "Family centered rounds (FCR) occur at the bedside and include the patient and their family when creating a daily medical care plan. Despite recommendations that family centered rounds (FCR) with nursing staff be standard practice, nurses were frequently absent from FCR at our institution. Objective: To increase nurse attendance on hospitalist FCR to 80% in three months. Secondary outcomes were to investigate the relationship between nurse-to-patient ratio and nurse attendance, and to assess for change in perception toward FCR. Methods: This resident driven interrupted time series study included a focus group to identify barriers to nurse attendance on FCR, four plan-do-study-act cycles, and surveys to assess for changes in perceptions toward FCR. Control charts, SHEWHART rules, linear regression and chi squared analysis were used for data analysis. Results: Nurse attendance on FCR improved from 30% to 59%. There was no correlation between nurse-to-patient ratio and nurse attendance on FCR. Surveys indicated increase in the perception that it is helpful to have a nurse present at FCR. Conclusions: A resident driven quality improvement project can increase nurse presence on FCR.", "author" : [ { "dropping-particle" : "", "family" : "Aragona", "given" : "Elena", "non-dropping-particle" : "", "parse-names" : false, "suffix" : "" }, { "dropping-particle" : "", "family" : "Ponce-Rios", "given" : "Jose", "non-dropping-particle" : "", "parse-names" : false, "suffix" : "" }, { "dropping-particle" : "", "family" : "Garg", "given" : "Priya", "non-dropping-particle" : "", "parse-names" : false, "suffix" : "" }, { "dropping-particle" : "", "family" : "Aquino", "given" : "Julia", "non-dropping-particle" : "", "parse-names" : false, "suffix" : "" }, { "dropping-particle" : "", "family" : "Winer", "given" : "Jeffrey C.", "non-dropping-particle" : "", "parse-names" : false, "suffix" : "" }, { "dropping-particle" : "", "family" : "Schainker", "given" : "Elisabeth", "non-dropping-particle" : "", "parse-names" : false, "suffix" : "" } ], "container-title" : "Journal of Pediatric Nursing", "id" : "ITEM-1", "issue" : "1", "issued" : { "date-parts" : [ [ "2016" ] ] }, "page" : "e3-e9", "publisher" : "Elsevier Inc", "publisher-place" : "United States", "title" : "A Quality Improvement Project to Increase Nurse Attendance on Pediatric Family Centered Rounds", "type" : "article-journal", "volume" : "31" }, "uris" : [ "http://www.mendeley.com/documents/?uuid=c7a693db-79f7-4d3c-82d1-780203e901fe" ] } ], "mendeley" : { "formattedCitation" : "[12]", "plainTextFormattedCitation" : "[12]", "previouslyFormattedCitation" : "[12]"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[12]</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Aragona</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Quality Improvement Project to Increase Nurse Attendance on Pediatric Family Centered Rounds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"10.1136/bmjquality.u207857.w4260", "ISSN" : "2050-1315 (Linking)", "PMID" : "27096089", "abstract" : "Potentially inappropriate prescribing in healthcare of the elderly (HCE) is associated with avoidable adverse drug events (ADEs).1(,)2 A recent set of prescribing criteria has been designed and validated, called \"Screening Tool of Older Persons' Prescriptions\" (STOPP), to rationalise prescribing in hospitalised patients on HCE wards.1(,)3 The aim of this quality improvement project was to identify how many potentially inappropriate medications (PIMs) were prescribed on these wards, and remove them. This was executed by implementing a ward round checklist, which incorporated STOPP criteria, for the twice weekly, consultant led ward rounds. This quality improvement project was carried out over four months. In a pilot study, we identified eight inappropriate medical prescriptions among 148 medications (5.4% ) prescribed on one ward. After applying a checklist for a structured ward round, we reviewed the medications prescribed on that ward, and found 10 PIMs out of 192 (5.2% ). Utilising the increasingly recognised \"plan, do, study, act\" (PDSA) cycle,4 we implemented departmental teaching and meetings with other members of the multidisciplinary team, which raised awareness of PIMs among junior doctors, as well as involving our pharmacists in drug chart screening. During this process we continued with a further six cycles on a bi-weekly basis, and saw a gradual decrease in PIM to 1.5%. In conclusion, a structured ward round, facilitated by a checklist that included review of drug charts based on STOPP criteria, demonstrated a considerable reduction of PIMs. It would be interesting to apply this quality improvement project to non-HCE wards, including general surgical wards or adult psychiatry wards, as a means of not only reducing the effects of ADEs, but also the expenditure associated with unnecessary drug prescriptions, and the costs associated with additional care arising from associated ADEs.", "author" : [ { "dropping-particle" : "", "family" : "Aung", "given" : "Tin Htun", "non-dropping-particle" : "", "parse-names" : false, "suffix" : "" }, { "dropping-particle" : "", "family" : "Judith Beck", "given" : "Adele", "non-dropping-particle" : "", "parse-names" : false, "suffix" : "" }, { "dropping-particle" : "", "family" : "Siese", "given" : "Thomas", "non-dropping-particle" : "", "parse-names" : false, "suffix" : "" }, { "dropping-particle" : "", "family" : "Berrisford", "given" : "Richard", "non-dropping-particle" : "", "parse-names" : false, "suffix" : "" } ], "container-title" : "BMJ quality improvement reports", "id" : "ITEM-1", "issue" : "1", "issued" : { "date-parts" : [ [ "2016" ] ] }, "note" : "Henrik V. B. Laursen (2016-12-14 20:17:54)(Included): https://www.ncbi.nlm.nih.gov/pmc/articles/PMC4822020/bin/bmjqir-5-u207857-w4260-s2.pdf;", "page" : "1-4", "publisher-place" : "England", "title" : "Less is more: a project to reduce the number of PIMs (potentially inappropriate medications) on an elderly care ward.", "type" : "article-journal", "volume" : "5" }, "uris" : [ "http://www.mendeley.com/documents/?uuid=8ddea289-35c4-46e2-8f5e-a7bcd86c6075" ] } ], "mendeley" : { "formattedCitation" : "[13]", "plainTextFormattedCitation" : "[13]", "previouslyFormattedCitation" : "[13]"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[13]</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Aung</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Less is more: a project to reduce the number of PIMs (potentially inappropriate medications) on an elderly care ward</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"10.1136/bmjquality.u209837.w5117", "ISSN" : "2050-1315", "author" : [ { "dropping-particle" : "", "family" : "Bailey", "given" : "Jill", "non-dropping-particle" : "", "parse-names" : false, "suffix" : "" }, { "dropping-particle" : "", "family" : "Page", "given" : "Bethan", "non-dropping-particle" : "", "parse-names" : false, "suffix" : "" }, { "dropping-particle" : "", "family" : "Ndimande", "given" : "Nokuthula", "non-dropping-particle" : "", "parse-names" : false, "suffix" : "" }, { "dropping-particle" : "", "family" : "Connell", "given" : "Julie", "non-dropping-particle" : "", "parse-names" : false, "suffix" : "" }, { "dropping-particle" : "", "family" : "Vincent", "given" : "Charles", "non-dropping-particle" : "", "parse-names" : false, "suffix" : "" } ], "container-title" : "BMJ Quality Improvement Reports", "id" : "ITEM-1", "issue" : "1", "issued" : { "date-parts" : [ [ "2016" ] ] }, "page" : "u209837.w5117", "title" : "Absconding: reducing failure to return in adult mental health wards", "type" : "article-journal", "volume" : "5" }, "uris" : [ "http://www.mendeley.com/documents/?uuid=380737e1-45a1-49ac-8818-7b3f8d88b5d9" ] } ], "mendeley" : { "formattedCitation" : "[14]", "plainTextFormattedCitation" : "[14]", "previouslyFormattedCitation" : "[14]"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[14]</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Bailey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Absconding: Reducing failure to return in adult mental health wards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fldChar w:fldCharType="begin" w:fldLock="1"/>
            </w:r>
            <w:r w:rsidR="00BE7B49" w:rsidRPr="009A13A8">
              <w:rPr>
                <w:rFonts w:ascii="Arial" w:eastAsia="Times New Roman" w:hAnsi="Arial" w:cs="Arial"/>
                <w:sz w:val="16"/>
                <w:szCs w:val="16"/>
                <w:lang w:eastAsia="en-GB"/>
              </w:rPr>
              <w:instrText>ADDIN CSL_CITATION { "citationItems" : [ { "id" : "ITEM-1", "itemData" : { "DOI" : "10.1542/hpeds.2016-0108 [doi]", "ISBN" : "2154-1663", "ISSN" : "2154-1663", "PMID" : "27932381", "abstract" : "BACKGROUND: Asthma exacerbations are a leading cause of hospitalization among children. Despite the existence of national pediatric asthma guidelines, significant variation in care persists. At Duke Children's Hospital, we determined that our average length of stay (ALOS) and cost for pediatric asthma admissions exceeded that of our peers. Our aim was to reduce the ALOS of pediatric patients hospitalized with asthma from 2.9 days to 2.6 days within 12 months by implementing an asthma pathway within our new electronic health record. METHODS: We convened a multidisciplinary committee charged with reducing variability in practice, ALOS, and cost of inpatient pediatric asthma care, while adhering to evidence-based guidelines. Interventions were tested through multiple \"plan-do-study-act\" cycles. Control charts of the ALOS were constructed and annotated with interventions, including testing of an asthma score, implementation of order sets, use of a respiratory therapy-driven albuterol treatment protocol, and provision of targeted education. Order set usage was audited as a process measure. Readmission rates were monitored as a balancing measure. RESULTS: The ALOS of pediatric patients hospitalized with asthma decreased significantly from 2.9 days to 2.3 days. Comparing baseline with intervention variable direct cost data revealed a savings of $1543 per case. Improvements occurred in the context of high compliance with the asthma pathway order sets. Readmission rates remained stable throughout the study period. CONCLUSIONS: Implementation of an asthma care pathway based on the electronic health record improved the efficiency and variable direct costs of hospital care, reduced variability in practice, and ensured adherence to high-quality national guidelines.", "author" : [ { "dropping-particle" : "", "family" : "Bartlett", "given" : "K W", "non-dropping-particle" : "", "parse-names" : false, "suffix" : "" }, { "dropping-particle" : "", "family" : "Parente", "given" : "V M", "non-dropping-particle" : "", "parse-names" : false, "suffix" : "" }, { "dropping-particle" : "", "family" : "Morales", "given" : "V", "non-dropping-particle" : "", "parse-names" : false, "suffix" : "" }, { "dropping-particle" : "", "family" : "Hauser", "given" : "J", "non-dropping-particle" : "", "parse-names" : false, "suffix" : "" }, { "dropping-particle" : "", "family" : "McLean", "given" : "H S", "non-dropping-particle" : "", "parse-names" : false, "suffix" : "" } ], "container-title" : "Hospital pediatrics", "id" : "ITEM-1", "issue" : "1", "issued" : { "date-parts" : [ [ "2017" ] ] }, "page" : "31-38", "title" : "Improving the Efficiency of Care for Pediatric Patients Hospitalized With Asthma", "type" : "article-journal", "volume" : "7" }, "uris" : [ "http://www.mendeley.com/documents/?uuid=74f312c6-4644-4f1f-bb7a-2fce5a6c92f4" ] } ], "mendeley" : { "formattedCitation" : "[15]", "plainTextFormattedCitation" : "[15]", "previouslyFormattedCitation" : "[15]"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[15]</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Bartlett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efficiency of care for pediatric patients hospitalized with asthma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"10.1186/s12913-016-1633-x", "ISBN" : "2326-5191", "ISSN" : "14726963", "abstract" : "Background/Purpose: Current recommendations for optimal rheumatoid arthritis (RA) management include routine assessment of disease activity and adjustment of medication to achieve remission or low disease activity. There are limited data describing implementation strategies for this potentially burdensome process in a real-world clinic setting. Our goal was to increase the use of disease activity measures, specifically, the Clinical Disease Activity Index (CDAI) for RA patients at an academic VA medical center rheumatology clinic using Plan-Do-Study-Act (PDSA) cycles and introduction of a simple paper form. Methods : Patients were diagnosed with RA by a rheumatologist. In PDSA cycle 1, a paper-based form was distributed to providers and brief one-on-one educational discussions with incoming fellows were held. The form included a patient global activity of disease visual analogue scale (VAS, 0-10cm), a physician global VAS and a 28-joint count homunculus for counting tender/swollen joints. The form also included instructions for calculation and interpretation of the CDAI. Providers were instructed to enter the total CDAI score into their clinical note. PDSA cycle 2 included two provider education talks on disease activity measurement including rationale, identification of RA patients prior to their clinic visit by investigators, inclusion of medical assistants to distribute paper forms to pre-identified patients, and separation of the form into two pages - one for the patient global (was changed from VAS to numerical in cycle 2) and one for the provider components. We generated a run chart to evaluate the effect of each PDSA cycle on the percent of RA visits with the CDAI recorded. Results : Nine rheumatology fellows, 1 nurse practitioner and 5 attending physicians participated in this quality improvement project. 107 RA patients were seen at the clinic during the study period, June 2014 through March 2015. During the 4-week pre-intervention period, there were 29 RA patient visits and 24% (n=7) had a documented CDAI. PDSA cycle 1 lasted 8 weeks with 59 visits and 44% of patients (n = 26) had a CDAI documented. Cycle 2 lasted 27 weeks with 182 visits and 85% of patients (n = 155) had a CDAI documented. Conclusion : We successfully increased CDAI use in an academic rheumatology clinic setting using a simple paper form coupled with brief provider education. The majority of providers were rheumatology fellows, indicating that providers can learn this skill e\u2026", "author" : [ { "dropping-particle" : "", "family" : "Bays", "given" : "Alison", "non-dropping-particle" : "", "parse-names" : false, "suffix" : "" }, { "dropping-particle" : "", "family" : "Wahl", "given" : "Elizabeth", "non-dropping-particle" : "", "parse-names" : false, "suffix" : "" }, { "dropping-particle" : "", "family" : "Daikh", "given" : "David I.", "non-dropping-particle" : "", "parse-names" : false, "suffix" : "" }, { "dropping-particle" : "", "family" : "Yazdany", "given" : "Jinoos", "non-dropping-particle" : "", "parse-names" : false, "suffix" : "" }, { "dropping-particle" : "", "family" : "Schmajuk", "given" : "Gabriela", "non-dropping-particle" : "", "parse-names" : false, "suffix" : "" } ], "container-title" : "BMC Health Services Research", "id" : "ITEM-1", "issue" : "1", "issued" : { "date-parts" : [ [ "2016" ] ] }, "page" : "384", "publisher-place" : "England", "title" : "Implementation of disease activity measurement for rheumatoid arthritis patients in an academic rheumatology clinic", "type" : "article-journal", "volume" : "16" }, "uris" : [ "http://www.mendeley.com/documents/?uuid=0c2d3f13-8aaf-47c4-a4d9-71900e654e2f" ] } ], "mendeley" : { "formattedCitation" : "[16]", "plainTextFormattedCitation" : "[16]", "previouslyFormattedCitation" : "[16]"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[16]</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Bays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Implementation of disease activity measurement for rheumatoid arthritis patients in an academic rheumatology clinic</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"10.1136/bmjquality.u211050.w4430", "ISSN" : "2050-1315", "PMID" : "27335641", "abstract" : "As part of the Scottish Patient Safety Programme - Mental Health one of the main drivers was the reduction of harm to patients caused by restraint. The aim of this project was to reduce the number of restraints on our Acute Admissions ward. Through use the of the Improvement Model (PDSA), frontline staff were empowered to implement small tests of change at a grassroots level. This approach has led to frontline staff having ownership of driving the changes on a daily basis within the Clinical area. The use of a restraint data collection tool has been adapted and developed with frontline staff to ensure that the staff have ownership of data collected and is used to facilitate improvement. This data is used to inform the development of our Physical Interventions training. Most recently, following analysis, were able to introduce changes to promote the increased use of de-escalation and a shift from prone restraint to the safer seated restraint position. Patient involvement has been paramount with their inclusion in the debrief process. The information gleaned from the patients is used for staff and patient reflection. This has created a learning environment not only for staff but also patients and carers. Everyone involved is able to identify reasons and triggers and generate ideas to reduce the possibility of another restraint. The use of staff and patient safety climate surveys has ensured that we are constantly monitoring improvements in the feeling of safety amongst staff and patients. Our approach has resulted in a change in the culture of restraint resulting in a sustained reduction of 50% in restraint.", "author" : [ { "dropping-particle" : "", "family" : "Bell", "given" : "Alyssa", "non-dropping-particle" : "", "parse-names" : false, "suffix" : "" }, { "dropping-particle" : "", "family" : "Gallacher", "given" : "Neil", "non-dropping-particle" : "", "parse-names" : false, "suffix" : "" } ], "container-title" : "BMJ Quality Improvement Reports", "id" : "ITEM-1", "issue" : "1", "issued" : { "date-parts" : [ [ "2016" ] ] }, "note" : "Henrik V. B. Laursen (2016-11-24 00:22:48)(Select): suppl: http://qualitysafety.bmj.com.zorac.aub.aau.dk/content/25/2/100/suppl/DC1;", "page" : "u211050.w4430", "publisher-place" : "England", "title" : "Succeeding in Sustained Reduction in the use of Restraint using the Improvement Model", "type" : "article-journal", "volume" : "5" }, "uris" : [ "http://www.mendeley.com/documents/?uuid=9786a188-59ee-4714-a601-8dd4c2d3d0dc" ] } ], "mendeley" : { "formattedCitation" : "[17]", "plainTextFormattedCitation" : "[17]", "previouslyFormattedCitation" : "[17]"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Bell</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Scotland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Succeeding in Sustained Reduction in the use of Restraint using the Improvement Model</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"ISSN" : "1079-6533", "abstract" : "Objective: To describe a redesign of the clinical pathway for patients undergoing elective spinal surgery in order to improve quality of care and reduce length of stay. Methods: A multidisciplinary team undertook a process-mapping exercise and shadowed patients to analyse problems with the existing clinical pathway. Further ideas were taken from best evidence and other published enhanced recovery programs. Change ideas were tested using Plan-Do-Study-Act cycles. Measures included length of hospital stay compliance with the pathway, and patient satisfaction. Results: The new pathway, the SpinaL Enhanced Recovery Program, is now used by 99% of elective spinal surgery patients with 100% of patients rating their care as good or excellent. Length of stay was reduced by 52%, improving from 5.7 days at the start of the intervention to 2.7 days. The pathway improved reliability of care, with preoperative carbohydrate drinks used in 83% of patients. Conclusion: The pathway improved reliability of care in our institution with excellent patient satisfaction and a significant reduction in length of hospital stay.", "author" : [ { "dropping-particle" : "", "family" : "Blackburn", "given" : "J", "non-dropping-particle" : "", "parse-names" : false, "suffix" : "" }, { "dropping-particle" : "", "family" : "Madhavan", "given" : "P", "non-dropping-particle" : "", "parse-names" : false, "suffix" : "" }, { "dropping-particle" : "", "family" : "Leung", "given" : "Y L", "non-dropping-particle" : "", "parse-names" : false, "suffix" : "" }, { "dropping-particle" : "", "family" : "Walburn", "given" : "M", "non-dropping-particle" : "", "parse-names" : false, "suffix" : "" } ], "container-title" : "Journal of Clinical Outcomes Management", "id" : "ITEM-1", "issue" : "10 PG  - 462-469", "issued" : { "date-parts" : [ [ "2016" ] ] }, "page" : "462-469", "title" : "An enhanced recovery program for elective spinal surgery patients", "type" : "article-journal", "volume" : "23" }, "uris" : [ "http://www.mendeley.com/documents/?uuid=0b35b7ee-f89e-4fcf-9312-c7dafebbcf12" ] } ], "mendeley" : { "formattedCitation" : "[18]", "plainTextFormattedCitation" : "[18]", "previouslyFormattedCitation" : "[18]"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Blackburn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An enhanced recovery program for elective spinal surgery patients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CC0B0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"10.1136/bmjquality.u212047.w4835", "ISBN" : "221-4999", "ISSN" : "2050-1315", "PMID" : "27933153", "abstract" : "Streptococcus pneumoniae infection is associated with high morbidity and mortality in low income countries. In Nepal, there is a high lung disease burden and incidence of pneumonia due to multiple factors including indoor air pollution, dust exposure, recurrent infections, and cigarette smoking. Despite the ready availability of effective pneumococcal vaccines (PNV), vaccine coverage rates remain suboptimal globally. Quality Improvement (QI) principles could be applied to improve compliance, but it is a virtually new technology in Nepal. This QI study for Patan Hospital sought to introduce the concept of QI there, to measure the baseline pneumococcal vaccination rate of qualifying adult patients discharged from the medical wards and to assess reasons for non-vaccination. QI interventions were instituted to improve this rate, measuring the effectiveness of QI methods to produce the desired outcomes using the Model for Improvement, Plan-Do-Study-Change (PDSA) methodology. In the three week baseline assessment, 2 out of 81 (2%) eligible patients recalled ever receiving a prior pneumococcal vaccine; 68 (84%) unvaccinated patients responded that they were not asked or were unaware of the PNV. After the QI interventions, the pneumococcal vaccination rate significantly increased to 42% (23/56, p&lt;0.001). Post-intervention, the leading reason for non-vaccination was cost (20%, 11/56). Only 5 (9%) unvaccinated patients were not asked or were unaware of the PNV, a significant change in that process outcome from baseline (p&lt;0.001). Quality improvement measures were effective in increasing pneumococcal vaccination rates, despite the limited familiarity with QI methods at this major teaching hospital. QI techniques may be useful in this and other efforts to improve quality in resource-limited settings, without great cost.", "author" : [ { "dropping-particle" : "", "family" : "Bock", "given" : "Allison", "non-dropping-particle" : "", "parse-names" : false, "suffix" : "" }, { "dropping-particle" : "", "family" : "Chintamaneni", "given" : "Kathan", "non-dropping-particle" : "", "parse-names" : false, "suffix" : "" }, { "dropping-particle" : "", "family" : "Rein", "given" : "Lisa", "non-dropping-particle" : "", "parse-names" : false, "suffix" : "" }, { "dropping-particle" : "", "family" : "Frazer", "given" : "Tifany", "non-dropping-particle" : "", "parse-names" : false, "suffix" : "" }, { "dropping-particle" : "", "family" : "Kayastha", "given" : "Gyan", "non-dropping-particle" : "", "parse-names" : false, "suffix" : "" }, { "dropping-particle" : "", "family" : "MacKinney", "given" : "Theodore", "non-dropping-particle" : "", "parse-names" : false, "suffix" : "" } ], "container-title" : "BMJ Quality Improvement Reports", "id" : "ITEM-1", "issue" : "1", "issued" : { "date-parts" : [ [ "2016" ] ] }, "page" : "u212047.w4835", "title" : "Improving pneumococcal vaccination rates of medical inpatients in urban Nepal using quality improvement measures", "type" : "article-journal", "volume" : "5" }, "uris" : [ "http://www.mendeley.com/documents/?uuid=66fe0de0-20c1-49b3-b174-73df2b5fb676" ] } ], "mendeley" : { "formattedCitation" : "[19]", "plainTextFormattedCitation" : "[19]", "previouslyFormattedCitation" : "[19]"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Pr="009A13A8">
              <w:rPr>
                <w:rFonts w:ascii="Arial" w:eastAsia="Times New Roman" w:hAnsi="Arial" w:cs="Arial"/>
                <w:sz w:val="16"/>
                <w:szCs w:val="16"/>
                <w:lang w:eastAsia="en-GB"/>
              </w:rPr>
              <w:t>Bock</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Nepal</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pneumococcal vaccination rates of medical inpatients in urban Nepal using quality improvement measures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"10.1136/bmjquality.u210346.w4219", "ISSN" : "2050-1315", "PMID" : "27096095", "abstract" : "Cranial ultrasound scans are undertaken in this tertiary neonatal intensive care unit by the doctors within the department. A quality improvement project was undertaken by means of two PDSA cycles to determine adherence to neonatal cranial ultrasound scanning schedule, assess the quality of scan reporting, and formulate a comprehensive guideline outlining best practice. The baseline measurements assessed 93 scans of preterm infants and 9 of term infants. The results of this prompted intradepartmental education (PDSA cycle 1) then creation and implementation of a documentation template, a local guideline, and education via presentations, posters, and email (PDSA cycle 2). These encompassed 77 preterm and 5 term scans. In our baseline measurements, 52% of preterm infant scans and 44% of term infant scans were performed to schedule. Of premature baby scan reports, 75% had the time documented and 92% the name of the scanning doctor. After implementing changes PDSA cycle 2 data showed that 74% of preterm infant scans and all term infant scans were performed according to schedule, with 100% having the doctor's name and time of scan documented. We successfully introduced a guideline and documentation template, improving performance to schedule and documentation in most areas. It remains an ongoing challenge to adhere to basic standards of documentation; a template can assist in achieving this. Rotating trainees may offer insight into areas that could benefit from quality improvement. This enthusiasm can be successfully harnessed to implement changes to improve quality of patient care.", "author" : [ { "dropping-particle" : "", "family" : "Bray", "given" : "Lisa", "non-dropping-particle" : "", "parse-names" : false, "suffix" : "" } ], "container-title" : "BMJ Quality Improvement Reports", "id" : "ITEM-1", "issue" : "1", "issued" : { "date-parts" : [ [ "2016" ] ] }, "note" : "Henrik V. B. Laursen (2016-12-14 22:49:26)(Included): suppl: \nhttps://www.ncbi.nlm.nih.gov/pmc/articles/PMC4822080/bin/bmjqir-5-u210346-w4219-s1.pdf;", "page" : "u210346.w4219", "publisher-place" : "England", "title" : "Improving cranial ultrasound scanning strategy in neonates", "type" : "article-journal", "volume" : "5" }, "uris" : [ "http://www.mendeley.com/documents/?uuid=1205f89d-4940-4390-8142-ba859f927f72" ] } ], "mendeley" : { "formattedCitation" : "[20]", "plainTextFormattedCitation" : "[20]", "previouslyFormattedCitation" : "[20]"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[20]</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Bray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cranial ultrasound scanning strategy in neonates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"10.1136/bmjquality.u207447.w4214", "ISSN" : "2050-1315", "PMID" : "26893893", "abstract" : "In the low stimulus environment project, we aimed to reduce the levels of intrusive background noise on an older adult mental health ward, combining a very straightforward measure on decibel levels with a downstream measure of reduced distress and agitation as expressed in incidents of violence. This project on reducing background noise levels on older adult wards stemmed from work the team had done on reducing levels of violence and aggression. We approached the problem using quality improvement methods. Reducing harm to patients and staff is a strategic aim of our Trust and in our efforts we were supported by the Trust's extensive programme of quality improvement, including training and support provided by the Institute for Healthcare Improvement and the trust's own Quality Improvement team. Prior to the project we were running a weekly multi-disciplinary quality improvement group on the ward. We established from this a sub-group to address the specific problem of noise levels and invited carers of people with dementia on our ward to the group. The project was led by nursing staff. We used a noise meter app readily downloadable from the internet to monitor background noise levels on the ward and establish a baseline measure. As a group we used a driver diagram to identify an overall aim and a clear understanding of the major factors that would drive improvements. We also used a staff and carer survey to identify further areas to work on. Change ideas that came from staff and carers included the use of the noise meter to track and report back on noise levels, the use of posters to remind staff about noise levels, the introduction of a visual indication of current noise levels (the Yacker Tracker), the addition of relaxing background music, and adaptations to furniture and environment. We tested many of these over the course of nine months in 2015, using the iterative learning gained from multiple PDSA cycles. The specific aim was a decrease from above 60dB to below 50dB in background noise on the wards. Following our interventions, we have managed to decrease noise levels on the ward to 53dB on average. The success of this project to date has relied on the involvement of ward staff and carers - those most affected by the problem - in generating workable local solutions. As many of the change ideas amounted to harm free interventions it was easier for us to make a case to test them out in the real-life setting. Nevertheless we were surprised at how effe\u2026", "author" : [ { "dropping-particle" : "", "family" : "Brown", "given" : "Juliette", "non-dropping-particle" : "", "parse-names" : false, "suffix" : "" }, { "dropping-particle" : "", "family" : "Fawzi", "given" : "Waleed", "non-dropping-particle" : "", "parse-names" : false, "suffix" : "" }, { "dropping-particle" : "", "family" : "Shah", "given" : "Amar", "non-dropping-particle" : "", "parse-names" : false, "suffix" : "" }, { "dropping-particle" : "", "family" : "Joyce", "given" : "Margaret", "non-dropping-particle" : "", "parse-names" : false, "suffix" : "" }, { "dropping-particle" : "", "family" : "Holt", "given" : "Genevieve", "non-dropping-particle" : "", "parse-names" : false, "suffix" : "" }, { "dropping-particle" : "", "family" : "McCarthy", "given" : "Cathy", "non-dropping-particle" : "", "parse-names" : false, "suffix" : "" }, { "dropping-particle" : "", "family" : "Stevenson", "given" : "Carmel", "non-dropping-particle" : "", "parse-names" : false, "suffix" : "" }, { "dropping-particle" : "", "family" : "Marange", "given" : "Rosca", "non-dropping-particle" : "", "parse-names" : false, "suffix" : "" }, { "dropping-particle" : "", "family" : "Shakes", "given" : "Joy", "non-dropping-particle" : "", "parse-names" : false, "suffix" : "" }, { "dropping-particle" : "", "family" : "Solomon-Ayeh", "given" : "Kwesi", "non-dropping-particle" : "", "parse-names" : false, "suffix" : "" } ], "container-title" : "BMJ Quality Improvement Reports", "id" : "ITEM-1", "issue" : "1", "issued" : { "date-parts" : [ [ "2016" ] ] }, "note" : "Henrik V. B. Laursen (2016-12-01 01:00:23)(Select): http://qir.bmj.com/content/5/1/u207447.w4214/suppl/DC1;", "page" : "u207447.w4214", "publisher-place" : "England", "title" : "Low stimulus environments: reducing noise levels in continuing care", "type" : "article-journal", "volume" : "5" }, "uris" : [ "http://www.mendeley.com/documents/?uuid=00b1f685-d31f-441c-9247-c33876635596" ] } ], "mendeley" : { "formattedCitation" : "[21]", "plainTextFormattedCitation" : "[21]", "previouslyFormattedCitation" : "[21]"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[21]</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Brown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Low stimulus environments: reducing noise levels in continuing care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"10.1136/bmjquality.u207447.w2977", "ISBN" : "2050-1315", "ISSN" : "2050-1315", "PMID" : "26734353", "abstract" : "Through the Safer Wards project we aimed to reduce the number of incidents of physical violence on older people's mental health wards. This was done using quality improvement methods and supported by the Trust's extensive programme of quality improvement, including training provided by the Institute for Healthcare Improvement. Violence can be an indicator of unmet needs in this patient population, with a negative effect on patient care and staff morale. Reducing harm to patients and staff is a strategic aim of our Trust. We established a multi-disciplinary group who led on the project on each ward and used a Pareto diagram to establish the focus of our work. We established a dashboard of measures based on our incident reporting system Datix, including number of incidents of violence, days between incidents, days of staff sickness, days between staff injury, use of restraint, and use of rapid tranquilisation (the last two being balancing measures in the reduction of violence). Each team identified factors driving physical violence on the wards, under headings of unmet patient needs, staff needs and staff awareness, which included lack of activity and a safe and therapeutic environment. Using driver diagrams, we identified change ideas that included hourly rounding (proactive checks on patient well-being), the addition of sensory rooms, flexible leave for patients, and a structured activity programme. We also introduced exercise to music, therapeutic groups led by patients, and focused on discharge planning and pet therapy, each of which starting sequentially over the course of a one year period from late 2013 and subject to a cycle of iterative learning using PDSA methods. The specific aim was a 20% decrease in violent incidents on three wards in City and Hackney, and Newham. Following our interventions, days between violent incidents increased from an average of three to an average of six. Days between staff injury due to physical violence rose from an average of eight (one violent incident resulting in staff injury every eight days) to 22 (one incident every 22 days). Incidents of physical violence reduced from 63 in 2013 to 39 in 2014. We were also able to quantify reduced costs associated with reduction in violence. The success of this project in our view lay in the involvement of ward staff in understanding the problems and generating local solutions which were also broadly evidenced based. Patients were also closely involved in generating ideas. We\u2026", "author" : [ { "dropping-particle" : "", "family" : "Brown", "given" : "Juliette", "non-dropping-particle" : "", "parse-names" : false, "suffix" : "" }, { "dropping-particle" : "", "family" : "Fawzi", "given" : "Waleed", "non-dropping-particle" : "", "parse-names" : false, "suffix" : "" }, { "dropping-particle" : "", "family" : "McCarthy", "given" : "Cathy", "non-dropping-particle" : "", "parse-names" : false, "suffix" : "" }, { "dropping-particle" : "", "family" : "Stevenson", "given" : "Carmel", "non-dropping-particle" : "", "parse-names" : false, "suffix" : "" }, { "dropping-particle" : "", "family" : "Kwesi", "given" : "Solomon", "non-dropping-particle" : "", "parse-names" : false, "suffix" : "" }, { "dropping-particle" : "", "family" : "Joyce", "given" : "Maggie", "non-dropping-particle" : "", "parse-names" : false, "suffix" : "" }, { "dropping-particle" : "", "family" : "Dusoye", "given" : "Jenny", "non-dropping-particle" : "", "parse-names" : false, "suffix" : "" }, { "dropping-particle" : "", "family" : "Mohamudbucus", "given" : "Yasin", "non-dropping-particle" : "", "parse-names" : false, "suffix" : "" }, { "dropping-particle" : "", "family" : "Shah", "given" : "Amar", "non-dropping-particle" : "", "parse-names" : false, "suffix" : "" } ], "container-title" : "BMJ quality improvement reports", "id" : "ITEM-1", "issue" : "1", "issued" : { "date-parts" : [ [ "2015" ] ] }, "note" : "Henrik V. B. Laursen (2016-12-02 01:01:04)(Select): http://qir.bmj.com/content/4/1/u207447.w2977/suppl/DC1;", "page" : "1-5", "publisher-place" : "England", "title" : "Safer Wards: reducing violence on older people's mental health wards.", "type" : "article-journal", "volume" : "4" }, "uris" : [ "http://www.mendeley.com/documents/?uuid=f8390f7e-ac80-49ac-8204-77af601dd18f" ] } ], "mendeley" : { "formattedCitation" : "[22]", "plainTextFormattedCitation" : "[22]", "previouslyFormattedCitation" : "[22]"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[22]</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Brown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Safer Wards: reducing violence on older people's mental health wards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"10.1200/JOP.2015.007443", "ISBN" : "0732-183X", "ISSN" : "1554-7477", "PMID" : "26733624", "abstract" : "Purpose Chemotherapy is a high-risk medication and is the second most common cause of fatal medication errors. The ordering process can be unsafe and inefficient, putting patients at risk for medication errors. The aim of this project was to decrease the number of chemotherapy order forms with at least one deviation by 50% within 5 months. Methods A multidisciplinary team identified causes for variance in form completion, deficits in knowledge of ordering processes, and acceptance of incomplete orders by the staff. The Plan, Do, Study, Act improvement methodology evaluated the chemotherapy ordering process and found different types of deviations on order forms. Interventions consisted of educating physicians on entering complete information on orders, instituting same-day laboratory work on the day of the physician's visit, standardizing laboratory parameters, performing audits of the order forms manually, and educating nurses on not accepting orders with deviations. Results All order forms were reviewed, and data were collected on different types of deviations. The following deviations were identified: laboratory test results were not being entered into the order form within 7 days, physicians were not providing their name and pager number, and the days of the chemotherapy cycle were missing from the order forms. Before the intervention, 70.1% of the chemotherapy order forms had at least one deviation. After 5 months of interventions, there was a reduction of 19% in the number of order forms with at least one deviation. Follow-up at 6 months and 1 year showed continuing reductions in the number of chemotherapy orders with at least one deviation. Conclusion Improvement was a result of collaboration between interdisciplinary departments. The original goal was surpassed as a result of educating physicians and staff and standardizing the ordering process. If the number of deviations in chemotherapy order forms is decreased, oncology patients will receive safe, efficient, and quality care.", "author" : [ { "dropping-particle" : "", "family" : "Bryant-Bova", "given" : "Jill N.", "non-dropping-particle" : "", "parse-names" : false, "suffix" : "" } ], "container-title" : "Journal of Oncology Practice", "id" : "ITEM-1", "issue" : "2", "issued" : { "date-parts" : [ [ "2016" ] ] }, "page" : "e248-e256", "title" : "Improving Chemotherapy Ordering Process", "type" : "article-journal", "volume" : "12" }, "uris" : [ "http://www.mendeley.com/documents/?uuid=ac5f8d2f-9cff-4d77-8ed0-23af7ff4407c" ] } ], "mendeley" : { "formattedCitation" : "[23]", "plainTextFormattedCitation" : "[23]", "previouslyFormattedCitation" : "[23]"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[23]</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Bryant-Bova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Paraclinic</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chemotherapy ordering process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"10.1016/j.pedhc.2015.06.003", "ISBN" : "0891-5245", "ISSN" : "08915245", "PMID" : "26208806", "abstract" : "Introduction: Delays in appropriate treatment and unnecessary antibiotic use for urinary tract infections (UTIs) increase the risk for serious adverse events and the potential for antibiotic resistance. The purposes of this quality improvement project were to decrease emergency department laboratory result follow-up time and increase the number of patients who are notified to stop taking an empiric antibiotic. Method: Nine months of Plan-Do-Study-Act (PDSA) cycles were implemented in a pediatric emergency department and network of care sites. Three months of baseline data were compared with 3 months of postinvention data using t-tests and odds ratios. Results: Time to patient/family laboratory follow-up was reduced from 20.1 hours to 7.1 hours, demonstrating a 64.7% reduction in time to follow-up (p &lt;01). The percentage of patients who received follow-up notification of negative urine cultures and were told to discontinue antibiotic therapy increased from 8.8% to 74.4% (p &lt; 001). Discussion: Implementation of a culture callback system, staffed by advanced practice providers, led to a significant reduction in the amount of time to follow-up and increased the number of follow-up calls to discontinue antibiotics when urine cultures were negative.", "author" : [ { "dropping-particle" : "", "family" : "Burchett", "given" : "Patrick", "non-dropping-particle" : "", "parse-names" : false, "suffix" : "" }, { "dropping-particle" : "", "family" : "Harpin", "given" : "Scott", "non-dropping-particle" : "", "parse-names" : false, "suffix" : "" }, { "dropping-particle" : "", "family" : "Petersen-Smith", "given" : "Ann", "non-dropping-particle" : "", "parse-names" : false, "suffix" : "" }, { "dropping-particle" : "", "family" : "Emery", "given" : "Kathryn", "non-dropping-particle" : "", "parse-names" : false, "suffix" : "" } ], "container-title" : "Journal of Pediatric Health Care", "id" : "ITEM-1", "issue" : "6", "issued" : { "date-parts" : [ [ "2015" ] ] }, "page" : "518-525", "publisher" : "Elsevier Inc", "title" : "Improving a Urine Culture Callback Follow-up System in a Pediatric Emergency Department", "type" : "article-journal", "volume" : "29" }, "uris" : [ "http://www.mendeley.com/documents/?uuid=f30dabc2-62b3-4f22-8150-435e6c767b2a" ] } ], "mendeley" : { "formattedCitation" : "[24]", "plainTextFormattedCitation" : "[24]", "previouslyFormattedCitation" : "[24]"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[24]</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Burchett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a Urine Culture Callback Follow-up System in a Pediatric Emergency Department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"10.1177/1062860616628642", "ISBN" : "1062860616", "ISSN" : "1555824X", "PMID" : "26917808", "abstract" : "Up to 20% of patients presenting for colonoscopy have inadequate bowel cleanliness. In this study, the Plan-Do-Study-Act quality improvement process was used to improve bowel cleanliness among outpatients undergoing screening colonoscopy at Boston Medical Center. Rates of inadequate bowel cleanliness were assessed at baseline (April 2010 to September 2012), during several rapid-cycle experiments (October 2012 to September 2013), and through an observation phase (October 2013 to September 2015). The baseline rate of inadequate cleanliness was 9% with a target of 5%. Gap analysis identified 3 areas amenable to specific interventions: contacting patients, commitment to the procedure, and complexity and variation in instructions. Rates of inadequate cleanliness decreased to 4% at the end of the last intervention, but began rising for new reasons. Standardizing instructions and the use of navigators improved preparation quality. Bowel cleanliness is the end result of a multistep process with areas for improvement at many levels. Long-term monitoring is required to ensure ongoing success.", "author" : [ { "dropping-particle" : "", "family" : "Calderwood", "given" : "Audrey H.", "non-dropping-particle" : "", "parse-names" : false, "suffix" : "" }, { "dropping-particle" : "", "family" : "Mahoney", "given" : "Elaine M.", "non-dropping-particle" : "", "parse-names" : false, "suffix" : "" }, { "dropping-particle" : "", "family" : "Jacobson", "given" : "Brian C.", "non-dropping-particle" : "", "parse-names" : false, "suffix" : "" } ], "container-title" : "American Journal of Medical Quality", "id" : "ITEM-1", "issue" : "2", "issued" : { "date-parts" : [ [ "2017" ] ] }, "page" : "194-200", "publisher-place" : "United States", "title" : "A Plan-Do-Study-Act Approach to Improving Bowel Preparation Quality", "type" : "article-journal", "volume" : "32" }, "uris" : [ "http://www.mendeley.com/documents/?uuid=9b5237a0-ff88-4366-9c4a-9328c8eb0cfa" ] } ], "mendeley" : { "formattedCitation" : "[25]", "plainTextFormattedCitation" : "[25]", "previouslyFormattedCitation" : "[25]"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[25]</w:t>
            </w:r>
            <w:r w:rsidRPr="009A13A8">
              <w:rPr>
                <w:rFonts w:ascii="Arial" w:eastAsia="Times New Roman" w:hAnsi="Arial" w:cs="Arial"/>
                <w:sz w:val="16"/>
                <w:szCs w:val="16"/>
                <w:lang w:eastAsia="en-GB"/>
              </w:rPr>
              <w:fldChar w:fldCharType="end"/>
            </w:r>
            <w:r w:rsidR="00CC0B09" w:rsidRPr="009A13A8">
              <w:rPr>
                <w:rFonts w:ascii="Arial" w:eastAsia="Times New Roman" w:hAnsi="Arial" w:cs="Arial"/>
                <w:sz w:val="16"/>
                <w:szCs w:val="16"/>
                <w:lang w:eastAsia="en-GB"/>
              </w:rPr>
              <w:t xml:space="preserve"> </w:t>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Calderwood</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Plan-Do-Study-Act Approach to Improving Bowel Preparation Quality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"10.1136/bmjquality.u206156.w2663", "ISBN" : "2050-1315", "ISSN" : "2050-1315", "PMID" : "26734447", "abstract" : "The Toronto Western Hospital is an academic hospital in Toronto, Canada, with an annual Emergency Department (ED) volume of 64,000 patients. Despite increases in patient volumes of almost six percent per annum over the last decade, there have been no commensurate increases in resources, infrastructure, and staffing. This has led to substantial increase in patient wait times, most specifically for those patients with lower acuity presentations. Despite requiring only minimal care, these patients contribute disproportionately to ED congestion, which can adversely impact resource utilization and quality of care for all patients. We undertook a retrospective evaluation of a quality improvement initiative aimed at improving wait times experienced by patients with lower acuity presentations. A rapid improvement event was organized by frontline workers to rapidly overhaul processes of care, leading to the creation of the Rapid Medical Evaluation (RME) unit - a new pathway of care for patients with lower acuity presentations. The RME unit was designed by re-purposing existing resources and re-assigning one physician and one nurse towards the specific care of these patients. We evaluated the performance of the RME unit through measurement of physician initial assessment (PIA) times and total length of stay (LOS) times for multiple groups of patients assigned to various ED care pathways, during three periods lasting three months each. Weekly measurements of mean and 90th percentile of PIA and LOS times showed special cause variation in all targeted patient groups. Of note, the patients seen in the RME unit saw their median PIA and LOS times decrease from 98min to 70min and from 165min to 130min, respectively, from baseline. Despite ever-growing numbers of patient visits, wait times for all patients with lower acuity presentations remained low, and wait times of patients with higher acuity presentations assigned to other ED care pathways were not adversely affected. By specifically re-purposing a fraction of existing staff, resources, and infrastructure for patients with lower acuity presentations, we were able to streamline their care and decrease wait times in the ED. These results were achieved through the incremental improvements afforded by rapidly cycling through PDSA cycles, with strong frontline staff involvement and continuously eliciting feedback for improvement. We believe the model to be replicable in other academic medical centres.", "author" : [ { "dropping-particle" : "", "family" : "Chartier", "given" : "Lucas", "non-dropping-particle" : "", "parse-names" : false, "suffix" : "" }, { "dropping-particle" : "", "family" : "Josephson", "given" : "Timothy", "non-dropping-particle" : "", "parse-names" : false, "suffix" : "" }, { "dropping-particle" : "", "family" : "Bates", "given" : "Kathy", "non-dropping-particle" : "", "parse-names" : false, "suffix" : "" }, { "dropping-particle" : "", "family" : "Kuipers", "given" : "Meredith", "non-dropping-particle" : "", "parse-names" : false, "suffix" : "" } ], "container-title" : "BMJ Quality Improvement Reports", "id" : "ITEM-1", "issue" : "1", "issued" : { "date-parts" : [ [ "2015" ] ] }, "note" : "Henrik V. B. Laursen (2016-11-30 20:31:57)(Select): samme sted som &amp;quot;Improving Emergency Department flow\nthrough optimized bed utilization&amp;quot;, bare tidligere.; Henrik V. B. Laursen (2016-11-24 07:16:13)(Select): suppl: http://qir.bmj.com/content/4/1/u206156.w2663/suppl/DC1;", "page" : "u206156.w2663", "publisher-place" : "England", "title" : "Improving emergency department flow through Rapid Medical Evaluation unit", "type" : "article-journal", "volume" : "4" }, "uris" : [ "http://www.mendeley.com/documents/?uuid=42bc0207-7490-447b-b72d-70b1c2272de9" ] } ], "mendeley" : { "formattedCitation" : "[26]", "plainTextFormattedCitation" : "[26]", "previouslyFormattedCitation" : "[26]"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[26]</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Chartier</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Canada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Emergency Department flow through optimized bed utilization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"10.1136/bmjqs-2014-003556", "ISBN" : "2044-5415", "ISSN" : "20445415", "PMID" : "25633277", "abstract" : "Background Influenza vaccination is the most effective method for preventing influenza virus infection. Adult hospitalised patients form a particularly high-risk group for severe influenza given their advanced age and comorbidities. We sought to improve the influenza vaccination rates of hospitalised patients at the White River Junction Veterans Affairs Medical Center. Methods The improvement effort started in 2007 when our baseline vaccination rate was about 60%. An interprofessional team analysed the influenza vaccination process for hospitalised patients. During the course of six influenza seasons, eight Plan-Do-Study-Act cycles were used including a hospital-wide flu campaign, embedded orders in the electronic medical record (EMR) to facilitate ordering vaccinations by providers, daily reminders from ward clerks and standing orders for influenza vaccination on discharge. The measure was the monthly percentage of patients discharged from the hospital with an up-to-date influenza vaccination. Results The percentage of veterans discharged with an up-to-date influenza vaccination increased to over 80% in February 2009 and has remained high. Conclusions Although we are confident that our local efforts helped to improve the vaccination rate, external factors such as the 2009 H1N1 pandemic and universal vaccination may have primed our system to respond more readily to the implemented changes. Understanding all of the relevant factors that lead to vaccination uptake can be applied to future hospital influenza vaccination campaigns. In addition, our work demonstrates that an interprofessional approach is still required to apply the functionality of the EMR effectively.", "author" : [ { "dropping-particle" : "", "family" : "Cohen", "given" : "Emily Suzanne", "non-dropping-particle" : "", "parse-names" : false, "suffix" : "" }, { "dropping-particle" : "", "family" : "Ogrinc", "given" : "Greg", "non-dropping-particle" : "", "parse-names" : false, "suffix" : "" }, { "dropping-particle" : "", "family" : "Taylor", "given" : "Tom", "non-dropping-particle" : "", "parse-names" : false, "suffix" : "" }, { "dropping-particle" : "", "family" : "Brown", "given" : "Christine", "non-dropping-particle" : "", "parse-names" : false, "suffix" : "" }, { "dropping-particle" : "", "family" : "Geiling", "given" : "James", "non-dropping-particle" : "", "parse-names" : false, "suffix" : "" } ], "container-title" : "BMJ Quality and Safety", "id" : "ITEM-1", "issue" : "3", "issued" : { "date-parts" : [ [ "2015" ] ] }, "note" : "Henrik V. B. Laursen (2016-12-01 00:49:21)(Select): guld;", "page" : "221-227", "publisher-place" : "England", "title" : "Influenza vaccination rates for hospitalised patients: A multiyear quality improvement effort", "type" : "article-journal", "volume" : "24" }, "uris" : [ "http://www.mendeley.com/documents/?uuid=e0a4e47a-5719-45a0-948d-b1954f576ffa" ] } ], "mendeley" : { "formattedCitation" : "[27]", "plainTextFormattedCitation" : "[27]", "previouslyFormattedCitation" : "[27]"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Cohen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Influenza vaccination rates for hospitalised patients: a multiyear quality improvement effort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"10.1016/j.jcrc.2015.07.017 [doi]", "abstract" : "OBJECTIVE: To reduce transfer time of critically ill patients from the emergency department (ED) to the medical intensive care unit (MICU). DESIGN: A prospective, observational study assessing preimplementation and postimplementation of quality improvement interventions in a tertiary academic medical center. INTERVENTIONS: A team of frontline health care professional including ED, MICU, and supporting services using the clinical microsystems approach mapped out existing practice patterns, determined causes for delays, and used the Plan-Do-Study-Act to test changes. Measurements and Main Results The team identified multiple issues that contributed to delays. These included poor coordination between transport services, respiratory therapy, and nursing in transferring patients from the ED as well delays in identification and transfer of stable MICU patients. These interventions reduced transfer time from 4.2 (3.4-5.7) hours to 2.2 (1.4-3.1) hours (median [interquartile range]; P&lt;.001). Hospital length of stay decreased from 9.9+/-9 to 8.3+/-7 days (P&lt;.03). CONCLUSION: A team made up of frontline health care professionals using a structured quality improvement process and implementing multifaceted, multistage interventions, reduced transfer delays, and length of stay. Added benefits included engagement among members of the 2 microsystems and a more cohesive approach to patient care.", "author" : [ { "dropping-particle" : "", "family" : "Cohen", "given" : "RI", "non-dropping-particle" : "", "parse-names" : false, "suffix" : "" }, { "dropping-particle" : "", "family" : "Kennedy", "given" : "H", "non-dropping-particle" : "", "parse-names" : false, "suffix" : "" }, { "dropping-particle" : "", "family" : "Amitrano", "given" : "B", "non-dropping-particle" : "", "parse-names" : false, "suffix" : "" }, { "dropping-particle" : "", "family" : "Dillon", "given" : "M", "non-dropping-particle" : "", "parse-names" : false, "suffix" : "" } ], "container-title" : "Journal of Critical", "id" : "ITEM-1", "issue" : "6 PG  - 1331-1337", "issued" : { "date-parts" : [ [ "2015" ] ] }, "page" : "1331-1337", "publisher" : "Elsevier Inc", "publisher-place" : "United States", "title" : "A quality improvement project to decrease emergency department and medical intensive care unit transfer times", "type" : "article-journal", "volume" : "30" }, "uris" : [ "http://www.mendeley.com/documents/?uuid=d2b029af-3112-4ef5-9def-6205ee073486" ] } ], "mendeley" : { "formattedCitation" : "[28]", "plainTextFormattedCitation" : "[28]", "previouslyFormattedCitation" : "[28]"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Cohen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quality improvement project to decrease emergency department and medical intensive care unit transfer times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"10.1136/bmjquality.u210384.w4457", "ISSN" : "2050-1315", "abstract" : "It is well established that patient feedback is key to service development and improvement in the modern NHS. Certain patient groups can be particularly difficult to get feedback from, including those with dementia. The Later Life Mental Health Liaison Team at the Bristol Royal Infirmary were consistently receiving very low levels of patient feedback, such that it was insufficient to properly contribute to future service development and improvement. This QIP aimed to increase this level of feedback to a target of 15% from an existing average of 3%. The intervention centred around getting feedback from patients face to face and was developed over a number of PDSA cycles. The feedback questions were based upon the NHS Friends and Family Test. Over four PDSA cycles levels of feedback increased to 21% which more than achieved the goal set out at the start. This was however achieved at a time cost and involved an increased success rate of existing systems as well as new ones put into place by the QIP.", "author" : [ { "dropping-particle" : "", "family" : "Cooper", "given" : "Daniel", "non-dropping-particle" : "", "parse-names" : false, "suffix" : "" } ], "container-title" : "BMJ Quality Improvement Reports", "id" : "ITEM-1", "issue" : "1", "issued" : { "date-parts" : [ [ "2016" ] ] }, "page" : "u210384.w4457", "publisher-place" : "England", "title" : "Improving the rate of Patient Feedback for a Later Life Mental Health Liaison Team", "type" : "article-journal", "volume" : "5" }, "uris" : [ "http://www.mendeley.com/documents/?uuid=1476c849-9171-4d15-bf8a-031cf673b7df" ] } ], "mendeley" : { "formattedCitation" : "[29]", "plainTextFormattedCitation" : "[29]", "previouslyFormattedCitation" : "[29]"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[29]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Cooper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rate of Patient Feedback for a Later Life Mental Health Liaison Team</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"10.1136/bmjquality.u204237.w3567", "ISSN" : "2050-1315", "PMID" : "26734424", "abstract" : "The unintentional omission of medication is one of the most commonly-reported administration errors on hospital wards throughout the world. The omission of a dose of medication can severely harm the patient affected, but to date there is limited evidence about cost-effective means for reducing the incidence of such errors. The current report describes a quality improvement project, conducted on the mental healthcare of older people (MHCOP) wards in East London NHS Foundation Trust, which led to a greater than 90% reduction in the rate of unintentionally omitted doses of medication. The project involved the publication of a fortnightly league table which ranked each of the wards by how many doses they had missed, with the ward missing the fewest doses receiving a prize. PDSA cycles were used to refine the concept, with the final incarnation of the fortnightly league table also incorporating the publication of a poster for each ward which showed how many weeks it had been since the ward missed a dose, and the ward's overall trend in missed doses. The project has resulted in the average missed dose rate on the MCHOP wards decreasing from 1.07% to 0.07%. In real terms, this represents a reduction from an estimated 2878 to 188 missed doses per year on the six MHCOP wards. By greatly reducing the risk of patients experiencing adverse drug events as a result of missed doses, this project has given rise to a potential cost-saving of around pound34,000 per year across the wards studied. The use of league tables represents a simple, cost-effective means of tackling the problem of doses of medication being unintentionally omitted on hospital wards.", "author" : [ { "dropping-particle" : "", "family" : "Cottney", "given" : "Alan", "non-dropping-particle" : "", "parse-names" : false, "suffix" : "" } ], "container-title" : "BMJ Quality Improvement Reports", "id" : "ITEM-1", "issue" : "1", "issued" : { "date-parts" : [ [ "2015" ] ] }, "note" : "Henrik V. B. Laursen (2016-11-23 23:59:12)(Select): suppl:http://qir.bmj.com/content/4/1/u204237.w3567/suppl/DC1;", "page" : "u204237.w3567", "publisher-place" : "England", "title" : "Using league tables to reduce missed dose medication errors on mental healthcare of older people wards", "type" : "article-journal", "volume" : "4" }, "uris" : [ "http://www.mendeley.com/documents/?uuid=4181eed1-16e3-4674-a503-97194a056f66" ] } ], "mendeley" : { "formattedCitation" : "[30]", "plainTextFormattedCitation" : "[30]", "previouslyFormattedCitation" : "[30]"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[30]</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Cottney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Using league tables to reduce missed dose medication errors on mental healthcare of older people wards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"10.1016/j.amepre.2016.01.021 [doi]", "abstract" : "Stroke, a devastating complication of sickle cell anemia (SCA), can cause irreversible brain injury with physical and cognitive deficits. Transcranial Doppler ultrasonography (TCD) is a non-invasive tool for identifying children with SCA at highest risk of stroke. National guidelines recommend that TCD screening begin at age 2 years, yet there is research to suggest less than half of young children undergo screening. The purpose of this project was to use quality improvement methods to improve the proportion of patients aged 24-27 months who successfully completed their initial TCD from 25% to 75% by December 31, 2013. Quality improvement methods (e.g., process mapping, simplified failure mode effect analysis, and plan-do-study-act cycles) were used to develop and test processes for identifying eligible patients, scheduling TCDs, preparing children and families for the first TCD, and monitoring outcomes (i.e., TCD protocol). Progress was tracked using a report of eligible patients and a chart showing the age in months for the first successful TCD (population metric). As of December 2013, 100% of eligible patients successfully completed their initial TCD screen; this improvement was maintained for the next 20 months. In November 2014, a Welch's one-way ANOVA was conducted. Results showed a statistically significant difference between the average age of first TCD for eligible patients born in 2009 and eligible patients born during the intervention period (2010-2013; F[1,11.712]=16.03, p=0.002). Use of quality improvement methods to implement a TCD protocol was associated with improved TCD screening rates in young children with SCA.", "author" : [ { "dropping-particle" : "", "family" : "Crosby", "given" : "L E", "non-dropping-particle" : "", "parse-names" : false, "suffix" : "" }, { "dropping-particle" : "", "family" : "Joffe", "given" : "N E", "non-dropping-particle" : "", "parse-names" : false, "suffix" : "" }, { "dropping-particle" : "", "family" : "Davis", "given" : "B", "non-dropping-particle" : "", "parse-names" : false, "suffix" : "" }, { "dropping-particle" : "", "family" : "Quinn", "given" : "C T", "non-dropping-particle" : "", "parse-names" : false, "suffix" : "" }, { "dropping-particle" : "", "family" : "Shook", "given" : "L", "non-dropping-particle" : "", "parse-names" : false, "suffix" : "" }, { "dropping-particle" : "", "family" : "Morgan", "given" : "D", "non-dropping-particle" : "", "parse-names" : false, "suffix" : "" }, { "dropping-particle" : "", "family" : "Simmons", "given" : "K", "non-dropping-particle" : "", "parse-names" : false, "suffix" : "" }, { "dropping-particle" : "", "family" : "Kalinyak", "given" : "K A", "non-dropping-particle" : "", "parse-names" : false, "suffix" : "" } ], "container-title" : "American Journal of Preventive Medicine", "id" : "ITEM-1", "issue" : "1 Suppl 1 PG  - S10-6", "issued" : { "date-parts" : [ [ "2016" ] ] }, "page" : "S10-6", "publisher" : "American Journal of Preventive Medicine. Published by Elsevier Inc", "publisher-place" : "Netherlands", "title" : "Implementation of a Process for Initial Transcranial Doppler Ultrasonography in Children With Sickle Cell Anemia", "type" : "article-journal", "volume" : "51" }, "uris" : [ "http://www.mendeley.com/documents/?uuid=a1f1e2f4-6e70-45eb-843f-6b1666459d2b" ] } ], "mendeley" : { "formattedCitation" : "[31]", "plainTextFormattedCitation" : "[31]", "previouslyFormattedCitation" : "[31]"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[31]</w:t>
            </w:r>
            <w:r w:rsidRPr="009A13A8">
              <w:rPr>
                <w:rFonts w:ascii="Arial" w:eastAsia="Times New Roman" w:hAnsi="Arial" w:cs="Arial"/>
                <w:sz w:val="16"/>
                <w:szCs w:val="16"/>
                <w:lang w:eastAsia="en-GB"/>
              </w:rPr>
              <w:fldChar w:fldCharType="end"/>
            </w:r>
            <w:r w:rsidR="00CC0B09" w:rsidRPr="009A13A8">
              <w:rPr>
                <w:rFonts w:ascii="Arial" w:eastAsia="Times New Roman" w:hAnsi="Arial" w:cs="Arial"/>
                <w:sz w:val="16"/>
                <w:szCs w:val="16"/>
                <w:lang w:eastAsia="en-GB"/>
              </w:rPr>
              <w:t xml:space="preserve"> Crosby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Implementation of a Process for Initial Transcranial Doppler Ultrasonography in Children With Sickle Cell Anemia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"10.1136/bmjquality.u205852.w3226", "ISSN" : "2050-1315", "abstract" : "Hospital-Acquired venous thromboembolism (VTE) is a common cause of morbidity and mortality in older adults. In psychiatric patients these risks are increased due to multiple factors including poor mobility, restraint, catatonia, sedation, and conventional antipsychotic use. Diagnosis and treatment of psychiatric patients presenting with signs and symptoms of a VTE can be delayed due to a patient's communication difficulties, non-compliance, or attribution of symptoms to a psychosomatic cause. However, despite the increased risk, approved VTE prophylaxis protocols are infrequently used on Psychiatric wards. On one Older Adult Psychiatric Ward, two patients presented with VTE (a fatal pulmonary embolism and a symptomatic deep vein thrombosis) over a 6 month period demonstrating the necessity for prophylactic assessment. A baseline audit over 3 months showed that 63-83% of patients on the ward had received no assessment of VTE risk, on any given week, although this improved slightly following the critical incidents. A VTE prophylaxis protocol, based on NICE guidance for VTE risk assessment in Medical and Surgical patients, was developed with consideration given to additional Psychiatric risk factors. This took the form of a pro-forma with a tick-box design that included mobility assessment, VTE risk factors, bleeding risk factors, and guidance on prescribing decisions. This was implemented on an Older Adult Psychiatric ward and prophylaxis was provided to those meeting the threshold. Weekly audit of all pro-formas (including assessments completed within 48 hours of admission and prophylaxis prescription) was conducted after the pro-forma introduction from 1st February 2013 to 24th May 2013. Frequency of assessments increased after protocol implementation with between 36% and 85% of all patients being assessed for VTE risk post intervention. Fluctuations in numbers assessed may have related to ward pressures, staff changes, and practicalities of pro-forma use. After completion of the PDSA cycles the initiative was handed over to a specialist registrar for implementation across the other trust Older Adult Psychiatry wards, and further audit was planned to be conducted via junior doctors and established Quality Assurance systems. Discussion of integration of a condensed pro-forma into the trust electronic notes system is ongoing.", "author" : [ { "dropping-particle" : "", "family" : "Croxford", "given" : "Anna", "non-dropping-particle" : "", "parse-names" : false, "suffix" : "" }, { "dropping-particle" : "", "family" : "Clare", "given" : "Adam", "non-dropping-particle" : "", "parse-names" : false, "suffix" : "" }, { "dropping-particle" : "", "family" : "McCurdy", "given" : "Kathleen", "non-dropping-particle" : "", "parse-names" : false, "suffix" : "" } ], "container-title" : "BMJ Quality Improvement Reports", "id" : "ITEM-1", "issue" : "1", "issued" : { "date-parts" : [ [ "2015" ] ] }, "note" : "Henrik V. B. Laursen (2016-11-24 05:38:26)(Select): http://qir.bmj.com/content/4/1/u205852.w3226/suppl/DC1;", "page" : "u205852.w3226", "publisher-place" : "England", "title" : "Introduction of a Venous Thromboembolism Prophylaxis Protocol for Older Adult Psychiatric Patients.", "type" : "article-journal", "volume" : "4" }, "uris" : [ "http://www.mendeley.com/documents/?uuid=626a2e77-5ae1-4774-9d57-3e6058797f17" ] } ], "mendeley" : { "formattedCitation" : "[32]", "plainTextFormattedCitation" : "[32]", "previouslyFormattedCitation" : "[32]"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[32]</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Croxford</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Introduction of a Venous Thromboembolism Prophylaxis Protocol for Older Adult Psychiatric Patients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 xml:space="preserve">4 - details of cycles including seperated information on stages of </w:t>
            </w:r>
            <w:r w:rsidRPr="009A13A8">
              <w:rPr>
                <w:rFonts w:ascii="Arial" w:eastAsia="Times New Roman" w:hAnsi="Arial" w:cs="Arial"/>
                <w:sz w:val="16"/>
                <w:szCs w:val="16"/>
                <w:lang w:eastAsia="en-GB"/>
              </w:rPr>
              <w:lastRenderedPageBreak/>
              <w:t>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lastRenderedPageBreak/>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fldChar w:fldCharType="begin" w:fldLock="1"/>
            </w:r>
            <w:r w:rsidR="00BE7B49" w:rsidRPr="009A13A8">
              <w:rPr>
                <w:rFonts w:ascii="Arial" w:eastAsia="Times New Roman" w:hAnsi="Arial" w:cs="Arial"/>
                <w:sz w:val="16"/>
                <w:szCs w:val="16"/>
                <w:lang w:eastAsia="en-GB"/>
              </w:rPr>
              <w:instrText>ADDIN CSL_CITATION { "citationItems" : [ { "id" : "ITEM-1", "itemData" : { "DOI" : "10.1007/s11096-014-0047-2", "ISBN" : "2210-7711", "ISSN" : "22107703", "PMID" : "25468221", "abstract" : "Background In France, medication errors are the third leading cause of serious adverse events. Many studies have shown the positive impact of medication reconciliation (MR) on reducing medication errors at admission but this practice is still rarely implemented in French hospitals. Objective Implement and sustain a MR process at admission in two surgery units. The quality improvement approach used to meet this objective is described. Setting The gastrointestinal surgery and orthopedic surgery departments of a 407 inpatient bed French teaching hospital Methods A step by step collaborative approach based on plan-do-study-act (PDSA) cycles. Three cycles were successively performed with regular feedback during multidisciplinary meetings. Main outcome measure: mean unintended medication discrepancies (UMDs) per patients at admission. Results The three PDSA cycles and the monitoring phase allowed to implement, optimize and sustain a MR process in the two surgery units. Cycle 1, by showing a rate of 0.65 UMDs at admission (95 % CI 0.39-0.91), underlined the need for a MR process; cycle 2 showed how the close-collaboration between pharmacy and surgery units could help to reduce mean UMDs per patients at admission (0.18; 95 % CI 0.09-0.27) (p &lt; 0.001); finally, cycle 3 allowed the optimization of the MR process by reducing the delays of the best possible medication history availability. Conclusions This work highlights how a collaborative quality-improvement approach based on PDSA cycles can meet the challenge of implementing MR to improve medication management at admission", "author" : [ { "dropping-particle" : "", "family" : "Curatolo", "given" : "Niccolo", "non-dropping-particle" : "", "parse-names" : false, "suffix" : "" }, { "dropping-particle" : "", "family" : "Gutermann", "given" : "Loriane", "non-dropping-particle" : "", "parse-names" : false, "suffix" : "" }, { "dropping-particle" : "", "family" : "Devaquet", "given" : "Niaz", "non-dropping-particle" : "", "parse-names" : false, "suffix" : "" }, { "dropping-particle" : "", "family" : "Roy", "given" : "Sandrine", "non-dropping-particle" : "", "parse-names" : false, "suffix" : "" }, { "dropping-particle" : "", "family" : "Rieutord", "given" : "Andr\u00e9", "non-dropping-particle" : "", "parse-names" : false, "suffix" : "" } ], "container-title" : "International Journal of Clinical Pharmacy", "id" : "ITEM-1", "issue" : "1", "issued" : { "date-parts" : [ [ "2014" ] ] }, "page" : "113-120", "publisher-place" : "Netherlands", "title" : "Reducing medication errors at admission: 3 cycles to implement, improve and sustain medication reconciliation", "type" : "article-journal", "volume" : "37" }, "uris" : [ "http://www.mendeley.com/documents/?uuid=5514d651-cc10-4816-80d2-1b0ed7f32154" ] } ], "mendeley" : { "formattedCitation" : "[33]", "plainTextFormattedCitation" : "[33]", "previouslyFormattedCitation" : "[33]"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[33]</w:t>
            </w:r>
            <w:r w:rsidRPr="009A13A8">
              <w:rPr>
                <w:rFonts w:ascii="Arial" w:eastAsia="Times New Roman" w:hAnsi="Arial" w:cs="Arial"/>
                <w:sz w:val="16"/>
                <w:szCs w:val="16"/>
                <w:lang w:eastAsia="en-GB"/>
              </w:rPr>
              <w:fldChar w:fldCharType="end"/>
            </w:r>
            <w:r w:rsidR="00CC0B09" w:rsidRPr="009A13A8">
              <w:rPr>
                <w:rFonts w:ascii="Arial" w:eastAsia="Times New Roman" w:hAnsi="Arial" w:cs="Arial"/>
                <w:sz w:val="16"/>
                <w:szCs w:val="16"/>
                <w:lang w:eastAsia="en-GB"/>
              </w:rPr>
              <w:t xml:space="preserve"> Curatolo</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France</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Reducing medication errors at admission: 3 cycles to implement, improve and sustain medication reconciliation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"10.1136/bmjqs-2015-004451", "ISBN" : "2044-5415", "ISSN" : "20445415", "PMID" : "607916439", "abstract" : "Background: Timely delivery of antibiotics to febrile immunocompromised (F&amp;I) paediatric patients in the emergency department (ED) and outpatient clinic reduces morbidity and mortality. Objective: The aim of this quality improvement initiative was to increase the percentage of F&amp;I patients who received antibiotics within goal in the clinic and ED from 25% to 90%. Methods: Using the Model of Improvement, we performed Plan-Do-Study-Act cycles to design, test and implement high-reliability interventions to decrease time to antibiotics. Pre-arrival interventions were tested and implemented, followed by post-arrival interventions in the ED. Many processes were spread successfully to the outpatient clinic. The Chronic Care Model was used, in addition to active family engagement, to inform and improve processes. Results: The study period was from January 2010 to January 2015. Pre-arrival planning improved our F&amp;I time to antibiotics in the ED from 137 to 88 min. This was sustained until October 2012, when further interventions including a pre-arrival huddle decreased the median time to &lt;50 min. Implementation of the various processes to the clinic delivery system increased the mean percentage of patients receiving antibiotics within 60 min to &gt;90%. In September 2014, we implemented a rapid response team to improve reliable venous access in the ED, which increased our mean percentage of patients receiving timely antibiotics to its highest rate (95%). Conclusions: This stepwise approach with prearrival planning using the Chronic Care Model, followed by standardisation of processes, created a sustainable improvement of timely antibiotic delivery in F&amp;I patients. Copyright \u00a9 2016, BMJ Publishing Group. All rights reserved.", "author" : [ { "dropping-particle" : "", "family" : "Dandoy", "given" : "Christopher E.", "non-dropping-particle" : "", "parse-names" : false, "suffix" : "" }, { "dropping-particle" : "", "family" : "Hariharan", "given" : "Selena", "non-dropping-particle" : "", "parse-names" : false, "suffix" : "" }, { "dropping-particle" : "", "family" : "Weiss", "given" : "Brian", "non-dropping-particle" : "", "parse-names" : false, "suffix" : "" }, { "dropping-particle" : "", "family" : "Demmel", "given" : "Kathy", "non-dropping-particle" : "", "parse-names" : false, "suffix" : "" }, { "dropping-particle" : "", "family" : "Timm", "given" : "Nathan", "non-dropping-particle" : "", "parse-names" : false, "suffix" : "" }, { "dropping-particle" : "", "family" : "Chiarenzelli", "given" : "Janis", "non-dropping-particle" : "", "parse-names" : false, "suffix" : "" }, { "dropping-particle" : "", "family" : "Dewald", "given" : "Mary Katherine", "non-dropping-particle" : "", "parse-names" : false, "suffix" : "" }, { "dropping-particle" : "", "family" : "Kennebeck", "given" : "Stephanie", "non-dropping-particle" : "", "parse-names" : false, "suffix" : "" }, { "dropping-particle" : "", "family" : "Langworthy", "given" : "Shawna", "non-dropping-particle" : "", "parse-names" : false, "suffix" : "" }, { "dropping-particle" : "", "family" : "Pomales", "given" : "Jennifer", "non-dropping-particle" : "", "parse-names" : false, "suffix" : "" }, { "dropping-particle" : "", "family" : "Rineair", "given" : "Sylvia", "non-dropping-particle" : "", "parse-names" : false, "suffix" : "" }, { "dropping-particle" : "", "family" : "Sandfoss", "given" : "Erin", "non-dropping-particle" : "", "parse-names" : false, "suffix" : "" }, { "dropping-particle" : "", "family" : "Volz-Noe", "given" : "Pamela", "non-dropping-particle" : "", "parse-names" : false, "suffix" : "" }, { "dropping-particle" : "", "family" : "Nagarajan", "given" : "Rajaram", "non-dropping-particle" : "", "parse-names" : false, "suffix" : "" }, { "dropping-particle" : "", "family" : "Alessandrini", "given" : "Evaline", "non-dropping-particle" : "", "parse-names" : false, "suffix" : "" } ], "container-title" : "BMJ Quality and Safety", "id" : "ITEM-1", "issue" : "2", "issued" : { "date-parts" : [ [ "2016" ] ] }, "note" : "Henrik V. B. Laursen (2016-12-02 19:50:21)(Select): http://qualitysafety.bmj.com/content/25/2/100/suppl/DC1;", "page" : "100-109", "publisher-place" : "England", "title" : "Sustained reductions in time to antibiotic delivery in febrile immunocompromised children: Results of a quality improvement collaborative", "type" : "article-journal", "volume" : "25" }, "uris" : [ "http://www.mendeley.com/documents/?uuid=86c95975-b992-4987-87db-cdb6593c153a" ] } ], "mendeley" : { "formattedCitation" : "[34]", "plainTextFormattedCitation" : "[34]", "previouslyFormattedCitation" : "[34]"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[34]</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Dandoy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Sustained reductions in time to antibiotic delivery in febrile immunocompromised children: results of a quality improvement collaborative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"10.1097/PCC.0000000000000714", "ISBN" : "0000000000000", "ISSN" : "19473893", "PMID" : "27043995", "abstract" : "OBJECTIVE Ventilator-associated pneumonia is considered the second most frequent infection in pediatric intensive care, and there is agreement on its association with higher morbidity and increased healthcare costs. The goal of this study was to apply a bundle for ventilator-associated pneumonia prevention as a process for quality improvement in the PICU of Hospital Italiano de Buenos Aires, Argentina, aiming to decrease baseline ventilator-associated pneumonia rate by 25% every 6 months over a period of 2 years. DESIGN Quasi-experimental uninterrupted time series. SETTING PICU of Hospital Italiano de Buenos Aires, Argentina. PATIENTS All mechanical ventilated patients admitted to the unit. INTERVENTION It consisted of the implementation of an evidence-based ventilator-associated pneumonia prevention bundle adapted to our unit and using the plan-do-study-act cycle as a strategy for quality improvement. The bundle consisted of four main components: head of the bed raised more than 30\u00b0, oral hygiene with chlorhexidine, a clean and dry ventilator circuit, and daily interruption of sedation. MEASUREMENTS AND MAIN RESULTS Ventilator-associated pneumonia prevention team meetings started in March 2012, and the ventilator-associated pneumonia bundle was implemented in November 2012 after it had been developed and made operational. Baseline ventilator-associated pneumonia rate for the 2 years before intervention was 6.3 episodes every 1,000 mechanical ventilation days. ventilator-associated pneumonia rate evolution by semester and during the 2 years was, respectively, 5.7, 3.2, 1.8, and 0.0 episodes every 1,000 mechanical ventilation days. Monthly ventilator-associated pneumonia rate time series summarized in a 51-point control chart showed the presence of special cause variability after intervention was implemented. CONCLUSIONS The implementation over 2 years of a ventilator-associated pneumonia prevention bundle specifically adapted to our unit using quality improvement tools was associated with a reduction in ventilator-associated pneumonia rate of 25% every 6 months and a nil rate in the last semester.", "author" : [ { "dropping-particle" : "", "family" : "Cristofano", "given" : "Anal\u00eda", "non-dropping-particle" : "De", "parse-names" : false, "suffix" : "" }, { "dropping-particle" : "", "family" : "Peuchot", "given" : "Ver\u00f3nica", "non-dropping-particle" : "", "parse-names" : false, "suffix" : "" }, { "dropping-particle" : "", "family" : "Canepari", "given" : "Andrea", "non-dropping-particle" : "", "parse-names" : false, "suffix" : "" }, { "dropping-particle" : "", "family" : "Franco", "given" : "Victoria", "non-dropping-particle" : "", "parse-names" : false, "suffix" : "" }, { "dropping-particle" : "", "family" : "Perez", "given" : "Augusto", "non-dropping-particle" : "", "parse-names" : false, "suffix" : "" }, { "dropping-particle" : "", "family" : "Eulmesekian", "given" : "Pablo", "non-dropping-particle" : "", "parse-names" : false, "suffix" : "" } ], "container-title" : "Pediatric Critical Care Medicine", "id" : "ITEM-1", "issue" : "5", "issued" : { "date-parts" : [ [ "2016" ] ] }, "page" : "451-456", "title" : "Implementation of a ventilator-associated pneumonia prevention bundle in a single PICU", "type" : "article-journal", "volume" : "17" }, "uris" : [ "http://www.mendeley.com/documents/?uuid=0738e17b-f941-417e-82ac-3f30632c64fd" ] } ], "mendeley" : { "formattedCitation" : "[35]", "plainTextFormattedCitation" : "[35]", "previouslyFormattedCitation" : "[35]"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[35]</w:t>
            </w:r>
            <w:r w:rsidRPr="009A13A8">
              <w:rPr>
                <w:rFonts w:ascii="Arial" w:eastAsia="Times New Roman" w:hAnsi="Arial" w:cs="Arial"/>
                <w:sz w:val="16"/>
                <w:szCs w:val="16"/>
                <w:lang w:eastAsia="en-GB"/>
              </w:rPr>
              <w:fldChar w:fldCharType="end"/>
            </w:r>
            <w:r w:rsidR="00CC0B09" w:rsidRPr="009A13A8">
              <w:rPr>
                <w:rFonts w:ascii="Arial" w:eastAsia="Times New Roman" w:hAnsi="Arial" w:cs="Arial"/>
                <w:sz w:val="16"/>
                <w:szCs w:val="16"/>
                <w:lang w:eastAsia="en-GB"/>
              </w:rPr>
              <w:t xml:space="preserve"> </w:t>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DeCristofano</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Argentina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Implementation of a Ventilator-Associated Pneumonia Prevention Bundle in a Single PICU</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"10.1371/journal.pone.0164154", "ISBN" : "1932-6203", "ISSN" : "19326203", "PMID" : "612637761", "abstract" : "Objective: To develop a process to improve patient outcomes from deep brain stimulation (DBS) surgery for Parkinson disease (PD), essential tremor (ET), and dystonia. Methods: We employed standard quality improvement methodology using the Plan-Do-Study-Act process to improve patient selection, surgical DBS lead implantation, postoperative programming, and ongoing assessment of patient outcomes. Results: The result of this quality improvement process was the development of a neuromodulation network. The key aspect of this program is rigorous patient assessment of both motor and non-motor outcomes tracked longitudinally using a REDCap database. We describe how this information is used to identify problems and to initiate Plan-Do-Study-Act cycles to address them. Preliminary outcomes data is presented for the cohort of PD and ET patients who have received surgery since the creation of the neuromodulation network. Conclusions: Careful outcomes tracking is essential to ensure quality in a complex therapeutic endeavor like DBS surgery for movement disorders. The REDCap database system is well suited to store outcomes data for the purpose of ongoing quality assurance monitoring.Copyright \u00a9 2016 Dewey et al. This is an open access article distributed under the terms of the Creative Commons Attribution License, which permits unrestricted use, distribution, and reproduction in any medium, provided the original author and source are credited.", "author" : [ { "dropping-particle" : "", "family" : "Dewey", "given" : "Richard B.", "non-dropping-particle" : "", "parse-names" : false, "suffix" : "" }, { "dropping-particle" : "", "family" : "O'Suilleabhain", "given" : "Padraig E.", "non-dropping-particle" : "", "parse-names" : false, "suffix" : "" }, { "dropping-particle" : "", "family" : "Sanghera", "given" : "Manjit", "non-dropping-particle" : "", "parse-names" : false, "suffix" : "" }, { "dropping-particle" : "", "family" : "Patel", "given" : "Neepa", "non-dropping-particle" : "", "parse-names" : false, "suffix" : "" }, { "dropping-particle" : "", "family" : "Khemani", "given" : "Pravin", "non-dropping-particle" : "", "parse-names" : false, "suffix" : "" }, { "dropping-particle" : "", "family" : "Lacritz", "given" : "Laura H.", "non-dropping-particle" : "", "parse-names" : false, "suffix" : "" }, { "dropping-particle" : "", "family" : "Chitnis", "given" : "Shilpa", "non-dropping-particle" : "", "parse-names" : false, "suffix" : "" }, { "dropping-particle" : "", "family" : "Whitworth", "given" : "Louis A.", "non-dropping-particle" : "", "parse-names" : false, "suffix" : "" } ], "container-title" : "PLoS ONE", "id" : "ITEM-1", "issue" : "10", "issued" : { "date-parts" : [ [ "2016" ] ] }, "page" : "1-11", "title" : "Developing a deep brain stimulation neuromodulationnetwork for Parkinson disease, essential tremor, and dystonia: Report of a quality improvement project", "type" : "article-journal", "volume" : "11" }, "uris" : [ "http://www.mendeley.com/documents/?uuid=9c37d814-a69a-4734-90b0-83ac173d5b4b" ] } ], "mendeley" : { "formattedCitation" : "[36]", "plainTextFormattedCitation" : "[36]", "previouslyFormattedCitation" : "[36]"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[36]</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Dewey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Developing a Deep Brain Stimulation Neuromodulation Network for Parkinson Disease, Essential Tremor, and Dystonia: Report of a Quality Improvement Project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"10.1136/gutjnl-2014-307263.39", "ISBN" : "0017-5749", "ISSN" : "0017-5749", "abstract" : "Problem: In 2010, there was a significant waiting list for admission to the intestinal failure unit (IFU) at the Salford Royal National Health Service (NHS) Foundation Trust. There had been a steady increase in the number of new patients referred to the IFU (89 patients 2005; 152 patients 2012) and the number of established patients requiring home parenteral nutrition (HPN) (135 patients 2005; 206 patients 2012) over the last decade. The impact of the resulting long waiting list for these complex patients was that patient deaths occurred in those awaiting admission. Design: Continuous improvement methodology using the model for improvement and sequential plan-do-study-act cycles. Setting: Salford Royal NHS Foundation Trust IFU; a large NHS teaching hospital in Northwest England. Key measures for improvement: The primary outcome measures were inpatient length of stay and time spent on waiting list prior to admission. Strategies for change: A continuous improvement programme, supported by a project manager. Results: There has been a 21 % reduction in average length of stay on the IFU from 55.7 to 44.0 days and a reduction of 72% in the average length of time new patients spent on the waiting list for admission from 65.7 to 18.5 days. These changes were associated with concomitant reduction in 30-day readmission rate from 12.1 % to 4.5% and early suggestions of reduced inpatient and waiting list mortality. Conclusions: It is possible to improve the efficiency of a large national service for complex patients using quality improvement methodology, resulting in improved access and reduced waiting list mortality.", "author" : [ { "dropping-particle" : "", "family" : "Donaldson", "given" : "E", "non-dropping-particle" : "", "parse-names" : false, "suffix" : "" }, { "dropping-particle" : "", "family" : "Taylor", "given" : "M", "non-dropping-particle" : "", "parse-names" : false, "suffix" : "" }, { "dropping-particle" : "", "family" : "Abraham", "given" : "A", "non-dropping-particle" : "", "parse-names" : false, "suffix" : "" }, { "dropping-particle" : "", "family" : "Carlson", "given" : "G", "non-dropping-particle" : "", "parse-names" : false, "suffix" : "" }, { "dropping-particle" : "", "family" : "Fletcher", "given" : "O", "non-dropping-particle" : "", "parse-names" : false, "suffix" : "" }, { "dropping-particle" : "", "family" : "Jacqui", "given" : "V", "non-dropping-particle" : "", "parse-names" : false, "suffix" : "" }, { "dropping-particle" : "", "family" : "Teubner", "given" : "A", "non-dropping-particle" : "", "parse-names" : false, "suffix" : "" }, { "dropping-particle" : "", "family" : "Lal", "given" : "S", "non-dropping-particle" : "", "parse-names" : false, "suffix" : "" } ], "container-title" : "Gut", "id" : "ITEM-1", "issue" : "Suppl 1", "issued" : { "date-parts" : [ [ "2014" ] ] }, "page" : "A19.1-A19", "title" : "OC-039\u2005Improving Quality In A National Intestinal Failure Unit: Greater Efficiency, Improved Access, Reduced Mortality", "type" : "article-journal", "volume" : "63" }, "uris" : [ "http://www.mendeley.com/documents/?uuid=8df852f5-7cab-4b57-8e4e-6a4b5acb9678" ] } ], "mendeley" : { "formattedCitation" : "[37]", "plainTextFormattedCitation" : "[37]", "previouslyFormattedCitation" : "[37]"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Donaldson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quality in a national intestinal failure unit: Greater efficiency, improved access and reduced mortality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"10.1136/bmjquality.u206996.w3776", "ISSN" : "2050-1315", "PMID" : "26734409", "abstract" : "Critical incident reporting involves highlighting events and near-misses which have a potential impact on patient care and patient safety. Reporting of critical incidents is a recognised tool in improving patient safety. Within the community paediatric setting in the Belfast Health &amp; Social Care Trust (BHSCT) there is a paucity of incident report forms. The purpose of this quality improvement project was to establish the barriers to reporting critical incidents and to implement plan-do-study-act (PDSA) cycles to create a climate for change. The methodology for this project was to firstly perform a baseline audit to review all submitted critical incident reports for the Community Paediatric team in the BHSCT for a six month period. A questionnaire was distributed to staff within the multidisciplinary team to establish examples of barriers to reporting. Interventions performed included introducing an agreed definition of a critical incident, distributing/presenting questionnaire findings to senior members of the various management teams and providing feedback to healthcare workers after presentation of a critical incident presentation. A review of incident reports was performed over the subsequent six month period to assess how the interventions impacted on incident reporting. Over 12 questionnaires 28 barriers to reporting critical incidents were reported which fell into five separate categories. Staff members were twice as likely to report negativity after reporting a critical incident. Overall critical incident reporting within the BHSCT Community Paediatric team improved from 11 incident reports (1.8 per month) to 22 incident reports (3.7 per month) after completion of the quality improvement project. This represents an increase of 100%.", "author" : [ { "dropping-particle" : "", "family" : "Donnelly", "given" : "Peter", "non-dropping-particle" : "", "parse-names" : false, "suffix" : "" } ], "container-title" : "BMJ Quality Improvement Reports", "id" : "ITEM-1", "issue" : "1", "issued" : { "date-parts" : [ [ "2015" ] ] }, "page" : "u206996.w3776", "title" : "Improving reporting of critical incidents through education and involvement.", "type" : "article-journal", "volume" : "4" }, "uris" : [ "http://www.mendeley.com/documents/?uuid=f88a2751-96cc-42cb-8ef3-1704077e6bdd" ] } ], "mendeley" : { "formattedCitation" : "[38]", "plainTextFormattedCitation" : "[38]", "previouslyFormattedCitation" : "[38]"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Donnelly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Northern Ireland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reporting of critical incidents through education and involvement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"10.1071/PY14088", "ISBN" : "1448-7527 (Print)\\r1448-7527 (Linking)", "ISSN" : "18367399", "PMID" : "25703868", "abstract" : "This article describes translational research (TR) and continuous quality improvement (CQI) processes used to identify and address barriers and facilitators to Pap smear screening within an urban Aboriginal Community Controlled Health Service (ACCHS). Rapid Plan-Do-Study-Act (PDSA) cycles were conducted, informed by client surveys, a data collection tool, focus groups and internal research. There was a statistically significant increase in Pap smear numbers during PDSA cycles, continuing at 10 months follow up. The use of TR with CQI appears to be an effective and acceptable way to affect Pap smear screening. Community and service collaboration should be at the core of research in Aboriginal and Torres Strait Islander health settings. This model is transferrable to other settings and other health issues.", "author" : [ { "dropping-particle" : "", "family" : "Dorrington", "given" : "Melanie S.", "non-dropping-particle" : "", "parse-names" : false, "suffix" : "" }, { "dropping-particle" : "", "family" : "Herceg", "given" : "Ana", "non-dropping-particle" : "", "parse-names" : false, "suffix" : "" }, { "dropping-particle" : "", "family" : "Douglas", "given" : "Kirsty", "non-dropping-particle" : "", "parse-names" : false, "suffix" : "" }, { "dropping-particle" : "", "family" : "Tongs", "given" : "Julie", "non-dropping-particle" : "", "parse-names" : false, "suffix" : "" }, { "dropping-particle" : "", "family" : "Bookallil", "given" : "Marianne", "non-dropping-particle" : "", "parse-names" : false, "suffix" : "" } ], "container-title" : "Australian Journal of Primary Health", "id" : "ITEM-1", "issue" : "4", "issued" : { "date-parts" : [ [ "2015" ] ] }, "note" : "S\u00f8ren Valgreen Knudsen (2016-12-12 20:17:48)(Select): fysisk fulltext; Henrik V. B. Laursen (2016-11-24 05:43:14)(Select): ingen adgang via aub;", "page" : "417-422", "publisher-place" : "Australia", "title" : "Increasing Pap smear rates at an urban Aboriginal Community Controlled Health Service through translational research and continuous quality improvement", "type" : "article-journal", "volume" : "21" }, "uris" : [ "http://www.mendeley.com/documents/?uuid=d3b460f9-0d72-47e4-a783-18cd846becd3" ] } ], "mendeley" : { "formattedCitation" : "[39]", "plainTextFormattedCitation" : "[39]", "previouslyFormattedCitation" : "[39]"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[39]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Dorrington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Australia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Public Health</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Increasing Pap smear rates at an urban Aboriginal Community Controlled Health Service through translational research and continuous quality improvement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CQI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"10.1002/jhm.2661", "ISBN" : "1553-5592", "ISSN" : "15535606", "PMID" : "27805798", "abstract" : "Efforts to improve outcomes of patients who deteriorate outside the intensive care unit have included the use of rapid response teams (RRTs) as well as manual and automated prognostic scores. Although automated early warning systems (EWSs) are starting to enter clinical practice, there are few reports describing implementation and the processes required to integrate early warning approaches into hospitalists' workflows. We describe the implementation process at 2 community hospitals that deployed an EWS. We employed the Institute for Healthcare Improvement's iterative Plan-Do-Study-Act approach. Our basic workflow, which relies on having an RRT nurse and the EWS's 12-hour outcome time frame, has been accepted by clinicians and has not been associated with patient complaints. Whereas our main objective was to develop a set of workflows for integrating the electronic medical record EWS into clinical practice, we also uncovered issues that must be addressed prior to disseminating this intervention to other hospitals. One problematic area is that of documentation following an alert. Other areas that must be addressed prior to disseminating the intervention include the need for educating clinicians on the rationale for deploying the EWS, careful consideration of interdepartment service agreements, clear definition of clinician responsibilities, pragmatic documentation standards, and how to communicate with patients. In addition to the deployment of the EWS to other hospitals, a future direction for our teams will be to characterize process-outcomes relationships in the clinical response itself. Journal of Hospital Medicine 2016;11:S25-S31. \u00a9 2016 Society of Hospital Medicine.", "author" : [ { "dropping-particle" : "", "family" : "Dummett", "given" : "B. Alex", "non-dropping-particle" : "", "parse-names" : false, "suffix" : "" }, { "dropping-particle" : "", "family" : "Adams", "given" : "Carmen", "non-dropping-particle" : "", "parse-names" : false, "suffix" : "" }, { "dropping-particle" : "", "family" : "Scruth", "given" : "Elizabeth", "non-dropping-particle" : "", "parse-names" : false, "suffix" : "" }, { "dropping-particle" : "", "family" : "Liu", "given" : "Vincent", "non-dropping-particle" : "", "parse-names" : false, "suffix" : "" }, { "dropping-particle" : "", "family" : "Guo", "given" : "Margaret", "non-dropping-particle" : "", "parse-names" : false, "suffix" : "" }, { "dropping-particle" : "", "family" : "Escobar", "given" : "Gabriel J.", "non-dropping-particle" : "", "parse-names" : false, "suffix" : "" } ], "container-title" : "Journal of Hospital Medicine", "id" : "ITEM-1", "issue" : "Journal Article PG  - S25-S31", "issued" : { "date-parts" : [ [ "2016" ] ] }, "note" : "S\u00f8ren Valgreen Knudsen (2016-12-01 03:11:07)(Select): n\u00e6rl\u00e6s; S\u00f8ren Valgreen Knudsen (2016-12-01 02:55:44)(Select): bruger de PDSA nok???;", "page" : "S25-S31", "title" : "Incorporating an Early Detection System Into Routine Clinical Practice in Two Community Hospitals", "type" : "article-journal", "volume" : "11" }, "uris" : [ "http://www.mendeley.com/documents/?uuid=f7c0f12d-5a1e-447a-9520-43b9df6fc450" ] } ], "mendeley" : { "formattedCitation" : "[40]", "plainTextFormattedCitation" : "[40]", "previouslyFormattedCitation" : "[40]"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[40]</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Dummett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Incorporating an Early Detection System Into Routine Clinical Practice in Two Community Hospitals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"10.1136/bmjquality.u202625.w3247", "ISSN" : "2050-1315", "PMID" : "26734372", "abstract" : "A large proportion of patients who die in hospital will be under the care of geriatric medicine. Mortality reviews have traditionally used trigger tools to try and identify preventable deaths, but the majority of hospital deaths are not preventable and lapses in care are often very complex. Over a period of 14 months we performed four PDSA cycles to change the focus of mortality meetings within care of the elderly and stroke medicine at Cumberland Infirmary to look beyond preventable deaths. The aim was to maximise learning from mortality meetings to improve patient care. We used collaborative working at a trust and departmental level, moving from trigger tool preparation to a narrative approach, and we set up strategies to focus and disseminate our learning. The mean number of cases discussed per meeting and the mean number of lessons identified per case discussed increased, as did the learning levels (trust, department, individual). Maintaining multidisciplinary input and consolidating lessons learnt was difficult because of clinical commitments and natural staff turnover.", "author" : [ { "dropping-particle" : "", "family" : "Dunbar", "given" : "Joanne", "non-dropping-particle" : "", "parse-names" : false, "suffix" : "" }, { "dropping-particle" : "", "family" : "George", "given" : "James", "non-dropping-particle" : "", "parse-names" : false, "suffix" : "" } ], "container-title" : "BMJ Quality Improvement Reports", "id" : "ITEM-1", "issue" : "1", "issued" : { "date-parts" : [ [ "2015" ] ] }, "note" : "Henrik V. B. Laursen (2016-11-24 05:26:33)(Select): http://qir.bmj.com/content/4/1/u202625.w3247/suppl/DC1;", "page" : "u202625.w3247", "publisher-place" : "England", "title" : "Mortality meetings in geriatric medicine: strategies for improvement", "type" : "article-journal", "volume" : "4" }, "uris" : [ "http://www.mendeley.com/documents/?uuid=49636a7b-db2f-4f4e-934f-1e3b90271622" ] } ], "mendeley" : { "formattedCitation" : "[41]", "plainTextFormattedCitation" : "[41]", "previouslyFormattedCitation" : "[41]"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[41]</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Dunbar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Mortality meetings in geriatric medicine: strategies for improvement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"10.1136/bmjquality.u208961.w3675", "ISBN" : "2050-1315", "ISSN" : "2050-1315", "PMID" : "27559472", "abstract" : "Standardization of Inflammatory Bowel Disease (IBD) care through participation in the ImproveCareNow (ICN) Network has improved outcomes for pediatric patients with IBD, but under the current care model, our improvements have plateaued. Current ICN model care guidelines recommend health supervision visits every six months. We identified a gap in our practice's ability to ensure either a routine six month follow-up or a rapid follow-up after a disease flare, and a significant number of patients with active disease status during a six month period lacked timely reassessment after interventions or medication changes. Telemedicine provides an alternative method of care delivery to address these gaps, but has had limited use in patients with IBD. A multi-step approach to offer alternative follow-up care options via telemedicine was developed with potential impact on remission rates and quality of life. Short term goals of the pilot were to improve telemedicine access for patients with IBD were to 1) increase the percent of patients with active disease with a follow-up completed within two months of a visit from 40% to 70%, 2) increase the percent of patients with a visit scheduled within two months of their last sick visit from 20% to 70% (interim measure), 3) increase the number of eVisits from zero visits per month to two visits per month during pilot phase, 4) increase electronic communication with patients from zero messages per month to 200 messages per month, 5) no change in complications or adverse events (defined as an unplanned visit or ED (emergency department) encounter within 30 days of an eVisit. The expected outcomes of the e-visit model were to: maintain baseline care standards and health screening capabilities, improve access to care, and provide equivalent care delivery (no increase in the number of unplanned clinical encounters). Using the IHI model for improvement (Plan-Do-Study-Act) we have seen a progressive increase in the rate of patient signups for the electronic medical record patient portal, with a baseline median of 20% per clinic compared with a current median of approximately 70% after six months. We successfully implemented e-messaging in its pilot form among five providers and have seen steady uptake in patient use from 5 patient initiated messages during the first month to 76 messages/month over the past three months. E-visits have replaced a total of 32 visits to date. Medications, nutrition, and disease activity were appropr\u2026", "author" : [ { "dropping-particle" : "", "family" : "Dykes", "given" : "Dana", "non-dropping-particle" : "", "parse-names" : false, "suffix" : "" }, { "dropping-particle" : "", "family" : "Williams", "given" : "Elizabeth", "non-dropping-particle" : "", "parse-names" : false, "suffix" : "" }, { "dropping-particle" : "", "family" : "Margolis", "given" : "Peter", "non-dropping-particle" : "", "parse-names" : false, "suffix" : "" }, { "dropping-particle" : "", "family" : "Ruschman", "given" : "Jennifer", "non-dropping-particle" : "", "parse-names" : false, "suffix" : "" }, { "dropping-particle" : "", "family" : "Bick", "given" : "Julianne", "non-dropping-particle" : "", "parse-names" : false, "suffix" : "" }, { "dropping-particle" : "", "family" : "Saeed", "given" : "Shehzad", "non-dropping-particle" : "", "parse-names" : false, "suffix" : "" }, { "dropping-particle" : "", "family" : "Opipari", "given" : "Lisa", "non-dropping-particle" : "", "parse-names" : false, "suffix" : "" } ], "container-title" : "BMJ Quality Improvement Reports", "id" : "ITEM-1", "issue" : "1", "issued" : { "date-parts" : [ [ "2016" ] ] }, "page" : "u208961.w3675", "title" : "Improving pediatric Inflammatory Bowel Disease (IBD) follow-up", "type" : "article-journal", "volume" : "5" }, "uris" : [ "http://www.mendeley.com/documents/?uuid=158dbf65-9ad3-4954-8065-2bb33a27948f" ] } ], "mendeley" : { "formattedCitation" : "[42]", "plainTextFormattedCitation" : "[42]", "previouslyFormattedCitation" : "[42]"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[42]</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Dykes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pediatric Inflammatory Bowel Disease (IBD) follow-up</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"10.1038/jp.2015.219", "ISSN" : "14765543", "PMID" : "26796128", "abstract" : "OBJECTIVE Unplanned extubation events (UPEs) in neonates are hazardous to patient safety. Our goal was to reduce UPE rate (#UPEs per 100 ventilator days) by 50% in 12 months at our 25-bed level III inborn unit. STUDY DESIGN Baseline data were gathered prospectively for 7 months. Three Plan-Do-Study-Act (PDSA) cycles targeting main causes of UPEs were developed over the next 20 months. Causes of UPEs were analyzed using Pareto charts; and a U control chart was created with QI Charts(\u00a9). Standard rules for detecting special cause variation were applied. RESULT Mean UPE rate decreased from 16.1 to 4.5 per 100 ventilator days, a 72% decrease, exceeding our goal. Analysis of U-chart demonstrated special cause variation, with eight consecutive points below the mean. Improvement was sustained throughout the study period. CONCLUSION UPEs in neonates can be reduced with process standardization and frontline staff education, emphasizing vigilant endotracheal tube (ETT) maintenance.", "author" : [ { "dropping-particle" : "", "family" : "Font\u00e1nez-Nieves", "given" : "T. D.", "non-dropping-particle" : "", "parse-names" : false, "suffix" : "" }, { "dropping-particle" : "", "family" : "Frost", "given" : "M.", "non-dropping-particle" : "", "parse-names" : false, "suffix" : "" }, { "dropping-particle" : "", "family" : "Anday", "given" : "E.", "non-dropping-particle" : "", "parse-names" : false, "suffix" : "" }, { "dropping-particle" : "", "family" : "Davis", "given" : "D.", "non-dropping-particle" : "", "parse-names" : false, "suffix" : "" }, { "dropping-particle" : "", "family" : "Cooperberg", "given" : "D.", "non-dropping-particle" : "", "parse-names" : false, "suffix" : "" }, { "dropping-particle" : "", "family" : "Carey", "given" : "A. J.", "non-dropping-particle" : "", "parse-names" : false, "suffix" : "" } ], "container-title" : "Journal of Perinatology", "id" : "ITEM-1", "issue" : "6", "issued" : { "date-parts" : [ [ "2016" ] ] }, "page" : "469-473", "title" : "Prevention of unplanned extubations in neonates through process standardization", "type" : "article-journal", "volume" : "36" }, "uris" : [ "http://www.mendeley.com/documents/?uuid=27366e38-0899-4b38-90d3-cd8bc124f798" ] } ], "mendeley" : { "formattedCitation" : "[43]", "plainTextFormattedCitation" : "[43]", "previouslyFormattedCitation" : "[43]"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[43]</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Fontanez-Nieves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Prevention of unplanned extubations in neonates through process standardization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"10.1136/bmjquality.u210039.w4218", "ISSN" : "2050-1315", "PMID" : "26893889", "abstract" : "Serial betahCG testing can be a helpful tool in deciding how to manage pregnancy of unknown location. Its use in emergency gynaecology clinics can prevent unnecessary admission and intervention. However, despite NICE Guidelines on when it is safe to opt for conservative management, it was identified that there was a problem with over-testing of betahCG when patients could be discharged with instructions to repeat a urinary pregnancy test in two weeks. Two PDSA cycles were undertaken to improve the awareness of NICE guidelines: the first involved formal and informal educational sessions and the second involved the inclusion of a guideline summary on the front of patients' notes when they were having serial betahCG tests for doctors to refer to. Case notes were reviewed for 157 women who had betahCG tests at baseline and 48 hours. Of these, 139 were suitable for serial betahCG testing, and 83 of these were suitable for discharge after 48 hours. Of the 83 patients that were eligible for discharge, there were 31 unnecessary betahCG tests done, 23 of which were prior to intervention. A significant improvement was noted, with between 4-10 unnecessary betahCG tests per fortnight prior to intervention, 0-3 following the first intervention, and 0-2 following the second. Reduction in unnecessary betahCG testing has positive implications for patients, who do not have to take unnecessary time off work, prolong an already very distressing period, and have unnecessary blood tests. There are also cost and time saving implications for the hospital.", "author" : [ { "dropping-particle" : "", "family" : "Frost", "given" : "Lucy", "non-dropping-particle" : "", "parse-names" : false, "suffix" : "" } ], "container-title" : "BMJ Quality Improvement Reports", "id" : "ITEM-1", "issue" : "1", "issued" : { "date-parts" : [ [ "2016" ] ] }, "page" : "u210039.w4218", "title" : "Reducing the overuse of \u03b2hCG measurements in the emergency gynaecology clinic", "type" : "article-journal", "volume" : "5" }, "uris" : [ "http://www.mendeley.com/documents/?uuid=90675ccc-8fe6-4248-91fe-9ce9112fa427" ] } ], "mendeley" : { "formattedCitation" : "[44]", "plainTextFormattedCitation" : "[44]", "previouslyFormattedCitation" : "[44]"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[44]</w:t>
            </w:r>
            <w:r w:rsidRPr="009A13A8">
              <w:rPr>
                <w:rFonts w:ascii="Arial" w:eastAsia="Times New Roman" w:hAnsi="Arial" w:cs="Arial"/>
                <w:sz w:val="16"/>
                <w:szCs w:val="16"/>
                <w:lang w:eastAsia="en-GB"/>
              </w:rPr>
              <w:fldChar w:fldCharType="end"/>
            </w:r>
            <w:r w:rsidR="00650D19"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Frost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Reducing the overuse of betahCG measurements in the emergency gynaecology clinic</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"10.1200/JOP.2015.006502", "ISBN" : "1554-7477", "ISSN" : "1554-7477", "PMID" : "26759474", "abstract" : "PURPOSE: Routine prophylactic pegylated granulocyte colony-stimulating factor (pGCSF) administration for patients receiving chemotherapy regimens associated with low risk ( 20%) or intermediate risk (10% to 20%) if other risk factors for neutropenic fever were present. Use with LRNF chemotherapy was recorded as inappropriate. RESULTS: One hundred eighty patients with NSCLC received a new chemotherapy regimen during the specified time period. Thirty-four of 119 patients (28%) treated with LRNF chemotherapy received pGCSF. Each patient received an average of 2.6 doses of pGCSF (total, 89 doses). We implemented three plan-do-study-act cycles: education of providers, development of Taussig Cancer Institute consensus guidelines for pGCSF in NSCLC, and removal of standing pGCSF orders from LRNF chemotherapy in the electronic medical record. Analysis during the change period revealed 4% of patients with NSCLC treated with LRNF chemotherapy received pGCSF. Cost analysis showed an 84% decrease in billed charges per month. No increase in neutropenic fever admissions was found. CONCLUSION: pGCSF was excessively prescribed for patients with NSCLC. Factors contributing to inappropriate use included provider lack of familiarity with guidelines and knowledge with regard to the risk of neutropenic fever for individual chemotherapy regimens, and electronic medical record chemotherapy templates that contain standing GCSF orders. Interventions to address these gaps quickly produced improved compliance with guidelines and led to significant cost savings.", "author" : [ { "dropping-particle" : "", "family" : "Martin Goodman", "given" : "Lindsey", "non-dropping-particle" : "", "parse-names" : false, "suffix" : "" }, { "dropping-particle" : "", "family" : "Moeller", "given" : "Machelle B.", "non-dropping-particle" : "", "parse-names" : false, "suffix" : "" }, { "dropping-particle" : "", "family" : "Azzouqa", "given" : "Abdel-Ghani", "non-dropping-particle" : "", "parse-names" : false, "suffix" : "" }, { "dropping-particle" : "", "family" : "Guthrie", "given" : "Amy E.", "non-dropping-particle" : "", "parse-names" : false, "suffix" : "" }, { "dropping-particle" : "", "family" : "Dalby", "given" : "Carole K.", "non-dropping-particle" : "", "parse-names" : false, "suffix" : "" }, { "dropping-particle" : "", "family" : "Earl", "given" : "Marc A.", "non-dropping-particle" : "", "parse-names" : false, "suffix" : "" }, { "dropping-particle" : "", "family" : "Cheng", "given" : "Connie", "non-dropping-particle" : "", "parse-names" : false, "suffix" : "" }, { "dropping-particle" : "", "family" : "Pennell", "given" : "Nathan A.", "non-dropping-particle" : "", "parse-names" : false, "suffix" : "" }, { "dropping-particle" : "", "family" : "Shapiro", "given" : "Marc", "non-dropping-particle" : "", "parse-names" : false, "suffix" : "" }, { "dropping-particle" : "", "family" : "Velcheti", "given" : "Vamsidhar", "non-dropping-particle" : "", "parse-names" : false, "suffix" : "" }, { "dropping-particle" : "", "family" : "Stevenson", "given" : "James P.", "non-dropping-particle" : "", "parse-names" : false, "suffix" : "" } ], "container-title" : "Journal of Oncology Practice", "id" : "ITEM-1", "issue" : "1", "issued" : { "date-parts" : [ [ "2016" ] ] }, "page" : "e101-e107", "title" : "Reduction of Inappropriate Prophylactic Pegylated Granulocyte Colony-Stimulating Factor Use for Patients With Non\u2013Small-Cell Lung Cancer Who Receive Chemotherapy: An ASCO Quality Training Program Project of the Cleveland Clinic Taussig Cancer Institute", "type" : "article-journal", "volume" : "12" }, "uris" : [ "http://www.mendeley.com/documents/?uuid=5b11c304-ecb7-4e64-a14d-9f153f7de0f6" ] } ], "mendeley" : { "formattedCitation" : "[45]", "plainTextFormattedCitation" : "[45]", "previouslyFormattedCitation" : "[45]"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[45]</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Goodman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Oncology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Reduction of Inappropriate Prophylactic Pegylated Granulocyte Colony-Stimulating Factor Use for Patients With Non-Small-Cell Lung Cancer Who Receive Chemotherapy: An ASCO Quality Training Program Project of the Cleveland Clinic Taussig Cancer Institute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"10.1136/bmjquality.u203938.w3268", "ISSN" : "2050-1315", "PMID" : "26734368", "abstract" : "AbstractAround 110,000 people spend time in critical care units in England and Wales each year. The transition of care from the intensive care unit to the general ward exposes patients to potential harms from changes in healthcare providers and environment. Nurses working on general wards report anxiety and uncertainty when receiving patients from critical care. An innovative form of enhanced capability critical care outreach called iMobile' is being provided at King's College Hospital (KCH). Part of the remit of iMobile is to review patients who have been transferred from critical care to general wards. The iMobile team wished to improve the quality of critical care discharge summaries. A collaborative evidence-based quality improvement project was therefore undertaken by the iMobile team at KCH in conjunction with researchers from King's Improvement Science (KIS). Plan, Do, Study, Act (PDSA) methodology was used. Three PDSA cycles were undertaken. Methods adopted comprised: a scoping literature review to identify relevant guidelines and research evidence to inform all aspects of the quality improvement project; a process mapping exercise; informal focus groups / interviews with staff; patient story-telling work with people who had experienced critical care and subsequent discharge to a general ward; and regular audits of the quality of both medical and nursing critical care discharge summaries. The following behaviour change interventions were adopted, taking into account evidence of effectiveness from published systematic reviews and considering the local context: regular audit and feedback of the quality of discharge summaries, feedback of patient experience, and championing and education delivered by local opinion leaders. The audit results were mixed across the trajectory of the project, demonstrating the difficulty of sustaining positive change. This was particularly important as critical care bed occupancy and through-put fluctuates which then impacts on work-load, with new cohorts of staff regularly passing through critical care. In addition to presenting the results of this quality improvement project, we also reflect on the lessons learned and make suggestions for future projects.", "author" : [ { "dropping-particle" : "", "family" : "Goulding", "given" : "Lucy", "non-dropping-particle" : "", "parse-names" : false, "suffix" : "" }, { "dropping-particle" : "", "family" : "Parke", "given" : "Hannah", "non-dropping-particle" : "", "parse-names" : false, "suffix" : "" }, { "dropping-particle" : "", "family" : "Maharaj", "given" : "Ritesh", "non-dropping-particle" : "", "parse-names" : false, "suffix" : "" }, { "dropping-particle" : "", "family" : "Loveridge", "given" : "Robert", "non-dropping-particle" : "", "parse-names" : false, "suffix" : "" }, { "dropping-particle" : "", "family" : "McLoone", "given" : "Anne", "non-dropping-particle" : "", "parse-names" : false, "suffix" : "" }, { "dropping-particle" : "", "family" : "Hadfield", "given" : "Sophie", "non-dropping-particle" : "", "parse-names" : false, "suffix" : "" }, { "dropping-particle" : "", "family" : "Helme", "given" : "Eloise", "non-dropping-particle" : "", "parse-names" : false, "suffix" : "" }, { "dropping-particle" : "", "family" : "Hopkins", "given" : "Philip", "non-dropping-particle" : "", "parse-names" : false, "suffix" : "" }, { "dropping-particle" : "", "family" : "Sandall", "given" : "Jane", "non-dropping-particle" : "", "parse-names" : false, "suffix" : "" } ], "container-title" : "BMJ Quality Improvement Reports", "id" : "ITEM-1", "issue" : "1", "issued" : { "date-parts" : [ [ "2015" ] ] }, "note" : "Henrik V. B. Laursen (2016-11-24 19:53:46)(Select): suppl: http://qir.bmj.com/content/4/1/u203938.w3268/suppl/DC1;", "page" : "u203938.w3268", "publisher-place" : "England", "title" : "Improving critical care discharge summaries: a collaborative quality improvement project using PDSA", "type" : "article-journal", "volume" : "4" }, "uris" : [ "http://www.mendeley.com/documents/?uuid=983319db-a6cb-4f55-8a20-dbaad1efc538" ] } ], "mendeley" : { "formattedCitation" : "[46]", "plainTextFormattedCitation" : "[46]", "previouslyFormattedCitation" : "[46]"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[46]</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Goulding</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critical care discharge summaries: a collaborative quality improvement project using PDSA</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Failure, change in unwanted direction</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"10.1136/bmjquality.u207288.w2926", "ISSN" : "2050-1315", "PMID" : "26734449", "abstract" : "Sexual health contributes greatly to quality of life. Research shows that stroke survivors want to learn and talk about sexual health, but are not given information. In keeping with the Canadian Best Practice Recommendations for Stroke Care, this project aimed to provide all stroke rehabilitation inpatients with the opportunity to discuss sexual health concerns with healthcare providers at West Park Healthcare Centre, a rehabilitation and complex continuing care centre in Toronto. Gap analysis conducted via staff member interviews and retrospective chart reviews showed that close to no patients were given the opportunity to discuss sexual health concerns at baseline. Plan-Do-Study-Act (PDSA) methodology was used as the project framework. The changes implemented included a reminder system, standardization of care processes for sexual health, patient-centred time points for the delivery of sexual health discussions, and the development of a sexual health supported conversation tool for patients with aphasia. By the end of the ten month project period and after three PDSA cycles, the percentage of patients provided with the opportunity to discuss sexual health during inpatient rehabilitation increased to 80%. This quality improvement project successfully implemented the Canadian Best Practice Recommendations for Stroke Care with respect to sexual health. Lessons learned included the importance of early baseline data collection and advance planning for tools used in QI projects. Future projects may focus on improving the discussion of sexual health concerns during outpatient stroke rehabilitation.", "author" : [ { "dropping-particle" : "", "family" : "Guo", "given" : "Meiqi", "non-dropping-particle" : "", "parse-names" : false, "suffix" : "" }, { "dropping-particle" : "", "family" : "Bosnyak", "given" : "Stephanie", "non-dropping-particle" : "", "parse-names" : false, "suffix" : "" }, { "dropping-particle" : "", "family" : "Bontempo", "given" : "Tiziana", "non-dropping-particle" : "", "parse-names" : false, "suffix" : "" }, { "dropping-particle" : "", "family" : "Enns", "given" : "Amie", "non-dropping-particle" : "", "parse-names" : false, "suffix" : "" }, { "dropping-particle" : "", "family" : "Fourie", "given" : "Candice", "non-dropping-particle" : "", "parse-names" : false, "suffix" : "" }, { "dropping-particle" : "", "family" : "Ismail", "given" : "Farooq", "non-dropping-particle" : "", "parse-names" : false, "suffix" : "" }, { "dropping-particle" : "", "family" : "Lo", "given" : "Alex", "non-dropping-particle" : "", "parse-names" : false, "suffix" : "" } ], "container-title" : "BMJ Quality Improvement Reports", "id" : "ITEM-1", "issue" : "1", "issued" : { "date-parts" : [ [ "2015" ] ] }, "note" : "Henrik V. B. Laursen (2016-11-24 05:36:48)(Select): suppll: http://qir.bmj.com/content/4/1/u207288.w2926/suppl/DC1\n;", "page" : "u207288.w2926", "publisher-place" : "England", "title" : "Let's Talk About Sex! - Improving sexual health for patients in stroke rehabilitation", "type" : "article-journal", "volume" : "4" }, "uris" : [ "http://www.mendeley.com/documents/?uuid=8555023e-c783-407c-85a2-9c4ef7542fbf" ] } ], "mendeley" : { "formattedCitation" : "[47]", "plainTextFormattedCitation" : "[47]", "previouslyFormattedCitation" : "[47]"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Guo</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Canada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Let's Talk About Sex! - Improving sexual health for patients in stroke rehabilitation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"10.1136/bmjquality.u204775.w2440", "ISBN" : "2050-1315", "ISSN" : "2050-1315", "PMID" : "26734369", "abstract" : "AbstractChecklists have been shown to improve care and reduce morbidity and mortality in the healthcare setting.[1] Their application in safety-critical industries outside of medicine continues to offer a strong argument for their application to medicine.[2] The daily in-patient medical ward round is a complex process and includes multiple potential risks to patient safety. This project aims to evaluate the effectiveness of a ward round review checklist on one general medical ward in a district general hospital in the UK. A baseline audit was performed, examining case-notes for a set of pre-defined outcome measures relevant to patient safety. Compliance with documentation of each outcome measure was assessed prior to the introduction of a ward round checklist. This was followed by a quality improvement project through the use of PDSA cycles, with the aim of introducing and developing a ward round checklist over a nine month period. Following the introduction of a checklist, overall compliance with documentation of each outcome measure improved from 45% to 89%. In conclusion, a quality improvement project involving the introduction of a ward round checklist for daily use has resulted in improved documentation of outcome measures that are relevant to patient safety. Teamwork and leadership skills from clinicians committed to improving patient safety is essential to sustaining improvements in traditional ward round practice.", "author" : [ { "dropping-particle" : "", "family" : "Hale", "given" : "G.", "non-dropping-particle" : "", "parse-names" : false, "suffix" : "" }, { "dropping-particle" : "", "family" : "McNab", "given" : "D.", "non-dropping-particle" : "", "parse-names" : false, "suffix" : "" } ], "container-title" : "BMJ Quality Improvement Reports", "id" : "ITEM-1", "issue" : "1", "issued" : { "date-parts" : [ [ "2015" ] ] }, "note" : "Henrik V. B. Laursen (2016-11-24 21:35:37)(Select): suppl: http://qir.bmj.com/content/4/1/u204775.w2440/suppl/DC1;", "page" : "u204775.w2440-u204775.w2440", "publisher-place" : "England", "title" : "Developing a ward round checklist to improve patient safety", "type" : "article-journal", "volume" : "4" }, "uris" : [ "http://www.mendeley.com/documents/?uuid=a5b8c96c-0952-4984-a4bf-56dcccedc684" ] } ], "mendeley" : { "formattedCitation" : "[48]", "plainTextFormattedCitation" : "[48]", "previouslyFormattedCitation" : "[48]"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Hale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Scotland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Developing a ward round checklist to improve patient safety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 xml:space="preserve">3 - details of individual cycles but not stages of </w:t>
            </w:r>
            <w:r w:rsidRPr="009A13A8">
              <w:rPr>
                <w:rFonts w:ascii="Arial" w:eastAsia="Times New Roman" w:hAnsi="Arial" w:cs="Arial"/>
                <w:sz w:val="16"/>
                <w:szCs w:val="16"/>
                <w:lang w:eastAsia="en-GB"/>
              </w:rPr>
              <w:lastRenderedPageBreak/>
              <w:t>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lastRenderedPageBreak/>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"10.1136/bmjquality.u209711.w4039", "ISSN" : "2050-1315", "abstract" : "Domperidone is a dopamine D2 receptor antagonist acting on the chemoreceptor trigger zone in the medulla and also in the gut, causing antiemetic and gastrokinetic effects respectively. In the past, domperidone was considered largely safe, with many indications and few contraindications listed in the product literature. In 2014, Domperidone became indicated only for the prevention of nausea and vomiting and the duration of treatment was limited to seven days. Furthermore, the maximum daily dose was limited to thirty milligrams. A quality improvement project was undertaken at Holland Park Surgery to improve compliance with MHRA guidelines. Prescriptions of domperidone in the previous nine months were assessed for compliance with the MHRA advice. Domperidone was prescribed for 23 patients; of these 4 were single acute prescriptions, 3 were repeats which had been stopped and 16 were on active repeat at the time of the search. All patients who had active repeat prescriptions had exceeded the recommended duration of treatment. MHRA contraindications were found in 6 (37%) of active repeat prescriptions. The strategy for improvement involved three PDSA cycles and involved engaging with patients for medication reviews and staff to improve prescribing practices. After the third PDSA cycle we demonstrated that all repeat prescriptions had been stopped and that new prescriptions were compliant with MHRA advice.", "author" : [ { "dropping-particle" : "", "family" : "Hall", "given" : "William", "non-dropping-particle" : "", "parse-names" : false, "suffix" : "" } ], "container-title" : "BMJ Quality Improvement Reports", "id" : "ITEM-1", "issue" : "1", "issued" : { "date-parts" : [ [ "2016" ] ] }, "page" : "u209711.w4039", "title" : "Improving the safety of prescriptions of domperidone in primary care: implementing MHRA advice.", "type" : "article-journal", "volume" : "5" }, "uris" : [ "http://www.mendeley.com/documents/?uuid=8e557d57-345a-4267-9f52-9066ba3e98d8" ] } ], "mendeley" : { "formattedCitation" : "[49]", "plainTextFormattedCitation" : "[49]", "previouslyFormattedCitation" : "[49]"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[49]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Hall</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Community Care</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safety of prescriptions of domperidone in primary care: implementing MHRA advice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"10.1136/bmjquality.u209656.w4000", "ISSN" : "2050-1315", "PMID" : "26734390", "abstract" : "Delirium is a frequent complication of critical illness with an increased risk of death which is difficult to treat effectively. We describe a seven year quality improvement programme that aimed to reduce rates of delirium on intensive care (ICU). We completed two PDSA programmes with a number of changes including alterations to sedation practice and environmental changes to the ICU itself. Rates of delirium reduced from 70% to 44% after the first cycle of change. Rates of delirium were further reduced to 29% after the second cycle of change. The rates are now lower than predicted by the validated prediction tool PRE-DELIRIC. This project demonstrates that a multifaceted approach to prevention of delirium on ICU can deliver sustained reductions in rates of delirium. The impact of the second cycle of change was less than the first, suggesting that further reductions may prove more challenging.", "author" : [ { "dropping-particle" : "", "family" : "Hanison", "given" : "James", "non-dropping-particle" : "", "parse-names" : false, "suffix" : "" }, { "dropping-particle" : "", "family" : "Conway", "given" : "Daniel", "non-dropping-particle" : "", "parse-names" : false, "suffix" : "" } ], "container-title" : "BMJ Quality Improvement Reports", "id" : "ITEM-1", "issue" : "1", "issued" : { "date-parts" : [ [ "2015" ] ] }, "page" : "u209656.w4000", "publisher-place" : "England", "title" : "A multifaceted approach to prevention of delirium on intensive care", "type" : "article-journal", "volume" : "4" }, "uris" : [ "http://www.mendeley.com/documents/?uuid=753d429a-e56c-4002-acdd-ff1ca60db6a4" ] } ], "mendeley" : { "formattedCitation" : "[50]", "plainTextFormattedCitation" : "[50]", "previouslyFormattedCitation" : "[50]"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[50]</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Hanison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multifaceted approach to prevention of delirium on intensive care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"10.1542/peds.2015-0461", "ISBN" : "0031-4005", "ISSN" : "0031-4005", "PMID" : "26912205", "abstract" : "BACKGROUND AND OBJECTIVES: Many patients recently discharged from an asthma admission do not fill discharge prescriptions. If unable to adhere to a discharge plan, patients with asthma are at risk for re-presentation to care. We sought to increase the proportion of patients discharged from an asthma admission in possession of their medications (meds in hand) from a baseline of 0% to &gt;75%. METHODS: A multidisciplinary improvement team performed 3 plan-do-study-act cycles over 2 years and, using a statistical process control chart, tracked the proportion of patients admitted with asthma discharged with meds in hand as the primary outcome. An exploratory, retrospective analysis of insurance data was conducted with a convenience sample of Medicaid-insured patients, comparing postdischarge utilization between patients discharged with meds in hand and usual care. Generalized estimating equations accounted for nonindependence in the data. RESULTS: Changes to the discharge process culminated in the development of a discharge medication delivery service. Outpatient pharmacist delivery of discharge medications to patient rooms achieved the project aim of 75% of patients discharged with meds in hand. In a subset of patients for whom all insurance claims were available, those discharged with meds in hand had lower odds of all-cause re-presentation to the emergency department within 30 days of discharge, compared with patients discharged with usual care (odds ratio, 0.22; 95% confidence interval, 0.05-0.99). CONCLUSIONS: Our initiative led to several discharge process improvements, including the creation of a medication delivery service that increased the proportion of patients discharged in possession of their medications and may have decreased unplanned visits after discharge.", "author" : [ { "dropping-particle" : "", "family" : "Hatoun", "given" : "J.", "non-dropping-particle" : "", "parse-names" : false, "suffix" : "" }, { "dropping-particle" : "", "family" : "Bair-Merritt", "given" : "M.", "non-dropping-particle" : "", "parse-names" : false, "suffix" : "" }, { "dropping-particle" : "", "family" : "Cabral", "given" : "H.", "non-dropping-particle" : "", "parse-names" : false, "suffix" : "" }, { "dropping-particle" : "", "family" : "Moses", "given" : "J.", "non-dropping-particle" : "", "parse-names" : false, "suffix" : "" } ], "container-title" : "Pediatrics", "id" : "ITEM-1", "issue" : "3", "issued" : { "date-parts" : [ [ "2016" ] ] }, "note" : "Henrik V. B. Laursen (2016-11-24 05:44:14)(Select): ingen adgang via aub;", "page" : "e20150461-e20150461", "publisher" : "by the American Academy of Pediatrics", "publisher-place" : "United States", "title" : "Increasing Medication Possession at Discharge for Patients With Asthma: The Meds-in-Hand Project", "type" : "article-journal", "volume" : "137" }, "uris" : [ "http://www.mendeley.com/documents/?uuid=1c375313-247b-4df6-afa6-544269e38458" ] } ], "mendeley" : { "formattedCitation" : "[51]", "plainTextFormattedCitation" : "[51]", "previouslyFormattedCitation" : "[51]"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[51]</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Hatoun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Increasing Medication Possession at Discharge for Patients With Asthma: The Meds-in-Hand Project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"10.1111/acem.12967", "ISSN" : "15532712", "PMID" : "20160509012", "abstract" : "OBJECTIVE: The objective was to evaluate the effect of an emergency clinician-initiated \"ED admission holding order set\" on emergency department (ED) treatment times and length of stay (LOS). We further describe the impact of a performance improvement strategy with sequential plan-do-study-act (PDSA) cycles used to influence the primary outcome measures, ED LOS, and disposition decision to patient gone (DDTPG) time, for admitted patients. METHODS: We developed and implemented an expedited, emergency physician-facilitated admission protocol that bypassed typical inpatient workflows requiring inpatient evaluations prior to the placement of admission orders. During the 48-month study period, ED flow metrics generated during the care of 27,580 admissions from the 24-month period prior to the intervention were compared to the 29,978 admissions that occurred during the 24-month period following the intervention. The intervention was the result of an in-depth, five-phase PDSA cycle quality improvement intervention evaluating ED flow, which identified the requirement of bedside inpatient evaluations prior admission order placement as being a \"non-value-added\" activity. ED output flow metrics evaluating the admission process were tracked for 24 months following the intervention and were compared to the 24 months prior. RESULTS: The use of an emergency physician-initiated admission holding order protocol resulted in sustainable reductions in ED LOS when comparing the 2 years prior to the intervention, with median LOS of 410 (interquartile range [IQR] = 295 to 543) and 395 (IQR = 283 to 527) minutes, to the 2 calendar years following the intervention, with the median LOS of 313 (IQR = 21 to 431) and 316 (IQR = 224 to 438) minutes, respectively. This overall reduction in ED LOS of nearly 90 minutes was found to be primarily the result of a decrease in the time from the emergency physician's admitting DDTPG times with median times of 219 (IQR = 150 to 306) and 200 (IQR = 136 to 286) minutes for the 2 years prior to the intervention compared to 89 (IQR = 58 to 138) and 92 (IQR = 60 to 147) minutes for the 2 years following the intervention. It is notable that there was a modest increase in the door to disposition decision of admission times during this same study period with annual medians of 176 (IQR = 112 to 261) and 178 (IQR = 129 to 316) minutes, respectively, for the 2 years prior to 207 (IQR = 129 to 316) and 202 (IQR = 127 to 305) minutes following the interve\u2026", "author" : [ { "dropping-particle" : "", "family" : "Haydar", "given" : "Samir A.", "non-dropping-particle" : "", "parse-names" : false, "suffix" : "" }, { "dropping-particle" : "", "family" : "Strout", "given" : "Tania D.", "non-dropping-particle" : "", "parse-names" : false, "suffix" : "" }, { "dropping-particle" : "", "family" : "Baumann", "given" : "Michael R.", "non-dropping-particle" : "", "parse-names" : false, "suffix" : "" } ], "container-title" : "Academic Emergency Medicine", "id" : "ITEM-1", "issue" : "7", "issued" : { "date-parts" : [ [ "2016" ] ] }, "page" : "776-785", "title" : "Sustainable Mechanism to Reduce Emergency Department (ED) Length of Stay: The Use of ED Holding (ED Transition) Orders to Reduce ED Length of Stay", "type" : "article-journal", "volume" : "23" }, "uris" : [ "http://www.mendeley.com/documents/?uuid=ac39d4c7-83f1-4d72-9850-8b450888ffa4" ] } ], "mendeley" : { "formattedCitation" : "[52]", "plainTextFormattedCitation" : "[52]", "previouslyFormattedCitation" : "[52]"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[52]</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Haydar</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Sustainable Mechanism to Reduce Emergency Department (ED) Length of Stay: The Use of ED Holding (ED Transition) Orders to Reduce ED Length of Stay</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"10.1542/hpeds.2014-0235", "ISBN" : "2154-1663 (Print)\\r2154-1671", "ISSN" : "21541663", "PMID" : "26330247", "abstract" : "OBJECTIVE: Previous studies have shown that inpatients and families in academic settings have a limited ability to recall either their medical team members or the roles of those members. This is an important issue for patient and family satisfaction as well as patient safety. The objective of this study was to increase families' recognition of medical team members' roles. METHODS: We established a multidisciplinary quality improvement leadership team, measured family recognition of medical team members and their roles, and conducted 2 PDSA (Plan-Do-Study-Act) cycles. The first intervention was standardization of the content and delivery of our verbal team introductions to ensure inclusion of essential elements and family engagement. The second intervention was addition of an informational white board in each patient room. The prospective study included 105 families in the preintervention phase, 103 post-PDSA cycle 1, and 92 post-PDSA cycle 2. RESULTS: After conduction of 2 PDSA cycles, the recognition of the attending role increased from 49% to 87% (P = .000), the resident role from 39% to 73% (P = .000), and the medical student from 75% to 89% (P = .038). CONCLUSIONS: The multidisciplinary quality improvement model was effective in improving family recognition of the roles of attending physicians, resident physicians, and medical students. Consistent attention to engaging the families and explaining our roles as well as providing informational white boards are effective interventions to facilitate this process.", "author" : [ { "dropping-particle" : "", "family" : "Hayes", "given" : "Rebecca M.", "non-dropping-particle" : "", "parse-names" : false, "suffix" : "" }, { "dropping-particle" : "", "family" : "Wickline", "given" : "Afton", "non-dropping-particle" : "", "parse-names" : false, "suffix" : "" }, { "dropping-particle" : "", "family" : "Hensley", "given" : "Christina", "non-dropping-particle" : "", "parse-names" : false, "suffix" : "" }, { "dropping-particle" : "", "family" : "Cowen", "given" : "Kelsey", "non-dropping-particle" : "", "parse-names" : false, "suffix" : "" }, { "dropping-particle" : "", "family" : "Jessie", "given" : "Ashley", "non-dropping-particle" : "", "parse-names" : false, "suffix" : "" }, { "dropping-particle" : "", "family" : "Akers", "given" : "Melanie", "non-dropping-particle" : "", "parse-names" : false, "suffix" : "" }, { "dropping-particle" : "", "family" : "Dolan", "given" : "Jenna", "non-dropping-particle" : "", "parse-names" : false, "suffix" : "" }, { "dropping-particle" : "", "family" : "Pritt", "given" : "Audra", "non-dropping-particle" : "", "parse-names" : false, "suffix" : "" }, { "dropping-particle" : "", "family" : "Goodrich", "given" : "Shea", "non-dropping-particle" : "", "parse-names" : false, "suffix" : "" }, { "dropping-particle" : "", "family" : "O'Neill", "given" : "Kelly", "non-dropping-particle" : "", "parse-names" : false, "suffix" : "" }, { "dropping-particle" : "", "family" : "Flesher", "given" : "Susan L.", "non-dropping-particle" : "", "parse-names" : false, "suffix" : "" } ], "container-title" : "Hospital pediatrics", "id" : "ITEM-1", "issue" : "9", "issued" : { "date-parts" : [ [ "2015" ] ] }, "page" : "480-486", "title" : "A Quality Improvement Project to Improve Family Recognition of Medical Team Member Roles", "type" : "article-journal", "volume" : "5" }, "uris" : [ "http://www.mendeley.com/documents/?uuid=fecabf0b-797d-4aba-8e68-9a190c1a7cf9" ] } ], "mendeley" : { "formattedCitation" : "[53]", "plainTextFormattedCitation" : "[53]", "previouslyFormattedCitation" : "[53]"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[53]</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Hayes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Quality Improvement Project to Improve Family Recognition of Medical Team Member Roles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25FF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"10.4158/EP161514.OR", "ISSN" : "1530-891X", "PMID" : "27849384", "abstract" : "OBJECTIVE: Outpatient specialty consultations rely on the timeliness and completeness of referral information to facilitate a valuable patient-specialist interaction. This project aimed to increase essential diagnostic information availability at the initial consultation for patients referred for common endocrine conditions frequently lacking such data-diabetes mellitus, thyroid nodule, thyrotoxicosis, and hypercalcemia. METHODS: At an endocrinology clinic at an academic medical center in rural New England, providers see several thousand new patients annually, the majority of whom are referred by providers external to the clinic's healthcare system. Through consensus, endocrinology clinic providers agreed on the two or three data elements essential for a meaningful initial consultation for each. A quality improvement team employed a planned series of interventions based on previously published methods and an innovative approach: dissemination of a referral guideline, an assessment of referral adequacy in the endocrinology clinic workflow, coupled with focused requests for missing items, and a pre-visit lab appointment. RESULTS: Between April 2015 and March 2016, 762 referrals were reviewed. At baseline for the four conditions, referrals contained all essential elements only 27.5% (22 of 80) of the time. Over a 7-month period, the team implemented the interventions, with subsequent referrals containing all essential elements increasing to 75.5% (P&lt;.0001), largely attributable to the pre-visit lab appointment. CONCLUSION: Incoming referrals that lack essential information are a significant problem in specialty care and may adversely affect patient experience, provider satisfaction, and clinic efficiency. Improvement may require innovative approaches, such as the potentially transferable and generalizable ones employed here. ABBREVIATIONS: DHMC = Dartmouth-Hitchcock Medical Center EHR = electronic health record PDSA = Plan-Do-Study-Act.", "author" : [ { "dropping-particle" : "", "family" : "Hendrickson", "given" : "Chase D.", "non-dropping-particle" : "", "parse-names" : false, "suffix" : "" }, { "dropping-particle" : "", "family" : "Saini", "given" : "Saumya", "non-dropping-particle" : "", "parse-names" : false, "suffix" : "" }, { "dropping-particle" : "", "family" : "Pothuloori", "given" : "Avin", "non-dropping-particle" : "", "parse-names" : false, "suffix" : "" }, { "dropping-particle" : "", "family" : "Mecchella", "given" : "John N.", "non-dropping-particle" : "", "parse-names" : false, "suffix" : "" } ], "container-title" : "Endocrine Practice", "id" : "ITEM-1", "issue" : "2", "issued" : { "date-parts" : [ [ "2017" ] ] }, "page" : "190-198", "title" : "Assessing Referrals and Improving Information Availability for Consultations in an Academic Endocrinology Clinic", "type" : "article", "volume" : "23" }, "uris" : [ "http://www.mendeley.com/documents/?uuid=582b1c10-e66a-4ad2-b2d0-a22768cf9d83" ] } ], "mendeley" : { "formattedCitation" : "[54]", "plainTextFormattedCitation" : "[54]", "previouslyFormattedCitation" : "[54]"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[54]</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Hendricks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Assessing referrals and improving information availability for consultations in an academic endocrinology clinic</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"10.1200/JOP.2015.004234 [doi]", "abstract" : "PURPOSE: In this small breast cancer-dedicated solo practice, a retrospective medical record review disclosed the following: significant rate of chemotherapy-related nausea and vomiting and discordance between patient-reported compliance with prescribed antiemetics and medical record documentation of compliance. As part of the curriculum for the American Society of Clinical Oncology (ASCO) Quality Training Program, a quality improvement project was developed to improve adherence to oral antiemetics in our patients with breast cancer receiving highly emetogenic chemotherapy. PATIENTS AND METHODS: The following steps were undertaken in plan-do-study-act cycles to improve adherence: enhanced patient education at time of chemotherapy consent, implementation of standardized in-person or e-mail contact with our patients receiving chemotherapy, and improvement of our electronic health record documentation of adherence to oral antiemetics. A run chart was generated to analyze our data. RESULTS: After our interventions, the percentage of patients who took their antiemetics as prescribed rose from a baseline of 49% to 79%. CONCLUSION: Significant improvement in adherence to oral antiemetics among patients with breast cancer receiving chemotherapy was achieved and sustained in this small-practice setting using the framework provided by participation in the ASCO Quality Training Program.", "author" : [ { "dropping-particle" : "", "family" : "Hendricks", "given" : "Carolyn B", "non-dropping-particle" : "", "parse-names" : false, "suffix" : "" } ], "container-title" : "J Oncol Pract", "id" : "ITEM-1", "issue" : "3", "issued" : { "date-parts" : [ [ "2015" ] ] }, "page" : "216-218", "publisher" : "by American Society of Clinical Oncology", "publisher-place" : "United States", "title" : "Improving adherence with oral antiemetic agents in patients with breast cancer receiving chemotherapy.", "type" : "article-journal", "volume" : "11" }, "uris" : [ "http://www.mendeley.com/documents/?uuid=79781b7e-da5a-40aa-bb1a-2adedd6de94d" ] } ], "mendeley" : { "formattedCitation" : "[55]", "plainTextFormattedCitation" : "[55]", "previouslyFormattedCitation" : "[55]"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[55]</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Hendricks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Oncology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adherence with oral antiemetic agents in patients with breast cancer receiving chemotherapy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"10.1111/nicc.12186 [doi]", "ISSN" : "14785153 13621017", "abstract" : "BACKGROUND: Health care associated infections are a major contributor to avoidable harm experienced by patients in modern health care settings. Recent reports suggest that electronic checklists for the documentation of a central line bundle may significantly enhance documented process compliance and help to reduce catheter-related bloodstream infection rates. AIMS: This paper describes the use of our electronic tool to monitor and feedback process compliance in conjunction of introducing bespoke central line insertion packs to tackle catheter-related bloodstream infections in our intensive care unit in a medium-sized district general hospital. DESIGN AND METHODS: Continuous quality improvement programme with 'Plan-Do-Study-Act' cycles was implemented. The central venous catheter insertion and maintenance bundle was rolled out in 2007. To monitor compliance with the bundle elements, an electronic tool was designed as part of our bedside Clinical Information System. From 2009, regular quarterly feedback was provided on the number of central venous catheter lines inserted, compliance with the insertion and maintenance bundle and catheter-related bloodstream infection rate using the data collected through the Clinical Information System. We have also introduced dedicated line insertion trolleys and factory-prepared insertion packs. We used segmented regression analysis to assess the changes in the catheter-related bloodstream infection rate before and after implementation of the central venous catheter bundle. RESULTS: Bundle compliance increased during the implementation period and reached over 95% within 6 months. We observed a significant reduction in the catheter-related bloodstream infection rate from 15.6/1000 days to 0.4/1000 days. Regression analysis showed that only the compliance had significant effect on the number and prevalence of catheter-related bloodstream infections. CONCLUSION/IMPLICATIONS: Implementation of evidence-based care bundles reinforced by real-time feedback on the performance of caregivers can significantly reduce the rate of catheter-related bloodstream infection in the intensive care unit. Ensuring that change processes are seamlessly integrated in the workflow with minimal administrative burden is crucial to the quality improvement process.", "author" : [ { "dropping-particle" : "", "family" : "Hermon", "given" : "A", "non-dropping-particle" : "", "parse-names" : false, "suffix" : "" }, { "dropping-particle" : "", "family" : "Pain", "given" : "T", "non-dropping-particle" : "", "parse-names" : false, "suffix" : "" }, { "dropping-particle" : "", "family" : "Beckett", "given" : "P", "non-dropping-particle" : "", "parse-names" : false, "suffix" : "" }, { "dropping-particle" : "", "family" : "Jerrett", "given" : "H", "non-dropping-particle" : "", "parse-names" : false, "suffix" : "" }, { "dropping-particle" : "", "family" : "Llewellyn", "given" : "N", "non-dropping-particle" : "", "parse-names" : false, "suffix" : "" }, { "dropping-particle" : "", "family" : "Lawrence", "given" : "P", "non-dropping-particle" : "", "parse-names" : false, "suffix" : "" }, { "dropping-particle" : "", "family" : "Szakmany", "given" : "T", "non-dropping-particle" : "", "parse-names" : false, "suffix" : "" } ], "container-title" : "Nursing in critical care", "id" : "ITEM-1", "issue" : "4 PG  - 196-203", "issued" : { "date-parts" : [ [ "2015" ] ] }, "note" : "S\u00f8ren Valgreen Knudsen (2016-12-03 20:03:32)(Select): de n\u00e6ver det kun i abstract, men s\u00e5 m\u00e5 vi jo forvente at de har brugt den. S\u00e5 jeg tager den med og s\u00e5 m\u00e5 vi tage den ud i databehandling; Henrik V. B. Laursen (2016-11-30 00:38:12)(Select): de siger de bruger det, men kan ikke finde det i teksten... ;", "page" : "196-203", "publisher" : "British Association of Critical Care Nurses", "publisher-place" : "England", "title" : "Improving compliance with central venous catheter care bundles using electronic records", "type" : "article-journal", "volume" : "20" }, "uris" : [ "http://www.mendeley.com/documents/?uuid=396487a2-e8c5-4e9b-a695-61168f1339b8" ] } ], "mendeley" : { "formattedCitation" : "[56]", "plainTextFormattedCitation" : "[56]", "previouslyFormattedCitation" : "[56]"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[56]</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Hermon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Wales</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compliance with central venous catheter care bundles using electronic records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CQI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"10.3233/WOR-152014", "ISBN" : "1875-9270", "ISSN" : "10519815", "PMID" : "25835723", "abstract" : "BACKGROUND Quality improvement initiative focused on staff injury reduction on a specialized inpatient psychiatric unit which offers acute stabilization for children and adolescents with complex high-risk behaviors. OBJECTIVE To utilize quality improvement principles and interventions to reduce staff injuries on a specialized inpatient child/adolescent psychiatric unit. PARTICIPANTS Direct care clinical staff within an inpatient psychiatric unit for patients with co-occurring developmental disabilities and psychiatric illness were the focus of the initiative. Direct care clinical staff and clinical administrators were the active participants in the quality improvement initiative, focusing upon the interactions between staff and patients. METHODS OSHA-recordable injuries were documented to guide initiatives and measure outcomes on weekly run charts with raw data measures of all staff injuries and the number of days elapsed between injuries. Rapid Plan, Do, Study, Act (PDSA) cycles were utilized to test interventions and guide decision making. RESULTS Three months of a structured and systematic intervention trial produced the first adopted interventions in August 2011. The following six months reflected a 65% reduction of staff injuries (from 2.2 injuries per week to 0.77 injuries per week). Between January and August 2011, there were eight OSHA-recordable injuries with an average of 26.5 days between injuries. The average number of days between OSHA-recordable injuries has increased from 26.5 days at baseline to 124 days. CONCLUSIONS An initiative utilizing quality improvement principles reduced staff injuries on an inpatient specialized psychiatric unit. Reliability principles, system adaption, and engagement of the frontline nursing clinicians have proven to be foundational and vital to guide the initiative.", "author" : [ { "dropping-particle" : "", "family" : "Hill", "given" : "Adam K.", "non-dropping-particle" : "", "parse-names" : false, "suffix" : "" }, { "dropping-particle" : "", "family" : "Lind", "given" : "Michael A.", "non-dropping-particle" : "", "parse-names" : false, "suffix" : "" }, { "dropping-particle" : "", "family" : "Tucker", "given" : "Davona", "non-dropping-particle" : "", "parse-names" : false, "suffix" : "" }, { "dropping-particle" : "", "family" : "Nelly", "given" : "Pamela", "non-dropping-particle" : "", "parse-names" : false, "suffix" : "" }, { "dropping-particle" : "", "family" : "Daraiseh", "given" : "Nancy", "non-dropping-particle" : "", "parse-names" : false, "suffix" : "" } ], "container-title" : "Work", "id" : "ITEM-1", "issue" : "1", "issued" : { "date-parts" : [ [ "2015" ] ] }, "page" : "99-111", "publisher-place" : "Netherlands", "title" : "Measurable results: Reducing staff injuries on a specialty psychiatric unit for patients with developmental disabilities", "type" : "article-journal", "volume" : "51" }, "uris" : [ "http://www.mendeley.com/documents/?uuid=e5cd6554-bef8-41b0-94f9-15e32a7fdca2" ] } ], "mendeley" : { "formattedCitation" : "[57]", "plainTextFormattedCitation" : "[57]", "previouslyFormattedCitation" : "[57]"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Hill</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Measurable results: Reducing staff injuries on a specialty psychiatric unit for patients with developmental disabilities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"10.1542/peds.2015-2929", "ISBN" : "0031-4005", "ISSN" : "0031-4005", "PMID" : "27194629", "abstract" : "Dr Holmes conceptualized and designed the improvement initiative and the plan of study; led the project team meetings in phase 1; drafted the initial abstract, introduction, and discussion sections of the manuscript; and reviewed and revised the manuscript; Ms Atwood reviewed and abstracted patient charts, carried out the initial data analysis, drafted the initial results section of the manuscript, drafted the initial tables and fi gures, and reviewed and revised the manuscript; Dr Whalen participated in the project team meetings as newborn nursery medical director, led the community prenatal education sessions, and reviewed and revised the manuscript; Ms Beliveau led the project team meetings in phase 2, drafted the initial methods section of the manuscript, and reviewed and revised the manuscript; Ms Jarvis reviewed and abstracted patient charts, carried out the preliminary data analysis, and reviewed and revised the manuscript; Dr Matulis assisted with data analysis, constructed analyses of means and control charts, and reviewed and revised the manuscript; Dr Ralston participated in the project team meetings as pediatric hospital medicine section chief, assisted in data analysis, and reviewed and revised the manuscript; and all authors approved the fi nal manuscript as submitted.", "author" : [ { "dropping-particle" : "V.", "family" : "Holmes", "given" : "A.", "non-dropping-particle" : "", "parse-names" : false, "suffix" : "" }, { "dropping-particle" : "", "family" : "Atwood", "given" : "E. C.", "non-dropping-particle" : "", "parse-names" : false, "suffix" : "" }, { "dropping-particle" : "", "family" : "Whalen", "given" : "B.", "non-dropping-particle" : "", "parse-names" : false, "suffix" : "" }, { "dropping-particle" : "", "family" : "Beliveau", "given" : "J.", "non-dropping-particle" : "", "parse-names" : false, "suffix" : "" }, { "dropping-particle" : "", "family" : "Jarvis", "given" : "J. D.", "non-dropping-particle" : "", "parse-names" : false, "suffix" : "" }, { "dropping-particle" : "", "family" : "Matulis", "given" : "J. C.", "non-dropping-particle" : "", "parse-names" : false, "suffix" : "" }, { "dropping-particle" : "", "family" : "Ralston", "given" : "S. L.", "non-dropping-particle" : "", "parse-names" : false, "suffix" : "" } ], "container-title" : "Pediatrics", "id" : "ITEM-1", "issue" : "6", "issued" : { "date-parts" : [ [ "2016" ] ] }, "note" : "Henrik V. B. Laursen (2016-11-24 01:33:57)(Select): ingen adgang v aub\n;", "page" : "e20152929-e20152929", "publisher" : "by the American Academy of Pediatrics", "publisher-place" : "United States", "title" : "Rooming-In to Treat Neonatal Abstinence Syndrome: Improved Family-Centered Care at Lower Cost", "type" : "article-journal", "volume" : "137" }, "uris" : [ "http://www.mendeley.com/documents/?uuid=36c01431-eb17-4e44-a09f-1f6d51abe397" ] } ], "mendeley" : { "formattedCitation" : "[58]", "plainTextFormattedCitation" : "[58]", "previouslyFormattedCitation" : "[58]"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Holmes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Rooming-In to Treat Neonatal Abstinence Syndrome: Improved Family-Centered Care at Lower Cost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"10.1155/2016/5625364", "ISSN" : "23146141", "PMID" : "28105426", "abstract" : "Introduction. Early infant diagnosis (EID) of human immunodeficiency virus (HIV) ensures prompt treatment and infant survival. In Kaabong Hospital, 20% of HIV exposed infants (HEIs) had access to HIV diagnosis by eight weeks. We aimed to improve EID of HIV by deoxyribonucleic acid-polymerase chain reaction (DNA-PCR) testing by eight weeks from 20 to 100% between June 2014 and November 2015. Method. In this quality improvement (QI) project, EID data was reviewed, gaps prioritized using theme matrix selection, root causes analyzed using fishbone tool, and improvement changes were selected using counter measures matrix but implemented using Plan-Do-Study-Act cycle. Root causes of low first DNA-PCR testing included maternal EID ignorance, absent lost mother-baby pairs (LMBP) tracking system, and no EID performance reviews. Health education, Continuous Medical Education (CMEs), and integration of laboratory and EID services were initial improvement changes used. Results. DNA-PCR testing increased from 20 to 100% between June 2014 and July 2015 and was sustained at 100% until February 2016. Two declines, 67% in September 2014 and 75% in June 2015, due to LMBP were addressed using expert clients and peer mothers, respectively. Conclusion. Formation of WIT, laboratory service integration at MBCP, and task shifting along EID cascade improved EID outcomes at 6 weeks., Copyright \u00a9 2016 Jonathan Izudi*et al.", "author" : [ { "dropping-particle" : "", "family" : "Izudi", "given" : "Jonathan", "non-dropping-particle" : "", "parse-names" : false, "suffix" : "" }, { "dropping-particle" : "", "family" : "Akot", "given" : "Agnes", "non-dropping-particle" : "", "parse-names" : false, "suffix" : "" }, { "dropping-particle" : "", "family" : "Kisitu", "given" : "Grace Paul", "non-dropping-particle" : "", "parse-names" : false, "suffix" : "" }, { "dropping-particle" : "", "family" : "Amuge", "given" : "Pauline", "non-dropping-particle" : "", "parse-names" : false, "suffix" : "" }, { "dropping-particle" : "", "family" : "Kekitiinwa", "given" : "Adeodata", "non-dropping-particle" : "", "parse-names" : false, "suffix" : "" } ], "container-title" : "BioMed Research International", "id" : "ITEM-1", "issued" : { "date-parts" : [ [ "2016" ] ] }, "title" : "Quality Improvement Interventions for Early HIV Infant Diagnosis in Northeastern Uganda", "type" : "article-journal", "volume" : "2016" }, "uris" : [ "http://www.mendeley.com/documents/?uuid=5647fb12-bf19-44db-8d34-0ae8768cd170" ] } ], "mendeley" : { "formattedCitation" : "[59]", "plainTextFormattedCitation" : "[59]", "previouslyFormattedCitation" : "[59]"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[59]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Izudi</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Uganda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Quality improvement interventions for early HIV infant diagnosis in northeastern uganda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"10.1542/peds.2014-1192", "ISSN" : "0031-4005", "PMID" : "25489011", "abstract" : "Background and Objective: Rapid antibiotic administration is essential for the successful management of patients who have central lines and present with fever. We conducted an emergency department (ED) improvement initiative to deliver antibiotics to 90% of patients within 60 minutes and to minimize process variation.; Methods: Our setting was an academic ED. We assembled a multidisciplinary team, identified contributing factors to the care delivery problem, determined key drivers and intervention steps, implemented changes, and used strategies to engage ED staff and promote sustainability. Outcomes were analyzed by using a time series design with baseline data and continuous postintervention monitoring. Outcomes included percentage of patients receiving antibiotics within 60 minutes, time to antibiotic administration, and accuracy for triage acuity and chief complaint.; Results: An 8-month baseline period revealed that 63% of patients received antibiotics within 60 minutes of arrival, with a mean time to antibiotics of 65 minutes. Multiple Plan-Do-Study-Act (PDSA) cycles were used to improve patient identification and initial management processes. The percentage of patients receiving antibiotics within 60 minutes of arrival was increased to 99% (297 of 301), and mean time to administration decreased to 30 minutes (95% confidence interval: 28-32). These gains were sustained for 24 months. Subanalysis identified a racial discrepancy, with African American patients experiencing significantly longer delays than patients of other races (95 vs 61 minutes; P &lt; .05); this discrepancy was eliminated with our initiative.; Conclusions: Our initiative exceeded our goal of 90% antibiotic delivery within 60 minutes for a sustained period of at least 24 months, decreased process variation and mean time to antibiotic administration, and eliminated race-based discrepancies in care.; Copyright \u00a9 2015 by the American Academy of Pediatrics.", "author" : [ { "dropping-particle" : "", "family" : "Jobson", "given" : "M.", "non-dropping-particle" : "", "parse-names" : false, "suffix" : "" }, { "dropping-particle" : "", "family" : "Sandrof", "given" : "M.", "non-dropping-particle" : "", "parse-names" : false, "suffix" : "" }, { "dropping-particle" : "", "family" : "Valeriote", "given" : "T.", "non-dropping-particle" : "", "parse-names" : false, "suffix" : "" }, { "dropping-particle" : "", "family" : "Liberty", "given" : "A. L.", "non-dropping-particle" : "", "parse-names" : false, "suffix" : "" }, { "dropping-particle" : "", "family" : "Walsh-Kelly", "given" : "C.", "non-dropping-particle" : "", "parse-names" : false, "suffix" : "" }, { "dropping-particle" : "", "family" : "Jackson", "given" : "C.", "non-dropping-particle" : "", "parse-names" : false, "suffix" : "" } ], "container-title" : "Pediatrics", "id" : "ITEM-1", "issue" : "1", "issued" : { "date-parts" : [ [ "2015" ] ] }, "page" : "e187-e195", "publisher" : "by the American Academy of Pediatrics", "publisher-place" : "United States", "title" : "Decreasing Time to Antibiotics in Febrile Patients With Central Lines in the Emergency Department", "type" : "article-journal", "volume" : "135" }, "uris" : [ "http://www.mendeley.com/documents/?uuid=5655d1a2-5c98-42af-9f0d-abbe9c3c34ee" ] } ], "mendeley" : { "formattedCitation" : "[60]", "plainTextFormattedCitation" : "[60]", "previouslyFormattedCitation" : "[60]"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[60]</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Jobson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Decreasing time to antibiotics in febrile patients with central lines in the emergency department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"10.1542/hpeds.2015-0099", "ISBN" : "2154-1663", "ISSN" : "21541663", "PMID" : "26631502", "abstract" : "OBJECTIVE Achieving high-value health care is a goal of health care providers who strive to increase quality and decrease cost. Decreasing laboratory tests is a potential method to increase value. We used quality improvement methodology to decrease the percentage of unnecessary complete blood counts (CBCs) and basic metabolic panels (BMPs) obtained on a pediatric hospital medicine service from 13.5% to &lt;5%. METHODS A pre- and postintervention design was conducted including all patients admitted to 2 hospital medicine teams between May 2013 and December 2014. Multiple interventions linked to key drivers were tested through rapid plan-do-study-act cycles. Primary and secondary outcome measures, percent reduction of unnecessary CBCs and BMPs, and consecutive day tests were analyzed using statistical process control. Total billed charges, laboratory charges, 7-day readmission rates, and length of stay were compared pre- and postintervention. RESULTS Primary outcome of unnecessary CBCs and BMPs was reduced from a baseline of 13.5% to 4.5%. Secondary outcome measure of consecutive day testing was reduced from 20.9% to 8.5%. Median laboratory charges decreased significantly ($842 [$256-$1863] vs $800 [$222-$1616], P = .002), with no significant differences in total billed charges, 7-day readmission rates, or length of stay. CONCLUSIONS Rapid cycle plan-do-study-act methodology, initially focusing on the inclusion of a daily laboratory plan in progress notes, was an effective means to improve laboratory utilization and decrease laboratory charges without adversely affecting other quality measures. Spreading these efforts to different patient populations and laboratory tests could have a demonstrable effect on the value of health care.", "author" : [ { "dropping-particle" : "", "family" : "Johnson", "given" : "David P.", "non-dropping-particle" : "", "parse-names" : false, "suffix" : "" }, { "dropping-particle" : "", "family" : "Lind", "given" : "Carrie", "non-dropping-particle" : "", "parse-names" : false, "suffix" : "" }, { "dropping-particle" : "", "family" : "Parker", "given" : "Sarah E.S.", "non-dropping-particle" : "", "parse-names" : false, "suffix" : "" }, { "dropping-particle" : "", "family" : "Beuschel", "given" : "Christian", "non-dropping-particle" : "", "parse-names" : false, "suffix" : "" }, { "dropping-particle" : "", "family" : "VanVliet", "given" : "Stacey", "non-dropping-particle" : "", "parse-names" : false, "suffix" : "" }, { "dropping-particle" : "", "family" : "Nichols", "given" : "James", "non-dropping-particle" : "", "parse-names" : false, "suffix" : "" }, { "dropping-particle" : "", "family" : "Rauch", "given" : "Carol A.", "non-dropping-particle" : "", "parse-names" : false, "suffix" : "" }, { "dropping-particle" : "", "family" : "Lee", "given" : "Brenda", "non-dropping-particle" : "", "parse-names" : false, "suffix" : "" }, { "dropping-particle" : "", "family" : "Muething", "given" : "Stephen E.", "non-dropping-particle" : "", "parse-names" : false, "suffix" : "" } ], "container-title" : "Hospital pediatrics", "id" : "ITEM-1", "issue" : "1", "issued" : { "date-parts" : [ [ "2016" ] ] }, "note" : "S\u00f8ren Valgreen Knudsen (2016-12-05 21:13:20)(Select): Den har vi p\u00e5 print; Henrik V. B. Laursen (2016-11-24 00:12:04)(Select): INGEN ADGANG V. AUB;", "page" : "1-8", "publisher" : "by the American Academy of Pediatrics", "publisher-place" : "United States", "title" : "Toward High-Value Care: A Quality Improvement Initiative to Reduce Unnecessary Repeat Complete Blood Counts and Basic Metabolic Panels on a Pediatric Hospitalist Service", "type" : "article-journal", "volume" : "6" }, "uris" : [ "http://www.mendeley.com/documents/?uuid=b9d0b778-c52e-42dc-97df-8fb6bf1d61fb" ] } ], "mendeley" : { "formattedCitation" : "[61]", "plainTextFormattedCitation" : "[61]", "previouslyFormattedCitation" : "[61]"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[61]</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Johnson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Toward High-Value Care: A Quality Improvement Initiative to Reduce Unnecessary Repeat Complete Blood Counts and Basic Metabolic Panels on a Pediatric Hospitalist Service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"10.1097/NCQ.0000000000000076", "ISBN" : "0000000000000", "ISSN" : "15505065", "PMID" : "24977790", "abstract" : "This article describes a hospital unit's successful central line\u2013associated bloodstream infection reduction project. The focus is on decreasing and sustaining a low rate of infection by targeting improvement in central line maintenance. The Consolidated Framework for Implementation Re-search's 5 interacting domains (the intervention, inner and outer settings, individuals involved, and process) were used to guide the selection of 4 Plan-Do-Study-Act interventions. The rate decreased the rate from 3.2 to 0.6 infections per 1000 catheter-days. Key words: bacterial infections/prevention and control, central line\u2013associated bloodstream infections (CLAB-SIs), central venous/adverse effects, Consolidated Framework for Implementation Research, evidence-based nursing, Plan-Do-Study-Act T HE quest to eliminate central line\u2013 associated bloodstream infections (CLABSIs) continues to challenge health care clinicians. Approximately 70% of CLABSIs ap-pear preventable. 1 It has long been accepted that increased duration of a central line leads to higher infection rates 2 ; consequently, there may be more infections outside the intensive care units where central venous access is needed for extended periods of time. 3 During this time, patients can be colonized with hospital-acquired organisms and a catheter may be manipulated multiple times per day for the administration of fluids, drugs, and blood products. 4 Accessing the central line for blood drawing creates an additional opportunity for contamination. The Institute for Health Care Improve-ment's best practice recommendations are to use the Central Line Bundle that in-corporates a multimodal approach includ-ing hand washing, full barrier precautions, chlorhexidine for skin antisepsis, avoidance of femoral catheters, and removal of unneces-sary catheters. 5 However, in this group of hos-pitalized patients with long-term catheters, novel methods of surveillance, prevention, and treatment need to be developed to fur-ther reduce the incidence of CLABSIs. 6 The purpose of this article was to describe one acute care unit's successful nursing CLABSI re-duction project and the elements used to im-plement and sustain the results over 5 years.", "author" : [ { "dropping-particle" : "", "family" : "Jones", "given" : "Carla M.", "non-dropping-particle" : "", "parse-names" : false, "suffix" : "" }, { "dropping-particle" : "", "family" : "Stewart", "given" : "Cheryl", "non-dropping-particle" : "", "parse-names" : false, "suffix" : "" }, { "dropping-particle" : "", "family" : "Roszell", "given" : "Sheila Serr", "non-dropping-particle" : "", "parse-names" : false, "suffix" : "" } ], "container-title" : "Journal of Nursing Care Quality", "id" : "ITEM-1", "issue" : "1", "issued" : { "date-parts" : [ [ "2015" ] ] }, "note" : "Henrik V. B. Laursen (2016-11-24 22:41:17)(Select): ingen adgang via aub;", "page" : "24-30", "publisher-place" : "United States", "title" : "Beyond best practice implementing a unit-based CLABSI project", "type" : "article-journal", "volume" : "30" }, "uris" : [ "http://www.mendeley.com/documents/?uuid=afdec411-9e57-4c5b-8f90-b8441d480c14" ] } ], "mendeley" : { "formattedCitation" : "[62]", "plainTextFormattedCitation" : "[62]", "previouslyFormattedCitation" : "[62]"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[62]</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Jones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Beyond best practice: Implementing a unit-based CLABSI project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"10.1200/JOP.2016.013797", "ISSN" : "1554-7477", "author" : [ { "dropping-particle" : "", "family" : "Kaur", "given" : "Varinder", "non-dropping-particle" : "", "parse-names" : false, "suffix" : "" }, { "dropping-particle" : "", "family" : "Haider", "given" : "Sajjad", "non-dropping-particle" : "", "parse-names" : false, "suffix" : "" }, { "dropping-particle" : "", "family" : "Sasapu", "given" : "Appalanaidu", "non-dropping-particle" : "", "parse-names" : false, "suffix" : "" }, { "dropping-particle" : "", "family" : "Mehta", "given" : "Paulette", "non-dropping-particle" : "", "parse-names" : false, "suffix" : "" }, { "dropping-particle" : "", "family" : "Arnaoutakis", "given" : "Konstantinos", "non-dropping-particle" : "", "parse-names" : false, "suffix" : "" }, { "dropping-particle" : "", "family" : "Makhoul", "given" : "Issam", "non-dropping-particle" : "", "parse-names" : false, "suffix" : "" } ], "container-title" : "Journal of Oncology Practice", "id" : "ITEM-1", "issue" : "1", "issued" : { "date-parts" : [ [ "2017" ] ] }, "page" : "e91-e97", "title" : "Addressing Opioid-Associated Constipation Using Quality Oncology Practice Initiative Scores and Plan-Do-Study-Act Cycles", "type" : "article-journal", "volume" : "13" }, "uris" : [ "http://www.mendeley.com/documents/?uuid=3603ec1e-e63d-45bc-83de-4a0698f6941e" ] } ], "mendeley" : { "formattedCitation" : "[63]", "plainTextFormattedCitation" : "[63]", "previouslyFormattedCitation" : "[63]"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[63]</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Kaur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Canada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Adressing Opiod-Associated constipation using quality oncology practice initiative scores and plan-do-study-act cycles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"10.1136/bmjquality.u205967.w2458", "ISSN" : "2050-1315", "PMID" : "27933148", "abstract" : "The aim of the project was to improve patient experience for people in Tower Hamlets Specialist Addictions Unit in order to increase satisfaction by 25% in 12 months starting in August 2014. The team used the model for improvement as part of ELFT's quality improvement programme to support iterative cycles of testing and learning. This involved support from the Trust's quality improvement team. The theory of change was visualised through a driver diagram. A number of outcomes were measured and plotted over time - patient satisfaction, staff satisfaction, and attendance to peer support groups. The impact of changes was then observed using the plan, do, study, act (PDSA) cycles. The changes that positively influenced the outcomes were continued and ones without such impact were discontinued. The most successful intervention to improve patient satisfaction so far was the introduction of peer support facilitation for the \"Breakfast club\" - recovery orientated meeting of patients with less emphasis on the medical aspects of treatment. Staff satisfaction is proven to be one of the best determinants of patient experience, so this is also measured and plotted over time together with patient's satisfaction and attendance. Service user satisfaction improves attendance and outcomes in this difficult-to-engage group of patients (people with both substance misuse and mental health problems). Patient perspectives and priorities might be quite different to that of the clinical team, further supporting the importance of involving and engaging them in any quality improvement work. Involving peer support workers in improving engagement of people with substance misuse related problems appears essential.", "author" : [ { "dropping-particle" : "", "family" : "Kulik", "given" : "Wiktor", "non-dropping-particle" : "", "parse-names" : false, "suffix" : "" }, { "dropping-particle" : "", "family" : "Shah", "given" : "Amar", "non-dropping-particle" : "", "parse-names" : false, "suffix" : "" } ], "container-title" : "BMJ Quality Improvement Reports", "id" : "ITEM-1", "issue" : "1", "issued" : { "date-parts" : [ [ "2016" ] ] }, "page" : "u205967.w2458", "title" : "Role of peer support workers in improving patient experience in Tower Hamlets Specialist Addiction Unit", "type" : "article-journal", "volume" : "5" }, "uris" : [ "http://www.mendeley.com/documents/?uuid=8e11daa3-5ce1-4739-a5b5-33a6b456be8b" ] } ], "mendeley" : { "formattedCitation" : "[64]", "plainTextFormattedCitation" : "[64]", "previouslyFormattedCitation" : "[64]"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[64]</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Kulik</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Role of peer support workers in improving patient experience in Tower Hamlets Specialist Addiction Unit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 xml:space="preserve">4 - details of cycles including seperated information on stages of </w:t>
            </w:r>
            <w:r w:rsidRPr="009A13A8">
              <w:rPr>
                <w:rFonts w:ascii="Arial" w:eastAsia="Times New Roman" w:hAnsi="Arial" w:cs="Arial"/>
                <w:sz w:val="16"/>
                <w:szCs w:val="16"/>
                <w:lang w:eastAsia="en-GB"/>
              </w:rPr>
              <w:lastRenderedPageBreak/>
              <w:t>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lastRenderedPageBreak/>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fldChar w:fldCharType="begin" w:fldLock="1"/>
            </w:r>
            <w:r w:rsidR="00BE7B49" w:rsidRPr="009A13A8">
              <w:rPr>
                <w:rFonts w:ascii="Arial" w:eastAsia="Times New Roman" w:hAnsi="Arial" w:cs="Arial"/>
                <w:sz w:val="16"/>
                <w:szCs w:val="16"/>
                <w:lang w:eastAsia="en-GB"/>
              </w:rPr>
              <w:instrText>ADDIN CSL_CITATION { "citationItems" : [ { "id" : "ITEM-1", "itemData" : { "DOI" : "10.1016/j.mjafi.2015.01.011", "ISBN" : "0377-1237 (Print)\\r0377-1237", "ISSN" : "22134743", "PMID" : "26900225", "abstract" : "Background: Medical stores management in hospitals is a tedious and time consuming chore with limited resources tasked for the purpose and poor penetration of Information Technology. The process of automation is slow paced due to various inherent factors and is being challenged by the increasing inventory loads and escalating budgets for procurement of drugs. Methods: We carried out an indepth case study at the Medical Stores of a tertiary care health care facility. An iterative six step Quality Improvement (QI) process was implemented based on the Plan-Do-Study-Act (PDSA) cycle. The QI process was modified as per requirement to fit the medical stores management model. The results were evaluated after six months. Results: After the implementation of QI process, 55 drugs of the medical store inventory which had expired since 2009 onwards were replaced with fresh stock by the suppliers as a result of effective communication through upgraded database management. Various pending audit objections were dropped due to the streamlined documentation and processes. Inventory management improved drastically due to automation, with disposal orders being initiated four months prior to the expiry of drugs and correct demands being generated two months prior to depletion of stocks. The monthly expense summary of drugs was now being done within ten days of the closing month. Conclusion: Improving communication systems within the hospital with vendor database management and reaching out to clinicians is important. Automation of inventory management requires to be simple and user-friendly, utilizing existing hardware. Physical stores monitoring is indispensable, especially due to the scattered nature of stores. Staff training and standardized documentation protocols are the other keystones for optimal medical store management.", "author" : [ { "dropping-particle" : "", "family" : "Kumar", "given" : "Ashok", "non-dropping-particle" : "", "parse-names" : false, "suffix" : "" }, { "dropping-particle" : "", "family" : "Cariappa", "given" : "M. P.", "non-dropping-particle" : "", "parse-names" : false, "suffix" : "" }, { "dropping-particle" : "", "family" : "Marwaha", "given" : "Vishal", "non-dropping-particle" : "", "parse-names" : false, "suffix" : "" }, { "dropping-particle" : "", "family" : "Sharma", "given" : "Mukti", "non-dropping-particle" : "", "parse-names" : false, "suffix" : "" }, { "dropping-particle" : "", "family" : "Arora", "given" : "Manu", "non-dropping-particle" : "", "parse-names" : false, "suffix" : "" } ], "container-title" : "Medical Journal Armed Forces India", "id" : "ITEM-1", "issue" : "1", "issued" : { "date-parts" : [ [ "2016" ] ] }, "page" : "61-66", "publisher" : "Director General, Armed Forces Medical Services", "title" : "Improving medical stores management through automation and effective communication", "type" : "article-journal", "volume" : "72" }, "uris" : [ "http://www.mendeley.com/documents/?uuid=f4b1e125-35bd-4978-b31f-5e3e1473d7ef" ] } ], "mendeley" : { "formattedCitation" : "[65]", "plainTextFormattedCitation" : "[65]", "previouslyFormattedCitation" : "[65]"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[65]</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Kumar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India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medical stores management through automation and effective communication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A912A6"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"10.1016/j.jacr.2015.12.003 [doi]", "ISSN" : "1558349X", "abstract" : "Percutaneous renal transplant biopsy (PRTB) is the gold standard for evaluating allograft rejection after renal transplant. Hemorrhage is the predominant complication. We describe the implementation of a standardized protocol for PRTB at a single institution, with the aim of reducing bleeding complications. Utilizing the plan-do-study-act model for quality improvement, we created and deployed a protocol centered on controlling patient's hypertension, platelet function, and anticoagulation status. The 4-year study encompassed a total of 880 PRTBs, before and after implementation of the protocol. Total complication rate, which was 5.8% in the 2 years leading up to implementation of the protocol, was reduced to 2.9% after the protocol was introduced (P = .04). A standardized approach to PRTB can potentially lower complication rates; we present a framework for implementating a quality improvement protocol at other institutions.", "author" : [ { "dropping-particle" : "", "family" : "Li", "given" : "C H", "non-dropping-particle" : "", "parse-names" : false, "suffix" : "" }, { "dropping-particle" : "", "family" : "Traube", "given" : "L E", "non-dropping-particle" : "", "parse-names" : false, "suffix" : "" }, { "dropping-particle" : "", "family" : "Lu", "given" : "D S", "non-dropping-particle" : "", "parse-names" : false, "suffix" : "" }, { "dropping-particle" : "", "family" : "Raman", "given" : "S S", "non-dropping-particle" : "", "parse-names" : false, "suffix" : "" }, { "dropping-particle" : "", "family" : "...", "given" : "", "non-dropping-particle" : "", "parse-names" : false, "suffix" : "" } ], "container-title" : "Journal of the American \u2026", "id" : "ITEM-1", "issue" : "5 PG  - 549-553", "issued" : { "date-parts" : [ [ "2016" ] ] }, "note" : "S\u00f8ren Valgreen Knudsen (2016-12-01 03:30:16)(Select): de bruger det meget kort, men det er vel PDSA anvendelse; Henrik V. B. Laursen (2016-11-24 20:41:04)(Select): ingen adgang via aub;", "page" : "549-553", "publisher" : "American College of Radiology. Published by Elsevier Inc. All rights reserved", "publisher-place" : "United States", "title" : "Implementation and Results of a Percutaneous Renal Allograft Biopsy Protocol to Reduce Complication Rate", "type" : "article-journal", "volume" : "13" }, "uris" : [ "http://www.mendeley.com/documents/?uuid=01a90724-9165-45c7-b265-759b6af1161c" ] } ], "mendeley" : { "formattedCitation" : "[66]", "plainTextFormattedCitation" : "[66]", "previouslyFormattedCitation" : "[66]"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[66]</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Li</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Implementation and Results of a Percutaneous Renal Allograft Biopsy Protocol to Reduce Complication Rate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"10.1177/1043454215610490", "ISBN" : "1043-4542", "ISSN" : "15328457", "PMID" : "26668214", "abstract" : "The administration of chemotherapy to children with cancer is a high-risk process that must be performed in a safe and consistent manner with high reliability. Clinical trials play a major role in the treatment of children with cancer; conformance to chemotherapy protocol requirements and accurate documentation in the medical record are critical. Inconsistencies in the administration and documentation of chemotherapy were identified as opportunities for errors to occur. A major process improvement was initiated to establish best practices for nurses who administer chemotherapy to children. An interdisciplinary team was formed to evaluate the current process and to develop best practices based on current evidence, protocol requirements, available resources, and safety requirements. The process improvement focused on the establishment of standardized and safe administration techniques, exact administration times, and consistent electronic documentation that could easily be retrieved in medical record audits. Quality improvement tools including SBAR (Situation, Background, Assessment, Recommendation), process mapping, PDSA (Plan, Do. Study, Act) cycles, and quality metrics were used with this process improvement. The team established best practices in chemotherapy administration to children that have proven to be safe and reliable. Follow-up data have demonstrated that the project was highly successful and improved accuracy, patient and nurse safety, and effectiveness of chemotherapy administration.", "author" : [ { "dropping-particle" : "", "family" : "Looper", "given" : "Karen", "non-dropping-particle" : "", "parse-names" : false, "suffix" : "" }, { "dropping-particle" : "", "family" : "Winchester", "given" : "Kari", "non-dropping-particle" : "", "parse-names" : false, "suffix" : "" }, { "dropping-particle" : "", "family" : "Robinson", "given" : "Deborah", "non-dropping-particle" : "", "parse-names" : false, "suffix" : "" }, { "dropping-particle" : "", "family" : "Price", "given" : "Andrea", "non-dropping-particle" : "", "parse-names" : false, "suffix" : "" }, { "dropping-particle" : "", "family" : "Langley", "given" : "Rachel", "non-dropping-particle" : "", "parse-names" : false, "suffix" : "" }, { "dropping-particle" : "", "family" : "Martin", "given" : "Gina", "non-dropping-particle" : "", "parse-names" : false, "suffix" : "" }, { "dropping-particle" : "", "family" : "Jones", "given" : "Sally", "non-dropping-particle" : "", "parse-names" : false, "suffix" : "" }, { "dropping-particle" : "", "family" : "Holloway", "given" : "Jodi", "non-dropping-particle" : "", "parse-names" : false, "suffix" : "" }, { "dropping-particle" : "", "family" : "Rosenberg", "given" : "Susanne", "non-dropping-particle" : "", "parse-names" : false, "suffix" : "" }, { "dropping-particle" : "", "family" : "Flake", "given" : "Susan", "non-dropping-particle" : "", "parse-names" : false, "suffix" : "" } ], "container-title" : "Journal of Pediatric Oncology Nursing", "id" : "ITEM-1", "issue" : "3", "issued" : { "date-parts" : [ [ "2015" ] ] }, "page" : "165-172", "publisher" : "by Association of Pediatric Hematology/Oncology Nurses", "publisher-place" : "United States", "title" : "Best Practices for Chemotherapy Administration in Pediatric Oncology: Quality and Safety Process Improvements (2015)", "type" : "article-journal", "volume" : "33" }, "uris" : [ "http://www.mendeley.com/documents/?uuid=9f6fdaf4-90bb-443f-82ed-5f47faedcdda" ] } ], "mendeley" : { "formattedCitation" : "[67]", "plainTextFormattedCitation" : "[67]", "previouslyFormattedCitation" : "[67]"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Looper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Oncology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Best Practices for Chemotherapy Administration in Pediatric Oncology: Quality and Safety Process Improvements (2015)</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"10.1080/13651501.2016.1235203", "ISBN" : "1365-1501", "ISSN" : "14711788", "PMID" : "27686183", "abstract" : "OBJECTIVE: Patients admitted to a psychiatric hospital commonly suffer from comorbid medical problems which sometimes require urgent medical attention. Twenty-two percent of emergency medical transfers from the Institute of Mental Health (IMH) to the emergency rooms of general hospitals were preventable and could be managed at IMH itself. We undertook a quality improvement project to understand the reasons behind such preventable referrals and implemented changes to address this. METHODS: Using the model for improvement, we deconstructed our processes and analysed root causes for such preventable referrals. Thereafter changes were implemented with Plan-Do-Study-Act (PDSA) cycles to analyse their outcomes. RESULTS: During the 6-month study period, we achieved a 100% reduction in preventable referrals through strategies aimed at reducing pressure on our on-call physicians in the making of medical decisions, maximising usage of our medical resources, constant education and raising awareness of this issue. CONCLUSIONS: Reducing preventable transfer of inpatients from a psychiatric hospital to the emergency departments of general hospitals is a worthwhile endeavour. Such initiatives optimise use of healthcare resources, improve patient care and increase satisfaction.", "author" : [ { "dropping-particle" : "", "family" : "Low", "given" : "Tchern Kuang Lambert", "non-dropping-particle" : "", "parse-names" : false, "suffix" : "" }, { "dropping-particle" : "", "family" : "Tay", "given" : "Kai Hong", "non-dropping-particle" : "", "parse-names" : false, "suffix" : "" }, { "dropping-particle" : "", "family" : "Fang", "given" : "Tina", "non-dropping-particle" : "", "parse-names" : false, "suffix" : "" }, { "dropping-particle" : "", "family" : "Fung", "given" : "Daniel Shuen Sheng", "non-dropping-particle" : "", "parse-names" : false, "suffix" : "" } ], "container-title" : "International Journal of Psychiatry in Clinical Practice", "id" : "ITEM-1", "issue" : "1", "issued" : { "date-parts" : [ [ "2017" ] ] }, "page" : "50-57", "publisher" : "Informa UK Limited, trading as Taylor 8 Francis Group", "title" : "Reducing transfers of psychiatric inpatients to emergency rooms of general hospitals in Singapore: a clinical practice improvement project", "type" : "article-journal", "volume" : "21" }, "uris" : [ "http://www.mendeley.com/documents/?uuid=374c53a1-ec3f-43e0-9558-c0b79defc616" ] } ], "mendeley" : { "formattedCitation" : "[68]", "plainTextFormattedCitation" : "[68]", "previouslyFormattedCitation" : "[68]"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Low</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Singapore</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Reducing transfers of psychiatric inpatients to emergency rooms of general hospitals in Singapore: a clinical practice improvement project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"10.1136/bmjquality.u209473.w3887 [doi]", "ISSN" : "2050-1315", "abstract" : "Gulshan &amp; Nanji Orthopaedic and Plastics Center at the North York General Hospital is the second busiest site after the emergency department serving more than 26,000 patients annually. Increase in patient flow, overworked staff, and recent renovations to the hospital have resulted in patients experiencing long wait times, and thusly patient dissatisfaction and stress. Several factors contribute to patient dissatisfaction and stress: i) poor and unfriendly signage; ii) inconsistent utilization of the numbering system; and iii) difficulty navigating to and from the imaging center. A multidisciplinary QI team was assembled to improve the patient experience. We developed a questionnaire to assess patient stress levels at the baseline. Overall, more than half of the patients (54.8%) strongly agreed or agreed to having a stressful waiting experience. Subsequently, based on patient feedback and staff perspectives, we implemented two PDSA cycles. For PDSA 1, we placed a floor graphic (i.e. black tape) to assist patients in navigating from the clinic to the imaging centre and back. For PDSA 2, we involved creating a single 21\"x32\" patient-friendly sign at the entrance to welcome patients, with clear instructions outlining registration procedures. Surveys were re-administered to assess patient stress levels. A combination of both interventions caused a statistically significant reduction in patient stress levels based on the Kruskal-Wallis and Mann-Whitney U Tests. The present project highlighted the importance of involving stakeholders as well as frontline staff when undertaking quality improvement projects as a way to identify bottlenecks as well as establish sustainable solutions. Additionally, the team recognized the importance of incorporating empirical based solutions and involving experts in the field to optimize results. The present project successfully implemented strategies to improve patient satisfaction and reduce stress in a high flow community clinic. These endpoints were achieved by incorporating patient friendly signage, as well as improving patient flow directors.", "author" : [ { "dropping-particle" : "", "family" : "Maqbool", "given" : "T", "non-dropping-particle" : "", "parse-names" : false, "suffix" : "" }, { "dropping-particle" : "", "family" : "Raju", "given" : "S", "non-dropping-particle" : "", "parse-names" : false, "suffix" : "" }, { "dropping-particle" : "", "family" : "In", "given" : "E", "non-dropping-particle" : "", "parse-names" : false, "suffix" : "" } ], "container-title" : "BMJ quality improvement reports", "id" : "ITEM-1", "issue" : "1 PG  - 10.1136/bmjquality.u209473.w3887. eCollection 2016", "issued" : { "date-parts" : [ [ "2016" ] ] }, "note" : "Henrik V. B. Laursen (2016-11-24 20:20:41)(Select): suppl 1 og 2: http://qir.bmj.com/content/5/1/u209473.w3887/suppl/DC1\nhttp://qir.bmj.com/content/5/1/u209473.w3887/suppl/DC2;", "page" : "10.1136/bmjquality.u209473.w3887. eCollection 2016", "publisher-place" : "England", "title" : "Importance of patient-centred signage and navigation guide in an orthopaedic and plastics clinic", "type" : "article-journal", "volume" : "5" }, "uris" : [ "http://www.mendeley.com/documents/?uuid=1c877af5-6c7d-4d17-b979-054a6d8fe1e2" ] } ], "mendeley" : { "formattedCitation" : "[69]", "plainTextFormattedCitation" : "[69]", "previouslyFormattedCitation" : "[69]"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[69]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Maqbool</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Canada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Importance of patient-centred signage and navigation guide in an orthopaedic and plastics clinic</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"10.1200/JOP.2014.000414", "ISBN" : "0732-183X", "ISSN" : "1554-7477", "PMID" : "25628388", "abstract" : "Background: Pre-treatment dental evaluations are recommended for head and neck (H&amp;N) cancer patients (pts) prior to radiation therapy (RT) to minimize the risk of acute and long-term side effects of treatment. We previously created a dental instructional guide (DIG) outlining the necessary components of the pre-radiation dental evaluation for pts undergoing community-based dental evaluation. Yet our program did not have a system for documenting which pts received the DIG. We aimed to create a system to ensure that pts are given the DIG early in their care-plan and that such pts are readily identifiable so we can follow-up and confirm that the recommended dental care is complete prior to starting RT. Methods: Chart review was performed to determine the percentage of eligible pts with documented provision of the DIG. A diagnostic survey of H&amp;N oncology clinicians was analyzed with a Pareto chart to determine common barriers to DIG provision and documentation. Clinicians were surveyed on potential ways to document DIG provision to eligible pts. The Model for Improvement and DMAIC (Six Sigma) methodologies were used and multiple Plan-Do-Study-Act (PDSA) cycles were performed to implement the intervention and monitor change. Change data was analyzed using a P-chart, 3-sigma. Results: We used a process map to identify 3 potential care-plans within the H&amp;N oncology program and assist in defining which providers had primary responsibility for providing the DIG. We then designed and implemented a template within the electronic medical record that documents the clinician who gave the DIG and the date it was given. There was an improvement in the rate of DIG documentation from a baseline of 0% (range 0-0%) to a mean of 40% (range 0-100%) over 3-months (p&lt;0.01). This improvement was sustained through last follow-up at 5 months. Conclusions: Through a multidisciplinary approach, we implemented an intervention to identify pts undergoing community-based dental evaluation prior to RT for H&amp;N cancer. Further efforts are focused on increasing the DIG documentation rate and increasing our interaction with community dentists to promote expeditious pre-radiation dental care.", "author" : [ { "dropping-particle" : "", "family" : "Margalit", "given" : "By Danielle N", "non-dropping-particle" : "", "parse-names" : false, "suffix" : "" }, { "dropping-particle" : "", "family" : "Losi", "given" : "Stephanie M", "non-dropping-particle" : "", "parse-names" : false, "suffix" : "" }, { "dropping-particle" : "", "family" : "Tishler", "given" : "Roy B", "non-dropping-particle" : "", "parse-names" : false, "suffix" : "" }, { "dropping-particle" : "", "family" : "Schoenfeld", "given" : "Jonathan D", "non-dropping-particle" : "", "parse-names" : false, "suffix" : "" }, { "dropping-particle" : "", "family" : "Fugazzotto", "given" : "Jo Ann", "non-dropping-particle" : "", "parse-names" : false, "suffix" : "" }, { "dropping-particle" : "", "family" : "Stephens", "given" : "Josie", "non-dropping-particle" : "", "parse-names" : false, "suffix" : "" }, { "dropping-particle" : "", "family" : "Cebulski", "given" : "Amy L", "non-dropping-particle" : "", "parse-names" : false, "suffix" : "" }, { "dropping-particle" : "", "family" : "Haddad", "given" : "Robert I", "non-dropping-particle" : "", "parse-names" : false, "suffix" : "" }, { "dropping-particle" : "", "family" : "Treister", "given" : "Nathaniel S", "non-dropping-particle" : "", "parse-names" : false, "suffix" : "" }, { "dropping-particle" : "", "family" : "Frustino", "given" : "Jennifer L", "non-dropping-particle" : "", "parse-names" : false, "suffix" : "" } ], "container-title" : "Journal of Clinical Oncology", "id" : "ITEM-1", "issue" : "30 SUPPL. 1", "issued" : { "date-parts" : [ [ "2015" ] ] }, "page" : "no pagination", "title" : "Focus on Quality Quality in Action Ensuring Head and Neck Oncology Patients Receive Recommended Pretreatment Dental Evaluations", "type" : "article-journal", "volume" : "32" }, "uris" : [ "http://www.mendeley.com/documents/?uuid=70e542fe-1f99-4d08-963a-8451fce5be87" ] } ], "mendeley" : { "formattedCitation" : "[70]", "plainTextFormattedCitation" : "[70]", "previouslyFormattedCitation" : "[70]"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[70]</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Margalit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Oncology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Ensuring head and neck oncology patients receive recommended pretreatment dental evaluations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"10.1136/bmjquality.u207268.w2918", "ISSN" : "2050-1315", "PMID" : "26734325", "abstract" : "Quality of documentation is harder to quantify and incentivise, but it has a significant impact on patient care. Good discharge summaries facilitate continuity between secondary and primary care. The junior doctors' forum led this project to improve the quality of electronic discharge summaries (eDS). Baseline measurement revealed significant room for improvement. We measured the quality of 10 summaries per month (across all inpatient specialties), against 23 indicators from the revised Academy of Medical Royal Colleges (AoMRC) standards (2013) that were prioritised by GPs as a \"minimum dataset\". Junior doctors felt that the Trust's dual eDS systems were responsible for great variation in quality. This was confirmed by the results of a comparison audit of the systems in April 2014: one system greatly outperformed the other (57% mean compliance with iSoft clinical management (iCM) based system vs. 77% with InfoPath-based system). We recommended that the Trust move to a single eDS system, decommissioning the iCM-based system, and this proposal was approved by several Trust committees. We worked with information services, junior doctors, general practitioners and hospital physicians to develop and implement a generic template to further improve compliance with AoMRC standards. In August 2014, the iCM-based system was withdrawn, the new template went live, and training was delivered, coinciding with the changeover of junior doctors to minimise disruption. Median compliance increased from 66.7% to 77.8%. Quality of discharge summaries had improved across the specialties. There was a reduction in the number of complaints and positive qualitative feedback from general practitioners and junior doctors. Completion of discharge summaries within 24 hours was not affected by this change. There is still more to be done to improve quality; average compliance with the full AoMRC standards (39 indicators) is 59.5%. With the approval of the Trust executive committee further plan, do, study, act (PDSA) cycles are underway, working to improve the remaining specialty-specific templates.", "author" : [ { "dropping-particle" : "", "family" : "May-Miller", "given" : "Hannah", "non-dropping-particle" : "", "parse-names" : false, "suffix" : "" }, { "dropping-particle" : "", "family" : "Hayter", "given" : "Joanne", "non-dropping-particle" : "", "parse-names" : false, "suffix" : "" }, { "dropping-particle" : "", "family" : "Loewenthal", "given" : "Lola", "non-dropping-particle" : "", "parse-names" : false, "suffix" : "" }, { "dropping-particle" : "", "family" : "Hall", "given" : "Louis", "non-dropping-particle" : "", "parse-names" : false, "suffix" : "" }, { "dropping-particle" : "", "family" : "Hilbert", "given" : "Rebecca", "non-dropping-particle" : "", "parse-names" : false, "suffix" : "" }, { "dropping-particle" : "", "family" : "Quinn", "given" : "Michael", "non-dropping-particle" : "", "parse-names" : false, "suffix" : "" }, { "dropping-particle" : "", "family" : "Pearson", "given" : "Nicola", "non-dropping-particle" : "", "parse-names" : false, "suffix" : "" }, { "dropping-particle" : "", "family" : "Patel", "given" : "Alisha", "non-dropping-particle" : "", "parse-names" : false, "suffix" : "" }, { "dropping-particle" : "", "family" : "Law", "given" : "Rebekah", "non-dropping-particle" : "", "parse-names" : false, "suffix" : "" } ], "container-title" : "BMJ Quality Improvement Reports", "id" : "ITEM-1", "issue" : "1", "issued" : { "date-parts" : [ [ "2015" ] ] }, "note" : "Henrik V. B. Laursen (2016-11-24 06:03:48)(Select): http://qir.bmj.com/content/4/1/u207268.w2918/suppl/DC1;", "page" : "u207268.w2918", "publisher-place" : "England", "title" : "Improving the quality of discharge summaries: implementing updated Academy of Medical Royal Colleges standards at a district general hospital", "type" : "article-journal", "volume" : "4" }, "uris" : [ "http://www.mendeley.com/documents/?uuid=a7ac3001-ee82-4348-8701-7c4625f8e9c4" ] } ], "mendeley" : { "formattedCitation" : "[71]", "plainTextFormattedCitation" : "[71]", "previouslyFormattedCitation" : "[71]"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[71]</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May-Miller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quality of discharge summaries: implementing updated Academy of Medical Royal Colleges standards at a district general hospital</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"10.1136/bmjquality.u208717.w3667", "ISSN" : "2050-1315", "PMID" : "27096088", "abstract" : "The aim of this quality improvement (QI) project was to improve the uptake and comprehensiveness of bedside cognitive testing amongst liaison psychiatrists over an eight month period. The baseline measurement involved an audit of the practice of the neuropsychiatry liaison team over six months at the 840 bed St Thomas's Hospital in London, UK. Of 35 referrals, 21 patients were able, and suitable, for cognitive testing based on the referral data and clinical interview. Fourteen (66.6%) of these patients had an Addenbrooke's Cognitive Examination (ACE), while 5 (23.8%) had frontal testing. The frontal tests performed were variable and inconsistent. Two Plan-Do-Study-Act (PDSA) cycles were then conducted. Clear guidance was issued to the team on the use of the ACE or Montreal Cognitive Assessment (MoCA) in suitable patients, and how these can be supplemented by frontal testing. Given the inconsistency in the types and combination of frontal tests being conducted at baseline, a frontal lobe test sheet containing established tests was developed and implemented. In PDSA cycle 1, 100% (n=10) of able and suitable referrals had an ACE or MoCA while 100% had frontal testing (80% of these using the dedicated test sheet). In PDSA cycle 2, improvements were broadly maintained with 85.7% (n=6) of referrals having an ACE/MoCA and 85.7% having frontal testing (83.3% of these using the dedicated frontal test sheet). In conclusion, our team improved the uptake and comprehensiveness of bedside cognitive testing by changing existing practice with clear protocols regarding the use of the ACE/MoCA and the implementation of a frontal test sheet.", "author" : [ { "dropping-particle" : "", "family" : "McCormack", "given" : "Ruaidhri", "non-dropping-particle" : "", "parse-names" : false, "suffix" : "" } ], "container-title" : "BMJ quality improvement reports", "id" : "ITEM-1", "issue" : "1", "issued" : { "date-parts" : [ [ "2016" ] ] }, "page" : "1-6", "publisher-place" : "England", "title" : "Improving the uptake and comprehensiveness of bedside cognitive testing amongst liaison psychiatrists over an eight-month period.", "type" : "article-journal", "volume" : "5" }, "uris" : [ "http://www.mendeley.com/documents/?uuid=b8fbb28d-8167-4e2f-ae28-e8b721b2e606" ] } ], "mendeley" : { "formattedCitation" : "[72]", "plainTextFormattedCitation" : "[72]", "previouslyFormattedCitation" : "[72]"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[72]</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McCormack</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uptake and comprehensiveness of bedside cognitive testing amongst liaison psychiatrists over an eight-month period</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"S0891-5245(16)30158-4 [pii]", "abstract" : "INTRODUCTION: The purpose of this quality improvement project was to implement and evaluate a postpartum depression screening program using the Edinburgh Postnatal Depression Scale (EPDS) during well-child appointments up to 1 year of age at a private, faith-based primary care clinic. METHOD: The Plan-Do-Study-Act framework was used in this quality improvement project. The EPDS was administered to mothers ages 19 years and older at their infants' well-child appointments at a faith-based clinic in the Midwest. A score of 10 or higher was considered a positive result. The results were reviewed, and protocol changes were implemented every 2 weeks using the Plan-Do-Study-Act framework. RESULTS: A total of 35 mothers completed the EPDS during the 9-week implementation period. Of 37 mothers asked to participate, nearly all agreed (97.3%); there was one refusal (2.7%). Staff compliance rate with administering the EPDS was 78.7%; there were 10 missed opportunities (21.3%). There were five positive EPDS results (14.3%). Mothers who screened positive were between the ages of 20 and 44 years. Infant ages were between 2 weeks and 12 months. DISCUSSION: Screening mothers at well-child appointments can identify women with postpartum depression. Not doing so is a missed opportunity. The results of this project support the identification of postpartum depression by screening using the EPDS during well-child appointments up to 1 year of age.", "author" : [ { "dropping-particle" : "", "family" : "Mgonja", "given" : "S", "non-dropping-particle" : "", "parse-names" : false, "suffix" : "" }, { "dropping-particle" : "", "family" : "Schoening", "given" : "A", "non-dropping-particle" : "", "parse-names" : false, "suffix" : "" } ], "container-title" : "Journal of pediatric health care : official publication of National Association of Pediatric Nurse Associates &amp; Practitioners", "id" : "ITEM-1", "issue" : "Journal Article PG  -", "issued" : { "date-parts" : [ [ "2016" ] ] }, "note" : "Henrik V. B. Laursen (2016-12-01 21:07:17)(Select): de \u00f8ger ikke rigtigt kvali.. de bruger screening, og sammenligner det med noget national post partum depri i usa.. Jo m\u00e5ske det \u00f8ger kvali ift. at g\u00f8re opm\u00e6rksom p\u00e5 det.. inkluderer den.;", "publisher" : ". Published by Elsevier Inc", "publisher-place" : "United States", "title" : "Postpartum Depression Screening at Well-Child Appointments: A Quality Improvement Project", "type" : "article-journal" }, "uris" : [ "http://www.mendeley.com/documents/?uuid=4536a7df-72e5-41fd-9e9f-046fed6b505c" ] } ], "mendeley" : { "formattedCitation" : "[73]", "plainTextFormattedCitation" : "[73]", "previouslyFormattedCitation" : "[73]"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[73]</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Mgonja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Postpartum Depression Screening at Well-Child Appointments: A Quality Improvement Project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"10.1016/j.cegh.2014.10.001", "ISSN" : "22133984", "abstract" : "Background: The objective was to redesign selection criteria for readmission cases to improve pick up rates of adverse events* for clinical reviews of inpatient medical records using a new methodology.*Adverse events: An unintended injury or complication resulting in increased length of hospital stay, temporary/permanent disability/death, caused by healthcare management.Level 1 AE's: Unpreventable events only for information of clinical departments.Level 2 AE's: Preventable/potentially preventable events reported to Heads of clinical departments.1,2aTrigger tools: The use of \"triggers\", or clues, to identify adverse events (AEs) is an effective method for measuring the overall level of harm in a health care organization.2bPDSA: An iterative four-step management method used for continuous improvement of processes.3. Methods: Selected screening criteria were applied in a series of quality improvement cycles with further modification to eliminate unnecessary cases. A checklist to simplify screening was implemented and a staff satisfaction survey conducted to check process efficacy. Results: Modification of selection criteria continuously improved review quality and accounted for better time management by the team. Conclusion: The project resulted in a significant increase in the total AE pick up rate of 94.23% as compared to the baseline of 80%. The level 1 and 2 AE rates also increased to 92.31% and 1.92% from the baseline rates of 75% and 0.2%.There was also noted to be a significant decrease of 80.98% in review time taken. These findings support the fact that an effective screening process for readmission review is beneficial and worth implementing.", "author" : [ { "dropping-particle" : "", "family" : "Minhas", "given" : "Aneeta", "non-dropping-particle" : "", "parse-names" : false, "suffix" : "" }, { "dropping-particle" : "", "family" : "Kyaw", "given" : "Tun Tun", "non-dropping-particle" : "", "parse-names" : false, "suffix" : "" }, { "dropping-particle" : "", "family" : "Ong", "given" : "Biauw Chi", "non-dropping-particle" : "", "parse-names" : false, "suffix" : "" } ], "container-title" : "Clinical Epidemiology and Global Health", "id" : "ITEM-1", "issue" : "2", "issued" : { "date-parts" : [ [ "2015" ] ] }, "page" : "66-71", "publisher" : "Elsevier Ltd", "title" : "Redesigning case selection methods to improve clinical review of inpatient medical records", "type" : "article-journal", "volume" : "3" }, "uris" : [ "http://www.mendeley.com/documents/?uuid=918d4901-2f9d-41a5-a38d-a1e29699989e" ] } ], "mendeley" : { "formattedCitation" : "[74]", "plainTextFormattedCitation" : "[74]", "previouslyFormattedCitation" : "[74]"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[74]</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Minhas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Singapore</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Redesigning case selection methods to improve clinical review of inpatient medical records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"10.1177/1062860614568648", "ISSN" : "1062-8606", "abstract" : "This project was designed to improve the colposcopy rate in an urban\\npatient population with known abnormal Pap smears within 75 days of the\\ntest to rapidly identify and treat premalignant lesions. Using\\nPlan-Do-Study-Act cycles, Lean techniques, and the electronic health\\nrecord, the authors created a protocol to verify all Pap smears, then\\ncreated a process whereby a phone-triage team contacted patients with\\nabnormal Pap smears to educate them and schedule colposcopy. As a\\nresult, 100% of Pap smears were verified, compared with 95% prior to\\nplan implementation. The mean time from Pap to colposcopy was 38.5 days,\\nwith 85% of patients having colposcopy performed after plan\\nimplementation, compared with 50% priora 70% improvement. If patients\\nwith medical contraindications were excluded, the percentage rose to\\n91%an 82% improvement. Patient and provider satisfaction improved,\\nstaff and provider workload did not increase, and there was the\\npotential for substantial economic savings.", "author" : [ { "dropping-particle" : "", "family" : "Montella", "given" : "Joseph M.", "non-dropping-particle" : "", "parse-names" : false, "suffix" : "" }, { "dropping-particle" : "", "family" : "Pelegano", "given" : "James F.", "non-dropping-particle" : "", "parse-names" : false, "suffix" : "" } ], "container-title" : "American Journal of Medical Quality", "id" : "ITEM-1", "issue" : "3", "issued" : { "date-parts" : [ [ "2016" ] ] }, "page" : "233-239", "publisher-place" : "United States", "title" : "Improving the Rate of Colposcopy in an Urban Population of Patients With Known Abnormal Pap Smears", "type" : "article-journal", "volume" : "31" }, "uris" : [ "http://www.mendeley.com/documents/?uuid=6ea41200-680a-4ee4-986e-e65b16ae11b4" ] } ], "mendeley" : { "formattedCitation" : "[75]", "plainTextFormattedCitation" : "[75]", "previouslyFormattedCitation" : "[75]"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[75]</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Montella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Gyn/obs</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Rate of Colposcopy in an Urban Population of Patients With Known Abnormal Pap Smears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"10.1136/bmjquality.u205944.w2432", "ISSN" : "2050-1315", "PMID" : "27239304", "abstract" : "Simple interventions resolve the problem of missed lab appointments. It is essential that patients complete ordered laboratory studies. This maintains clinical quality and, potentially, keeps patients safe from harm. In our academic family medicine practice, baseline data demonstrated patients completed 94.7% of labs as ordered (26850/28348 patients per year) while 1498 (5.3%) did not. Our baseline patient reminder process, a mail or portal based generic letter, resulted in only 449 (30%) of patients ultimately completing them (1049 [70%] did not). Our baseline system was 96.3 % reliable. This process did not allow for provider review or input, and was not personalized for patients. We designed a quality improvement project involving three PDSA (Plan, Do, Study, and Act) cycles of about two months each. Desk staff created weekly reports of unresolved lab orders. A message in the electronic medical record (EMR) solicited provider input. Providers could elect to cancel studies (if already completed, reordered, or no longer clinically indicated) or have the patient receive a personalized reminder, including provider name and associated diagnoses. This reminder was sent by patient portal secure messaging (if an account existed) or with a mailed letter. These interventions resulted in 98.8 % process reliability. The frequency of unresolved lab orders decreased from 70% at baseline to 25%. In the second PDSA cycle, we contacted patients by the portal only if there was evidence of an active account. Otherwise, they were contacted by telephone. Patients without a portal account continued to receive a letter by mail. These modified processes resulted in an overall reliability rate of 99.2%. The frequency of unresolved lab orders decreased to 17%. A final PDSA cycle utilized only telephone contact with patients with unresolved lab orders. Schedulers offered patients a choice of appointment dates if they spoke personally. Otherwise, they were left messages with a future lab appointment date two weeks later.Overall process reliability now increased to 100%. The frequency of unresolved lab orders decreased to 0%. Our interventions resulted in increased system reliability.Provider input was not perceived as burdensome. Desk staff work effort was not increased.Telephone patient contact resulted in more frequent lab order completion than other methods.", "author" : [ { "dropping-particle" : "", "family" : "Mookadam", "given" : "Martina", "non-dropping-particle" : "", "parse-names" : false, "suffix" : "" }, { "dropping-particle" : "", "family" : "Grover", "given" : "Michael", "non-dropping-particle" : "", "parse-names" : false, "suffix" : "" }, { "dropping-particle" : "", "family" : "Pullins", "given" : "Chris", "non-dropping-particle" : "", "parse-names" : false, "suffix" : "" }, { "dropping-particle" : "", "family" : "Winscott", "given" : "Mary", "non-dropping-particle" : "", "parse-names" : false, "suffix" : "" }, { "dropping-particle" : "", "family" : "Pierce", "given" : "Susan", "non-dropping-particle" : "", "parse-names" : false, "suffix" : "" } ], "container-title" : "BMJ Quality Improvement Reports", "id" : "ITEM-1", "issue" : "1", "issued" : { "date-parts" : [ [ "2016" ] ] }, "page" : "u205944.w2432", "publisher-place" : "England", "title" : "Simple Interventions Improve the Quality of a Missed Lab Appointment Process", "type" : "article-journal", "volume" : "5" }, "uris" : [ "http://www.mendeley.com/documents/?uuid=3404e1d2-5bda-470c-a0da-78d0e478de8c" ] } ], "mendeley" : { "formattedCitation" : "[76]", "plainTextFormattedCitation" : "[76]", "previouslyFormattedCitation" : "[76]"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[76]</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Mookadam</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Simple Interventions Improve the Quality of a Missed Lab Appointment Process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"author" : [ { "dropping-particle" : "", "family" : "Murphy", "given" : "Lorraine", "non-dropping-particle" : "", "parse-names" : false, "suffix" : "" }, { "dropping-particle" : "", "family" : "Wells", "given" : "John Stephen", "non-dropping-particle" : "", "parse-names" : false, "suffix" : "" }, { "dropping-particle" : "", "family" : "Lachman", "given" : "Peter", "non-dropping-particle" : "", "parse-names" : false, "suffix" : "" }, { "dropping-particle" : "", "family" : "Bergin", "given" : "Michael", "non-dropping-particle" : "", "parse-names" : false, "suffix" : "" } ], "id" : "ITEM-1", "issued" : { "date-parts" : [ [ "2015" ] ] }, "page" : "1-12", "title" : "A Quality Improvement Initiative in Community Mental Health in the Republic of Ireland", "type" : "article-journal" }, "uris" : [ "http://www.mendeley.com/documents/?uuid=efe7fd68-fb30-481e-98b9-031003842417" ] } ], "mendeley" : { "formattedCitation" : "[77]", "plainTextFormattedCitation" : "[77]", "previouslyFormattedCitation" : "[77]"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[77]</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Murphy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Republic of Ireland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Community Care</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Quality Improvement Initiative in Community Mental Health in the Republic of Ireland</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No change</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"10.1136/bmjquality.u209098.w3772", "ISSN" : "2050-1315", "PMID" : "27752313", "abstract" : "to tackle this problem with variable success. In this quality improvement project, we aimed to increase the proportion of discharged patients who leave the paediatric unit by 12:00 Noon from 7% to 30% by May 2015. A baseline discharge process map was studied to understand the possible causes of the delays. A survey was conducted to look for the most likely cause for the delay. A data collection tool was designed to record the various steps in the discharge process for the pre-and post-intervention phases. Using a series of PDSA cycles, interventions were introduced. The average time for the discharge process was two hours and the baseline average percent of patients discharged by 12:00 Noon was 7% of all discharges. The leading cause for the delayed discharges was late orders by the physicians. Post-intervention, there was increase in the percentage of patients discharged by 12:00 Noon from 7% to 34%. 42% of discharged patients had appropriate reasons for afternoon discharge. By excluding these patients, the percentage of adjusted timely morning discharge has increased from 36% to 70%. Continuous monitoring and engagement of teams with regular feedback were the most important factors in achieving and sustaining improvement in the timely morning discharge of patients from our paediatric units", "author" : [ { "dropping-particle" : "", "family" : "Mustafa", "given" : "Amira", "non-dropping-particle" : "", "parse-names" : false, "suffix" : "" }, { "dropping-particle" : "", "family" : "Mahgoub", "given" : "Samar", "non-dropping-particle" : "", "parse-names" : false, "suffix" : "" } ], "container-title" : "BMJ Quality Improvement Reports", "id" : "ITEM-1", "issue" : "1", "issued" : { "date-parts" : [ [ "2016" ] ] }, "page" : "u209098.w3772", "publisher-place" : "England", "title" : "Understanding and overcoming barriers to timely discharge from the pediatric units", "type" : "article-journal", "volume" : "5" }, "uris" : [ "http://www.mendeley.com/documents/?uuid=9a75d561-5455-400b-b33b-89ef396f9fec" ] } ], "mendeley" : { "formattedCitation" : "[78]", "plainTextFormattedCitation" : "[78]", "previouslyFormattedCitation" : "[78]"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[78]</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Mustafa</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Qatar</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Understanding and overcoming barriers to timely discharge from the pediatric units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"10.1136/bmjquality.u208575.w3781 [doi]", "abstract" : "A frequently occurring job during on-call and out-of-hours shifts is reviewing a patient following a fall with this often being the responsibility of the most junior and inexperienced doctors. Following a pilot audit we identified inconsistencies in medical assessment and documentation, with 50% of expected data points not recorded. Failure to complete a thorough assessment can lead to missed injuries, prolonged length of stay, and litigation. Using the plan, do, study, act (PDSA) cycle model this project sought to address this through providing teaching to junior doctors and the development of a pro-forma. Three style cycles of data collection were performed; a formal baseline dataset, after delivering a teaching session to new junior doctors and following the trial of the new fall pro-forma. We selected 15 to 17 patient notes to review at random during a one month period for each data collection cycle and compared the medical assessment to the standards outlined by the National Patient Safety Agency (NPSA) guidelines.[1] There were two key areas of improvement identified following the teaching session and introduction of the proforma. Documentation of a fall history was improved by nearly 30% being recorded in 100% of cases after the interventions. Documentation of a thorough musculoskeletal examination was improved from being recorded in just 54% of cases to 77% of cases; it was recorded in 100% of the cases where the proforma was used. The project demonstrated the need to improve documentation and assessment of a patient who has fallen. Initial data collection has shown that assessment and documentation were improved providing teaching to junior doctors and by use of the document. The pro-forma has since been incorporated into hospital policy and now forms the compulsory documentation expected of the doctors and nurses managing patients following a fall. Ensuring easy access to the proforma and re-auditing after editing the document will be the next steps.", "author" : [ { "dropping-particle" : "", "family" : "Nelson", "given" : "E", "non-dropping-particle" : "", "parse-names" : false, "suffix" : "" }, { "dropping-particle" : "", "family" : "Reynolds", "given" : "P", "non-dropping-particle" : "", "parse-names" : false, "suffix" : "" } ], "container-title" : "BMJ quality improvement reports", "id" : "ITEM-1", "issue" : "1 PG  - 10.1136/bmjquality.u208575.w3781. eCollection 2015", "issued" : { "date-parts" : [ [ "2015" ] ] }, "note" : "Henrik V. B. Laursen (2016-11-24 05:40:34)(Select): suppl 2: http://qir.bmj.com/content/4/1/u208575.w3781/suppl/DC2\n; Henrik V. B. Laursen (2016-11-24 05:40:25)(Select): suppl: http://qir.bmj.com/content/4/1/u208575.w3781/suppl/DC1;", "page" : "10.1136/bmjquality.u208575.w3781. eCollection 2015", "publisher-place" : "England", "title" : "Inpatient Falls: Improving assessment, documentation, and management", "type" : "article-journal", "volume" : "4" }, "uris" : [ "http://www.mendeley.com/documents/?uuid=6e0fad1a-3623-4185-b498-60d77dcc6889" ] } ], "mendeley" : { "formattedCitation" : "[79]", "plainTextFormattedCitation" : "[79]", "previouslyFormattedCitation" : "[79]"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[79]</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Nelson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Inpatient Falls: Improving assessment, documentation, and management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"10.1136/bmjquality.u204642.w2177", "ISSN" : "2050-1315", "PMID" : "26734315", "abstract" : "This quality improvement project was conducted at the haemodialysis unit in the paediatric nephrology department at Noah's Ark Children's Hospital, Cardiff. Stakeholders involved were the medical and nursing staff at the haemodialysis unit, responsible for the care of children with chronic kidney disease CKD. Anaemia is prevalent among children with CKD. Iron infusion is administered to such children with chronic anaemia. Children on haemodialysis attending the Children's Kidney Center receive iron infusion if they satisfy the criteria based on haemoglobin and serum ferritin values according to departmental guidelines. This involves measurement of c-reactive protein and serum ferritin prior to iron administration. High iron exposure is detrimental to end organ function and hence warrants regular monitoring in conjunction with CRP, another inflammatory marker. We suspect that some children may be receiving iron infusions despite being iron replete. Also, we may be over-investigating these children with anaemia. We identified all children receiving iron infusion in the haemodialysis unit over a four week period. We retrospectively enquired blood investigations done, prior to and after iron infusion. Blood investigations lagged on pre and post infusion times. We devised a checklist for nursing staff to follow, primarily looking at set times for measuring haemoglobin, serum ferritin, and CRP during the month (at the start of the first and third week of the month) and also tabulating the ferritin values that would trigger frequency of iron infusions. These were aimed to: 1. Prevent iron overloading in patients with chronic anemia 2. Regularise the checking of bloods in those receiving iron infusions 3. Empower the nursing staff to independently take decisions on iron infusion delivery. The strategy for change encompassed multiple PDSA cycles. Plan: empower decision making on iron infusion by haemodialysis nursing staff Do: formulate a checklist for iron infusion based on the recommended set values of ferritin, CRP and haemoglobin Study: analyse adherence to checklist in three months time Act: make appropriate changes to workplace behaviour based on findings of the PDSA cycle We analysed 13 patient episodes prior to the intervention and a total of 19 patient episodes after the improvement cycles. The checklist was improved based on feedback obtained after the first PDSA cycle. A second cycle showed that investigations done were optimised. The third cycle show\u2026", "author" : [ { "dropping-particle" : "", "family" : "Nuti", "given" : "Amith", "non-dropping-particle" : "", "parse-names" : false, "suffix" : "" } ], "container-title" : "BMJ Quality Improvement Reports", "id" : "ITEM-1", "issue" : "1", "issued" : { "date-parts" : [ [ "2015" ] ] }, "note" : "Henrik V. B. Laursen (2016-11-24 20:07:28)(Select): suppl: http://qir.bmj.com/content/4/1/u204642.w2177/suppl/DC1;", "page" : "u204642.w2177", "publisher-place" : "England", "title" : "Improving compliance with iron infusion therapy in the treatment of chronic anemia in haemodialysis patients with chronic kidney disease", "type" : "article-journal", "volume" : "4" }, "uris" : [ "http://www.mendeley.com/documents/?uuid=ec256bb7-9407-406e-8dcb-e34edec32479" ] } ], "mendeley" : { "formattedCitation" : "[80]", "plainTextFormattedCitation" : "[80]", "previouslyFormattedCitation" : "[80]"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[80]</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Nuti</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Wales</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compliance with iron infusion therapy in the treatment of chronic anemia in haemodialysis patients with chronic kidney disease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fldChar w:fldCharType="begin" w:fldLock="1"/>
            </w:r>
            <w:r w:rsidR="00BE7B49" w:rsidRPr="009A13A8">
              <w:rPr>
                <w:rFonts w:ascii="Arial" w:eastAsia="Times New Roman" w:hAnsi="Arial" w:cs="Arial"/>
                <w:sz w:val="16"/>
                <w:szCs w:val="16"/>
                <w:lang w:eastAsia="en-GB"/>
              </w:rPr>
              <w:instrText>ADDIN CSL_CITATION { "citationItems" : [ { "id" : "ITEM-1", "itemData" : { "DOI" : "10.1097/NUR.0000000000000123", "ISBN" : "9780124201811", "ISSN" : "15389782", "PMID" : "25856034", "abstract" : "The greatest advantage of simulation training is that it closely approximates actual clinical work, but in a controlled setting with minimal potential for harm. This type of training can use programmed mannequins or actors (professional or not) serving as \"standardized patients\" (SPs) to help teach and evaluate trainees' clinical examination skills. Faculty and students can review the videos of simulated training sessions to ensure technical aspects of these behaviors are performed correctly, such as placing one's hands or equipment (e.g., stethoscope) appropriately. Videos also reveal key verbal and non-verbal aspects of communication quality, such as interruption patterns and body language. Video technology transforms even the subtlest elements of therapeutic encounters into observable, behavioral data. Clinically relevant interpersonal competencies, therefore, can be assessed objectively. And for trainees, video review is an unparalleled learning tool. Given simulation's precise fit with clinical psychologists' training, better integration of psychology and medicine can uniquely sensitize learners and cultivate their self-awareness and insight, in a manner that no other modality can.", "author" : [ { "dropping-particle" : "", "family" : "Ozekcin", "given" : "Linda R.", "non-dropping-particle" : "", "parse-names" : false, "suffix" : "" }, { "dropping-particle" : "", "family" : "Tuite", "given" : "Patricia", "non-dropping-particle" : "", "parse-names" : false, "suffix" : "" }, { "dropping-particle" : "", "family" : "Willner", "given" : "Kathleen", "non-dropping-particle" : "", "parse-names" : false, "suffix" : "" }, { "dropping-particle" : "", "family" : "Hravnak", "given" : "Marilyn", "non-dropping-particle" : "", "parse-names" : false, "suffix" : "" } ], "container-title" : "Clinical Nurse Specialist", "id" : "ITEM-1", "issue" : "3", "issued" : { "date-parts" : [ [ "2015" ] ] }, "note" : "Henrik V. B. Laursen (2016-11-24 01:15:27)(Select): ingen adgang via aub;", "page" : "166-173", "publisher-place" : "United States", "title" : "Simulation education: Early identification of patient physiologic deterioration by acute care nurses", "type" : "article-journal", "volume" : "29" }, "uris" : [ "http://www.mendeley.com/documents/?uuid=49bf2b96-8ef8-4a85-a99c-b84ca8c9f89c" ] } ], "mendeley" : { "formattedCitation" : "[81]", "plainTextFormattedCitation" : "[81]", "previouslyFormattedCitation" : "[81]"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[81]</w:t>
            </w:r>
            <w:r w:rsidRPr="009A13A8">
              <w:rPr>
                <w:rFonts w:ascii="Arial" w:eastAsia="Times New Roman" w:hAnsi="Arial" w:cs="Arial"/>
                <w:sz w:val="16"/>
                <w:szCs w:val="16"/>
                <w:lang w:eastAsia="en-GB"/>
              </w:rPr>
              <w:fldChar w:fldCharType="end"/>
            </w:r>
            <w:r w:rsidR="00FE61F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Ozekcin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Simulation education: early identification of patient physiologic deterioration by acute care nurses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"10.1136/bmjquality.u204088.w3767 [doi]", "ISBN" : "2050-1315", "ISSN" : "2050-1315", "PMID" : "27239301", "abstract" : "Patient reported outcome measures (PROMs) were introduced in 2009 to allow patient perspectives to potentially influence change and improvement. In collaboration with the national joint registry (NJR), PROMs data has been examined on a national basis to compare surgical factors in total knee replacement (TKR). Initial results demonstrated there were statistically significant differences in Oxford Knee Score (OKS) when using different brands of implant. Preservation of the infrapatella fatpad (IFP) has also been shown improve outcomes. This led Northumbria Healthcare NHS Foundation Trust to make a mass move to the Zimmer Nexgen TKR and later change surgeons' routine practice to preserving the IFP. The PROMs were recorded pre and six months post operation to obtain improvement scores. The baseline improvement in OKS was 14.0. After changing implant to the Zimmer Nexgen in Plan-Do-Study-Act (PDSA) cycle 1 the average improvement score was 16.7. After implementing default preservation of the IFP in PDSA cycle 2 the average OKS improvement score was 17.3. The results from this project demonstrate a significant improvement in local services after implementing changes based on national and local evaluations. This initiative is an excellent example of improvement by evidence based practice and success of the English National Health Service PROMs scheme.", "author" : [ { "dropping-particle" : "", "family" : "Partridge", "given" : "T", "non-dropping-particle" : "", "parse-names" : false, "suffix" : "" }, { "dropping-particle" : "", "family" : "Carluke", "given" : "I", "non-dropping-particle" : "", "parse-names" : false, "suffix" : "" }, { "dropping-particle" : "", "family" : "Emmerson", "given" : "K", "non-dropping-particle" : "", "parse-names" : false, "suffix" : "" }, { "dropping-particle" : "", "family" : "Partington", "given" : "P", "non-dropping-particle" : "", "parse-names" : false, "suffix" : "" }, { "dropping-particle" : "", "family" : "Reed", "given" : "M", "non-dropping-particle" : "", "parse-names" : false, "suffix" : "" } ], "container-title" : "BMJ quality improvement reports", "id" : "ITEM-1", "issue" : "1 PG  - 10.1136/bmjquality.u204088.w3767. eCollection 2016", "issued" : { "date-parts" : [ [ "2016" ] ] }, "page" : "10.1136/bmjquality.u204088.w3767. eCollection 2016", "publisher-place" : "England", "title" : "Improving patient reported outcome measures (PROMs) in total knee replacement by changing implant and preserving the infrapatella fatpad: a quality improvement project", "type" : "article-journal", "volume" : "5" }, "uris" : [ "http://www.mendeley.com/documents/?uuid=143ccfdb-8afb-4d9a-9336-bd352e8fb42f" ] } ], "mendeley" : { "formattedCitation" : "[82]", "plainTextFormattedCitation" : "[82]", "previouslyFormattedCitation" : "[82]"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[82]</w:t>
            </w:r>
            <w:r w:rsidRPr="009A13A8">
              <w:rPr>
                <w:rFonts w:ascii="Arial" w:eastAsia="Times New Roman" w:hAnsi="Arial" w:cs="Arial"/>
                <w:sz w:val="16"/>
                <w:szCs w:val="16"/>
                <w:lang w:eastAsia="en-GB"/>
              </w:rPr>
              <w:fldChar w:fldCharType="end"/>
            </w:r>
            <w:r w:rsidR="00020E87"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Partridge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patient reported outcome measures (PROMs) in total knee replacement by changing implant and preserving the infrapatella fatpad: a quality improvement project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"10.1136/bmjquality.u209550.w3941", "ISSN" : "2050-1315", "PMID" : "27493743", "abstract" : "Guidewire retention is a severe but preventable complication from central venous catheter (CVC) insertion. There were three cases of guidewire retention during CVC insertion in the medical intensive care unit (MICU) in Singapore General Hospital, in the period between December 2011 and February 2012. The primary objective of this quality improvement project was to eliminate future incidences of guidewire retention during CVC insertion in the MICU and medical intermediate care area (MICA) via a structured educational program and a cost effective modified CVC set. The secondary objective was to perform a cost analysis and comparison between the use of the conventional hospital CVC set and drape with our newly modified CVC dressing kit. Root cause analysis of the three cases identified major factors leading to guidewire retention. Interventions were planned and tested using PDSA cycles. Internal medicine trainees rotating through MICU and MICA during the period between February 2012 and June 2013 underwent a multi-modal structured CVC insertion training program with hands on simulation. They also used a newly modified CVC dressing kit and drape. The CVC dressing kit was modified (CVC PLUS) to include a sterile drape with reminder stickers stating \"REMOVE the GUIDEWIRE,\" as well as a sterile ultrasound sleeve. The total number of CVC insertions performed and guidewire retentions were monitored. During the period of study there were 320 CVC insertions in the MICU and MICA. Since this quality improvement project was initiated, and up to the submission of this article, there have not been any further cases of guidewire retention in the MICU and MICA. The total cost reduction per use of CVC PLUS was S$29.26 (Singaporean Dollars). A multi-modal structured training program, integrated with a modified, pre-packed CVC set, and drapes with reminder stickers (all included in CVC PLUS) were cost effective, and improved patient safety by eliminating guidewire retention during CVC insertion.", "author" : [ { "dropping-particle" : "", "family" : "Peh", "given" : "Wee Ming", "non-dropping-particle" : "", "parse-names" : false, "suffix" : "" }, { "dropping-particle" : "", "family" : "Jia Loh", "given" : "Wann", "non-dropping-particle" : "", "parse-names" : false, "suffix" : "" }, { "dropping-particle" : "", "family" : "chee phua", "given" : "ghee", "non-dropping-particle" : "", "parse-names" : false, "suffix" : "" }, { "dropping-particle" : "", "family" : "Min Loo", "given" : "Chian", "non-dropping-particle" : "", "parse-names" : false, "suffix" : "" } ], "container-title" : "BMJ Quality Improvement Reports", "id" : "ITEM-1", "issue" : "1", "issued" : { "date-parts" : [ [ "2016" ] ] }, "note" : "Henrik V. B. Laursen (2016-11-24 21:24:30)(Select): suppol: http://qir.bmj.com/content/5/1/u209550.w3941/suppl/DC1;", "page" : "u209550.w3941", "publisher-place" : "England", "title" : "Eliminating guidewire retention during ultrasound guided central venous catheter insertion via an educational program, a modified CVC set, and a drape with reminder stickers", "type" : "article-journal", "volume" : "5" }, "uris" : [ "http://www.mendeley.com/documents/?uuid=09b705a0-1653-4bec-82fd-83161f907cdf" ] } ], "mendeley" : { "formattedCitation" : "[83]", "plainTextFormattedCitation" : "[83]", "previouslyFormattedCitation" : "[83]"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[83]</w:t>
            </w:r>
            <w:r w:rsidRPr="009A13A8">
              <w:rPr>
                <w:rFonts w:ascii="Arial" w:eastAsia="Times New Roman" w:hAnsi="Arial" w:cs="Arial"/>
                <w:sz w:val="16"/>
                <w:szCs w:val="16"/>
                <w:lang w:eastAsia="en-GB"/>
              </w:rPr>
              <w:fldChar w:fldCharType="end"/>
            </w:r>
            <w:r w:rsidR="00020E87"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Peh</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Singapore</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Eliminating guidewire retention during ultrasound guided central venous catheter insertion via an educational program, a modified CVC set, and a drape with reminder stickers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"10.1001/jamaoto.2014.3279", "ISBN" : "2168-619X", "ISSN" : "21686181", "PMID" : "25541680", "abstract" : "IMPORTANCE: Microlaryngoscopy and bronchoscopy procedures (MLBs) are short-duration, high-acuity procedures that carry risk. Poor case flow and communication exacerbate such potential risk. Efficient operative flow is critical for patient safety and resource expenditure. OBJECTIVES: To identify areas for improvement and evaluate the effectiveness of a multidisciplinary quality-improvement (QI) initiative. DESIGN, SETTING, AND PARTICIPANTS: A QI project using the \"Plan-Do-Study-Act\" (PDSA) cycle was implemented to assess MLBs performed on pediatric patients in a tertiary academic children's hospital. Forty MLBs were audited using a QI evaluation tool containing 144 fields. Each MLB was evaluated for flow, communication, and timing. Opportunities for improvement were identified. Subsequently, QI interventions were implemented in an iterative cycle, and 66 MLBs were audited after the intervention. INTERVENTIONS: Specific QI interventions addressed issues of personnel frequently exiting the operating room (OR) and poor preoperative preparation, identified during QI audit as areas for improvement. Interventions included (1) conducting \"huddles\" between surgeon and OR staff to discuss needed equipment; (2) implementing improvements to surgeon case ordering and preference cards review; (3) posting an OR door sign to limit traffic during airway procedures; and (4) discouraging personnel breaks during airway procedures. MAIN OUTCOMES AND MEASURES: Operating room exiting behavior of OR personnel, preoperative preparation, and case timing were assessed and compared before and after the QI intervention. RESULTS: Personnel exiting the OR during the MLB was identified as a preintervention issue, with the surgical technologist, circulator, or surgeon exiting the room in 55% of cases (n = 22). The surgical technologist and circulator left the room to retrieve equipment in 40% of cases (n = 16), which indicated the need for increased preoperative preparation to improve case timing and operative flow. The QI interventions implemented to address these concerns included education regarding break timing, improvements in communication, and improvements in ordering and preparation of equipment. After the QI intervention, the surgical technologist exiting rate decreased from 20% (n = 8) to 8% (n = 5), and the circulator exiting rate decreased from 38% (n = 15) to 27% (n = 17). In addition, the rate of surgeon exiting decreased significantly (from 25% [n = 10 of 40] to 9% [n = \u2026", "author" : [ { "dropping-particle" : "", "family" : "Prager", "given" : "Jeremy D.", "non-dropping-particle" : "", "parse-names" : false, "suffix" : "" }, { "dropping-particle" : "", "family" : "Ruiz", "given" : "Amanda G.", "non-dropping-particle" : "", "parse-names" : false, "suffix" : "" }, { "dropping-particle" : "", "family" : "Mooney", "given" : "Kristin", "non-dropping-particle" : "", "parse-names" : false, "suffix" : "" }, { "dropping-particle" : "", "family" : "Gao", "given" : "Dexiang", "non-dropping-particle" : "", "parse-names" : false, "suffix" : "" }, { "dropping-particle" : "", "family" : "Szolnoki", "given" : "Judit", "non-dropping-particle" : "", "parse-names" : false, "suffix" : "" }, { "dropping-particle" : "", "family" : "Shah", "given" : "Rahul K.", "non-dropping-particle" : "", "parse-names" : false, "suffix" : "" } ], "container-title" : "JAMA Otolaryngology - Head and Neck Surgery", "id" : "ITEM-1", "issue" : "3", "issued" : { "date-parts" : [ [ "2015" ] ] }, "page" : "229-235", "title" : "Improving operative flow during pediatric airway evaluation a quality-improvement initiative", "type" : "article-journal", "volume" : "141" }, "uris" : [ "http://www.mendeley.com/documents/?uuid=6325e8cb-9317-4e5d-a841-0396ab445901" ] } ], "mendeley" : { "formattedCitation" : "[84]", "plainTextFormattedCitation" : "[84]", "previouslyFormattedCitation" : "[84]"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[84]</w:t>
            </w:r>
            <w:r w:rsidRPr="009A13A8">
              <w:rPr>
                <w:rFonts w:ascii="Arial" w:eastAsia="Times New Roman" w:hAnsi="Arial" w:cs="Arial"/>
                <w:sz w:val="16"/>
                <w:szCs w:val="16"/>
                <w:lang w:eastAsia="en-GB"/>
              </w:rPr>
              <w:fldChar w:fldCharType="end"/>
            </w:r>
            <w:r w:rsidR="00020E87"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Prager</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operative flow during pediatric airway evaluation: a quality-improvement initiative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"10.1136/bmjquality.u210929.w4509", "ISSN" : "2050-1315", "PMID" : "28090324", "abstract" : "The opportunities for service users to develop skills for more independent living and take control of their environments are limited in secure mental health units. This paper will outline a quality improvement project that changed how the catering services were delivered in a low secure unit in East London NHS Foundation Trust (ELFT). A Quality Improvement methodology was adopted incorporating the Plan, Do, Study, Act (PDSA) cycle which included the trial of service users preparing their own meals on a daily basis. The participation rates were measured and functional daily living skills were recorded. Following success of the trial, long-term implementation of self-catering was agreed, with service users being supported to prepare a shared evening meal every day on the ward with an average of 60% participation. Functional living skills indicated an improvement in the area of process skills. The project aligned with ELFT's aims of service users working in collaboration with staff to implement changes in service delivery.", "author" : [ { "dropping-particle" : "", "family" : "O'Reilly", "given" : "Alison", "non-dropping-particle" : "", "parse-names" : false, "suffix" : "" } ], "container-title" : "BMJ Quality Improvement Reports", "id" : "ITEM-1", "issue" : "1", "issued" : { "date-parts" : [ [ "2016" ] ] }, "page" : "u210929.w4509", "title" : "Improving ward environments and developing skills for discharge with the implementation of self-catering on a low secure forensic unit.", "type" : "article-journal", "volume" : "5" }, "uris" : [ "http://www.mendeley.com/documents/?uuid=ee368a8e-c373-47dd-8d16-d4dfdc1c824c" ] } ], "mendeley" : { "formattedCitation" : "[85]", "plainTextFormattedCitation" : "[85]", "previouslyFormattedCitation" : "[85]"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[85]</w:t>
            </w:r>
            <w:r w:rsidRPr="009A13A8">
              <w:rPr>
                <w:rFonts w:ascii="Arial" w:eastAsia="Times New Roman" w:hAnsi="Arial" w:cs="Arial"/>
                <w:sz w:val="16"/>
                <w:szCs w:val="16"/>
                <w:lang w:eastAsia="en-GB"/>
              </w:rPr>
              <w:fldChar w:fldCharType="end"/>
            </w:r>
            <w:r w:rsidR="00020E87"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Reilly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Psychiatry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ward environments and developing skills for discharge with the implementation of self-catering on a low secure forensic unit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"10.1136/bmjqs-2015-004717", "ISBN" : "2044-5423; 2044-5415", "ISSN" : "20445415", "PMID" : "27044881", "abstract" : "BACKGROUND: Prescribing errors occur in up to 15% of UK inpatient medication orders. However, junior doctors report insufficient feedback on errors. A barrier preventing feedback is that individual prescribers often cannot be clearly identified on prescribing documentation. AIM: To reduce prescribing errors in a UK hospital by improving feedback on prescribing errors. INTERVENTIONS: We developed three linked interventions using plan-do-study-act cycles: (1) name stamps for junior doctors who were encouraged to stamp or write their name clearly when prescribing; (2) principles of effective feedback to support pharmacists to provide feedback to doctors on individual prescribing errors and (3) fortnightly prescribing advice emails that addressed a common and/or serious error. IMPLEMENTATION AND EVALUATION: Interventions were introduced at one hospital site in August 2013 with a second acting as control. Process measures included the percentage of inpatient medication orders for which junior doctors stated their name. Outcome measures were junior doctors' and pharmacists' perceptions of current feedback provision (evaluated using quantitative pre-questionnaires and post-questionnaires and qualitative focus groups) and the prevalence of erroneous medication orders written by junior doctors between August and December 2013. RESULTS: The percentage of medication orders for which junior doctors stated their name increased from about 10% to 50%. Questionnaire responses revealed a significant improvement in pharmacists' perceptions but no significant change for doctors. Focus group findings suggested increased doctor engagement with safe prescribing. Interrupted time series analysis showed no difference in weekly prescribing error rates between baseline and intervention periods, compared with the control site. CONCLUSION: Findings suggest improved experiences around feedback. However, attempts to produce a measurable reduction in prescribing errors are likely to need a multifaceted approach of which feedback should form part.", "author" : [ { "dropping-particle" : "", "family" : "Reynolds", "given" : "Matthew", "non-dropping-particle" : "", "parse-names" : false, "suffix" : "" }, { "dropping-particle" : "", "family" : "Jheeta", "given" : "Seetal", "non-dropping-particle" : "", "parse-names" : false, "suffix" : "" }, { "dropping-particle" : "", "family" : "Benn", "given" : "Jonathan", "non-dropping-particle" : "", "parse-names" : false, "suffix" : "" }, { "dropping-particle" : "", "family" : "Sanghera", "given" : "Inderjit", "non-dropping-particle" : "", "parse-names" : false, "suffix" : "" }, { "dropping-particle" : "", "family" : "Jacklin", "given" : "Ann", "non-dropping-particle" : "", "parse-names" : false, "suffix" : "" }, { "dropping-particle" : "", "family" : "Ingle", "given" : "Digby", "non-dropping-particle" : "", "parse-names" : false, "suffix" : "" }, { "dropping-particle" : "", "family" : "Franklin", "given" : "Bryony Dean", "non-dropping-particle" : "", "parse-names" : false, "suffix" : "" } ], "container-title" : "BMJ Quality and Safety", "id" : "ITEM-1", "issue" : "3", "issued" : { "date-parts" : [ [ "2017" ] ] }, "note" : "Henrik V. B. Laursen (2016-11-30 20:34:21)(Select): &amp;quot;This paper describes the development, testing and evaluation\nof our approach, structured according to the\nSQUIRE guidelines.&amp;quot; - maximal l\u00e6kkerhed;", "page" : "240-247", "publisher-place" : "England", "title" : "Improving feedback on junior doctors? prescribing errors: Mixed-methods evaluation of a quality improvement project", "type" : "article-journal", "volume" : "26" }, "uris" : [ "http://www.mendeley.com/documents/?uuid=a07dc101-b9a9-47aa-901d-af27e880a5d4" ] } ], "mendeley" : { "formattedCitation" : "[86]", "plainTextFormattedCitation" : "[86]", "previouslyFormattedCitation" : "[86]"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[86]</w:t>
            </w:r>
            <w:r w:rsidRPr="009A13A8">
              <w:rPr>
                <w:rFonts w:ascii="Arial" w:eastAsia="Times New Roman" w:hAnsi="Arial" w:cs="Arial"/>
                <w:sz w:val="16"/>
                <w:szCs w:val="16"/>
                <w:lang w:eastAsia="en-GB"/>
              </w:rPr>
              <w:fldChar w:fldCharType="end"/>
            </w:r>
            <w:r w:rsidR="00020E87"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Reynolds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UK</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feedback on junior doctors' prescribing errors: mixed-methods evaluation of a quality improvement project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"10.1093/nop/npv050", "ISBN" : "0732-183X", "ISSN" : "2054-2577", "abstract" : "BackgroundPatients with glioma are at increased risk for tumor-related and treatment-related complications. Few guidelines exist to manage complications through supportive care. Our prior work suggests that a clinical care pathway can improve the care of patients with glioma.MethodsWe designed a quality improvement (QI) project to address the acute care needs of patients with gliomas. We formed a multidisciplinary team and selected 20 best-practice measures from the literature. Using a plan-do-study-act framework, we brainstormed and implemented various improvement strategies starting in October 2013. Statistical process control charts were used to assess progress.ResultsRetrospective data were available for 12 best practice measures. The baseline population consisted of 98 patients with glioma. Record review suggested wide variation in performance, with compliance ranging from 30% to 100%. The team hypothesized that lack of process standardization may contribute to less-than-ideal performance. After implementing improvement strategies, we reviewed the records of 63 consecutive patients with glioma. The proportion of patients meeting criteria for 12 practice measures modestly improved (65% pre-QI; 76% post-QI, P &amp;gt; .1). Unexpectedly, a higher proportion of patients were readmitted within 30 days of hospital discharge (pre-QI: 10%; post-QI: 17%, P &amp;gt; .1). Barriers to pathway development included difficulties with transforming manual measures into electronic data sets.ConclusionsCreating evidence-based clinical care pathways for addressing the acute care needs of patients with glioma is feasible and important. There are many challenges, however, to developing sustainable systems for measuring and reporting performance outcomes overtime.", "author" : [ { "dropping-particle" : "", "family" : "Riblet", "given" : "Natalie B.V.", "non-dropping-particle" : "", "parse-names" : false, "suffix" : "" }, { "dropping-particle" : "", "family" : "Schlosser", "given" : "Evelyn M.", "non-dropping-particle" : "", "parse-names" : false, "suffix" : "" }, { "dropping-particle" : "", "family" : "Snide", "given" : "Jennifer A.", "non-dropping-particle" : "", "parse-names" : false, "suffix" : "" }, { "dropping-particle" : "", "family" : "Ronan", "given" : "Lara", "non-dropping-particle" : "", "parse-names" : false, "suffix" : "" }, { "dropping-particle" : "", "family" : "Thorley", "given" : "Katherine", "non-dropping-particle" : "", "parse-names" : false, "suffix" : "" }, { "dropping-particle" : "", "family" : "Davis", "given" : "Melissa", "non-dropping-particle" : "", "parse-names" : false, "suffix" : "" }, { "dropping-particle" : "", "family" : "Hong", "given" : "Jennifer", "non-dropping-particle" : "", "parse-names" : false, "suffix" : "" }, { "dropping-particle" : "", "family" : "Mason", "given" : "Linda P.", "non-dropping-particle" : "", "parse-names" : false, "suffix" : "" }, { "dropping-particle" : "", "family" : "Cooney", "given" : "Tobi J.", "non-dropping-particle" : "", "parse-names" : false, "suffix" : "" }, { "dropping-particle" : "", "family" : "Jalowiec", "given" : "Lanelle", "non-dropping-particle" : "", "parse-names" : false, "suffix" : "" }, { "dropping-particle" : "", "family" : "Kennedy", "given" : "Nancy L.", "non-dropping-particle" : "", "parse-names" : false, "suffix" : "" }, { "dropping-particle" : "", "family" : "Richie", "given" : "Sabrina", "non-dropping-particle" : "", "parse-names" : false, "suffix" : "" }, { "dropping-particle" : "", "family" : "Nalepinski", "given" : "David", "non-dropping-particle" : "", "parse-names" : false, "suffix" : "" }, { "dropping-particle" : "", "family" : "Fadul", "given" : "Camilo E.", "non-dropping-particle" : "", "parse-names" : false, "suffix" : "" } ], "container-title" : "Neuro-Oncology Practice", "id" : "ITEM-1", "issue" : "3", "issued" : { "date-parts" : [ [ "2016" ] ] }, "page" : "145-153", "title" : "A clinical care pathway to improve the acute care of patients with glioma", "type" : "article-journal", "volume" : "3" }, "uris" : [ "http://www.mendeley.com/documents/?uuid=15d16db6-8443-47bb-b9e6-42491957782b" ] } ], "mendeley" : { "formattedCitation" : "[87]", "plainTextFormattedCitation" : "[87]", "previouslyFormattedCitation" : "[87]"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[87]</w:t>
            </w:r>
            <w:r w:rsidRPr="009A13A8">
              <w:rPr>
                <w:rFonts w:ascii="Arial" w:eastAsia="Times New Roman" w:hAnsi="Arial" w:cs="Arial"/>
                <w:sz w:val="16"/>
                <w:szCs w:val="16"/>
                <w:lang w:eastAsia="en-GB"/>
              </w:rPr>
              <w:fldChar w:fldCharType="end"/>
            </w:r>
            <w:r w:rsidR="00020E87"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Riblet</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Oncology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clinical care pathway to improve the acute care of patients with glioma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Lean-Six Sigma</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"10.1136/bmjquality.u206641.w2670", "ISSN" : "2050-1315", "PMID" : "26734340", "abstract" : "AbstractSurgical departments are increasingly put under pressure to improve services, cut waiting lists, increase efficiency and save money. At a district general hospital in the west-midlands we approached the challenge of improving efficiency and optimising the services available in our orthopaedic theatres. Data was collected on: anaesthetic start times, operation start and finish times, and reasons for delay in our trauma theatre over a period from October 2014 to January 2015. During this period a change was implemented to improve the start time of the first operation of each day in the trauma theatre. Through adaptation of a method developed by Javed S et al, a patient was pre-selected by the on-call team and given the name the \"golden patient\" the day before they were due to be operated upon. This nominated patient would then be fixed at the start of the trauma theatre list the following day. The list would only then change if a \"life or limb threatening\" case was admitted overnight. The on-call team would prioritise that this patient was optimised for theatre and the theatre staff would ensure the surgical instruments were prepared. A PDSA cycle method was used, collecting data on 80 orthopaedic trauma cases during the period, and demonstrated a 59 minute (95% CI 45-72) improvement in start times from 10:49 AM to 9:50 AM with a p-value of 0.00024 with the intervention of early allocation of the first patient on the trauma list. A relatively simple intervention tool designed to improve communication within and between health-care teams can have a significant impact on the efficiency of a complex environment such as a trauma theatre.", "author" : [ { "dropping-particle" : "", "family" : "Roberts", "given" : "S.", "non-dropping-particle" : "", "parse-names" : false, "suffix" : "" }, { "dropping-particle" : "", "family" : "Saithna", "given" : "A.", "non-dropping-particle" : "", "parse-names" : false, "suffix" : "" }, { "dropping-particle" : "", "family" : "Bethune", "given" : "R.", "non-dropping-particle" : "", "parse-names" : false, "suffix" : "" } ], "container-title" : "BMJ Quality Improvement Reports", "id" : "ITEM-1", "issue" : "1", "issued" : { "date-parts" : [ [ "2015" ] ] }, "note" : "Henrik V. B. Laursen (2016-11-24 06:57:26)(Select): suppl: http://qir.bmj.com/content/4/1/u206641.w2670/suppl/DC1;", "page" : "u206641.w2670-u206641.w2670", "publisher-place" : "England", "title" : "Improving theatre efficiency and utilisation through early identification of trauma patients and enhanced communication between teams", "type" : "article-journal", "volume" : "4" }, "uris" : [ "http://www.mendeley.com/documents/?uuid=501b27fe-a528-423e-ba65-b62363c39b6f" ] } ], "mendeley" : { "formattedCitation" : "[88]", "plainTextFormattedCitation" : "[88]", "previouslyFormattedCitation" : "[88]"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[88]</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Roberts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theatre efficiency and utilisation through early identification of trauma patients and enhanced communication between teams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"10.1093/intqhc/mzw149", "ISBN" : "1353-4505", "ISSN" : "1353-4505", "PMID" : "28035039", "abstract" : "QUALITY ISSUE Approximately 10% of patients are harmed by healthcare, and of this harm 15% is thought to be medication related. Despite this, medication safety data used for improvement purposes are not often routinely collected by healthcare organizations over time. INITIAL ASSESSMENT A need for a prospective medication safety measurement tool was identified. CHOICE OF SOLUTION The aim was to develop a tool to allow measurement and aid improvement of medication safety over time. The methodology used for the National Health Service (NHS) Safety Thermometer was identified as an approach. The resulting tool was named the 'Medication Safety Thermometer'. IMPLEMENTATION The development of the Medication Safety Thermometer was facilitated by a multidisciplinary steering group using a Plan, Do, Study, Act (PDSA) method. Alpha and beta testing occurred over a period of 9 months. The tool was officially launched in October 2013 and continued to be improved until May 2016 using ongoing user feedback. EVALUATION Feedback was gained through paper and online forms, and was discussed at regular steering group meetings. This resulted in 16 versions of the tool. The tool is now used nationally, with over 230 000 patients surveyed in over 100 NHS organizations. Data from these organizations are openly accessible on a dedicated website. LESSONS LEARNED Measuring harm from medication errors is complex and requires steps to measure individual errors, triggers of harm and actual harm. PDSA methodology can be effectively used to develop measurement systems. Measurement at the point of care is beneficial and a multidisciplinary approach is vital.", "author" : [ { "dropping-particle" : "", "family" : "Rostami", "given" : "Paryaneh", "non-dropping-particle" : "", "parse-names" : false, "suffix" : "" }, { "dropping-particle" : "", "family" : "Power", "given" : "Maxine", "non-dropping-particle" : "", "parse-names" : false, "suffix" : "" }, { "dropping-particle" : "", "family" : "Harrison", "given" : "Abigail", "non-dropping-particle" : "", "parse-names" : false, "suffix" : "" }, { "dropping-particle" : "", "family" : "Bramfitt", "given" : "Kurt", "non-dropping-particle" : "", "parse-names" : false, "suffix" : "" }, { "dropping-particle" : "", "family" : "Williams", "given" : "Steve D.", "non-dropping-particle" : "", "parse-names" : false, "suffix" : "" }, { "dropping-particle" : "", "family" : "Jani", "given" : "Yogini", "non-dropping-particle" : "", "parse-names" : false, "suffix" : "" }, { "dropping-particle" : "", "family" : "Ashcroft", "given" : "Darren M.", "non-dropping-particle" : "", "parse-names" : false, "suffix" : "" }, { "dropping-particle" : "", "family" : "Tully", "given" : "Mary P.", "non-dropping-particle" : "", "parse-names" : false, "suffix" : "" } ], "container-title" : "International Journal for Quality in Health Care", "id" : "ITEM-1", "issued" : { "date-parts" : [ [ "2016" ] ] }, "page" : "1-9", "title" : "Learning from the design, development and implementation of the Medication Safety Thermometer", "type" : "article-journal" }, "uris" : [ "http://www.mendeley.com/documents/?uuid=d1644c06-10da-4174-9e39-af890223ee44" ] } ], "mendeley" : { "formattedCitation" : "[89]", "plainTextFormattedCitation" : "[89]", "previouslyFormattedCitation" : "[89]"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[89]</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Rostami</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Nationwide</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Learning from the design development and implementation of the medication safety thermometer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"10.1136/bmjquality.u206149.w2528 [doi]", "ISSN" : "2050-1315", "abstract" : "Compliance with pathways for hospitalised patients with alcohol dependency syndrome is often poor. A pathway for recognition and treatment of alcohol dependency was redesigned as part of a 12 month service improvement project in the acute medical unit using plan, do, study, act (PDSA) cycles. A needs assessment was undertaken: Audit data from 2013 showed over-prescription of chlordiazepoxide for detoxification treatment (DT) leading to prolonged hospital admissions with an average length of stay of 5.5 days in 2012/2013. Acceptability of screening tools was tested: Common screening tools (CEWA, AUDIT) were rejected by junior doctors due to the high number of questions as too cumbersome for routine practice. Compliance with usage in random samples over a three month period was persistently (n=10%. Testing of an abbreviated AUDIT questionnaire with only two questions and a specified threshold showed a AUROC of 1 (p&lt;0.001 for correct identification). The screening tool was implemented in several PDSAs cycles. After the final cycle a random sample of 100 patients was reviewed for pathway compliance over a three months period. Eighty-six patients were screened with the two-question tool of these 18 were identified as possible risk. Of these 16 patients had the full AUDIT questionnaire, only eight with elevated values were started on DT. Overall compliance with the pathway increased to 84%.", "author" : [ { "dropping-particle" : "", "family" : "Salman", "given" : "M", "non-dropping-particle" : "", "parse-names" : false, "suffix" : "" }, { "dropping-particle" : "", "family" : "Subbe", "given" : "C", "non-dropping-particle" : "", "parse-names" : false, "suffix" : "" } ], "container-title" : "BMJ quality improvement reports", "id" : "ITEM-1", "issue" : "1 PG  - 10.1136/bmjquality.u206149.w2528. eCollection 2015", "issued" : { "date-parts" : [ [ "2015" ] ] }, "note" : "Henrik V. B. Laursen (2016-11-24 22:55:42)(Select): suppl: http://qir.bmj.com/content/4/1/u206149.w2528/suppl/DC1;", "page" : "10.1136/bmjquality.u206149.w2528. eCollection 2015", "publisher-place" : "England", "title" : "Alcohol detoxification in Ysbyty Gwynedd: Two small sips or one big gulp? Two-step screening more reliable for identification of alcohol dependency syndrome at risk of delirium tremens for routine care", "type" : "article-journal", "volume" : "4" }, "uris" : [ "http://www.mendeley.com/documents/?uuid=2805cf1b-4e89-4129-abd3-a99e08875738" ] } ], "mendeley" : { "formattedCitation" : "[90]", "plainTextFormattedCitation" : "[90]", "previouslyFormattedCitation" : "[90]"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[90]</w:t>
            </w:r>
            <w:r w:rsidRPr="009A13A8">
              <w:rPr>
                <w:rFonts w:ascii="Arial" w:eastAsia="Times New Roman" w:hAnsi="Arial" w:cs="Arial"/>
                <w:sz w:val="16"/>
                <w:szCs w:val="16"/>
                <w:lang w:eastAsia="en-GB"/>
              </w:rPr>
              <w:fldChar w:fldCharType="end"/>
            </w:r>
            <w:r w:rsidR="00CC0B09" w:rsidRPr="009A13A8">
              <w:rPr>
                <w:rFonts w:ascii="Arial" w:eastAsia="Times New Roman" w:hAnsi="Arial" w:cs="Arial"/>
                <w:sz w:val="16"/>
                <w:szCs w:val="16"/>
                <w:lang w:eastAsia="en-GB"/>
              </w:rPr>
              <w:t xml:space="preserve"> Salman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Wales</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Alcohol detoxification in Ysbyty Gwynedd: Two small sips or one big gulp? Two-step screening more reliable for identification of alcohol dependency syndrome at risk of delirium tremens for routine care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"10.1002/pbc", "ISBN" : "0732-183X (Print)\\n0732-183X (Linking)", "ISSN" : "0732183X", "PMID" : "2407808", "abstract" : "Prestudy patient characteristics and specific therapy of all eligible patients with rhabdomyosarcoma entered into Intergroup Rhabdomyosarcoma (RMS) Studies I (IRS-I) (1972 to 1978, n = 686) or II (IRS-II) (1978 to 1984, n = 1,002) were examined for their relationship to survival within each of the four clinical groups using univariate and multivariate analyses. The estimated survival at 5 years from the start of treatment was 56% in IRS-I and 62% in IRS-II (P = .006). The largest survival difference between studies was in patients with group III tumors (52% v 65%). The clinical group was the most important patient characteristic related to survival in both studies. Survival progressively decreased for patients from clinical group I (localized disease, completely resected) to group IV (metastatic disease at the onset). In clinical group I, the only patient characteristic consistently related to survival was histology. Patients with alveolar tumors had the poorest survival, while those with botryoid/ embryonal lesions had the best survival. In clinical group II, no characteristic was consistently related to survival. In clinical group III, an orbital primary site was associated with a favorable survival. In clinical group IV, patients with genitourinary tumors had a significant survival advantage. Use of disease-free survival as an end point gave very similar results. This information, from the largest available data base on prognostic indicators in childhood RMS in the context of aggressive multimodal therapies, is being used to plan therapy in the forthcoming study (IRS-IV). \u00a9 1990 by American Society of Clinical Oncology.", "author" : [ { "dropping-particle" : "", "family" : "6 and Joanne Hilden", "given" : "2 Jennifer L. Salstrom MD PhD 1 2 3* Rebecca L. Coughlin MEd 1 4 Kathleen Pool MSN CPNP 1 Melissa Bojan BSN 1 Camille Mediavilla BSN 1 William Schwent MBA 4 Michael Rannie MS 5 Dawn Law MBA 5 Michelle Finnerty BS", "non-dropping-particle" : "", "parse-names" : false, "suffix" : "" } ], "container-title" : "Journal of Clinical Oncology", "id" : "ITEM-1", "issue" : "3", "issued" : { "date-parts" : [ [ "1990" ] ] }, "note" : "Henrik V. B. Laursen (2016-12-01 20:52:35)(Select): ret godt studie;", "page" : "443-452", "publisher" : "The Authors. Pediatric Blood &amp; Cancer Published by Wiley Periodicals, Inc", "publisher-place" : "United States", "title" : "Prognosis in children with rhabdomyosarcoma: A report of the intergroup rhabdomyosarcoma studies I and II", "type" : "article-journal", "volume" : "8" }, "uris" : [ "http://www.mendeley.com/documents/?uuid=88ccfa40-6a82-4dee-9072-c35ed9b3176f" ] } ], "mendeley" : { "formattedCitation" : "[91]", "plainTextFormattedCitation" : "[91]", "previouslyFormattedCitation" : "[91]"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[91]</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Salstrom</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 patients who receive antibiotics for fever and neutropenia in less than 60 min have decreased intensive care needs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Lean</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"10.1542/peds.2014-3136", "ISBN" : "0031-4005", "ISSN" : "0031-4005", "PMID" : "26908687", "abstract" : "BACKGROUND AND OBJECTIVES: Previous studies have documented poor rates of delivery of preventive services, 1 of the core services provided in the primary care medical home setting. We aimed to increase the reliability of delivering a bundle of preventive services to patients 0 to 14 months of age from 58% of patient visits to 95% of visits. The bundle includes administration of routine vaccinations, offering influenza vaccination, completed lead screening, completed developmental screening tool, screening for maternal depression and food insecurity, and documentation of gestational age. METHODS: The setting was 3 academic pediatric primary care clinics that serve 31,000 patients (&gt;90% Medicaid). Quality improvement methodology was used and key driver diagram was determined. Patient \"Ideal Visit Flow\" and the Responsible, Accountable, Support, Consulted, and Informed Matrix were developed to drive accountability for components of the ideal flow. Plan, Do, Study, Act cycles were used to develop successful interventions. The percent of patients seen who received all bundle elements for which they were eligible was plotted weekly on a run chart, and statistical process control methods were used to determine a significant change in performance. RESULTS: The preintervention percentage of patient visits ages 0 to 14 months receiving all preventive service bundle elements was 58%. The postintervention percentage is 92%. CONCLUSIONS: Innovative redesign led to improvement in percentage of patients age 0 to 14 months who received the entire preventive services bundle. Key elements for success were multidisciplinary site-specific teams, redesigned visit flow, effective communication, and resources for data and project management.", "author" : [ { "dropping-particle" : "", "family" : "Samaan", "given" : "Z. M.", "non-dropping-particle" : "", "parse-names" : false, "suffix" : "" }, { "dropping-particle" : "", "family" : "Brown", "given" : "C. M.", "non-dropping-particle" : "", "parse-names" : false, "suffix" : "" }, { "dropping-particle" : "", "family" : "Morehous", "given" : "J.", "non-dropping-particle" : "", "parse-names" : false, "suffix" : "" }, { "dropping-particle" : "", "family" : "Perkins", "given" : "A. A.", "non-dropping-particle" : "", "parse-names" : false, "suffix" : "" }, { "dropping-particle" : "", "family" : "Kahn", "given" : "R. S.", "non-dropping-particle" : "", "parse-names" : false, "suffix" : "" }, { "dropping-particle" : "", "family" : "Mansour", "given" : "M. E.", "non-dropping-particle" : "", "parse-names" : false, "suffix" : "" } ], "container-title" : "Pediatrics", "id" : "ITEM-1", "issue" : "3", "issued" : { "date-parts" : [ [ "2016" ] ] }, "note" : "Henrik V. B. Laursen (2016-11-24 20:38:53)(Select): ingen adgang via aub;", "page" : "e20143136-e20143136", "title" : "Implementation of a Preventive Services Bundle in Academic Pediatric Primary Care Centers", "type" : "article-journal", "volume" : "137" }, "uris" : [ "http://www.mendeley.com/documents/?uuid=2c4e5818-d5b1-42ed-8f93-83603f44f457" ] } ], "mendeley" : { "formattedCitation" : "[92]", "plainTextFormattedCitation" : "[92]", "previouslyFormattedCitation" : "[92]"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[92]</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Samaan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Implementation of a preventive services bundle in academic pediatric primary care centers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"10.1016/j.carj.2016.07.008", "ISSN" : "14882361", "author" : [ { "dropping-particle" : "", "family" : "Samji", "given" : "Karim", "non-dropping-particle" : "", "parse-names" : false, "suffix" : "" }, { "dropping-particle" : "", "family" : "Kielar", "given" : "Ania", "non-dropping-particle" : "", "parse-names" : false, "suffix" : "" }, { "dropping-particle" : "", "family" : "Connolly", "given" : "Michael", "non-dropping-particle" : "", "parse-names" : false, "suffix" : "" }, { "dropping-particle" : "", "family" : "Hache", "given" : "Etienne", "non-dropping-particle" : "", "parse-names" : false, "suffix" : "" }, { "dropping-particle" : "", "family" : "Doherty", "given" : "Geoffrey", "non-dropping-particle" : "", "parse-names" : false, "suffix" : "" }, { "dropping-particle" : "", "family" : "Fasih", "given" : "Najla", "non-dropping-particle" : "", "parse-names" : false, "suffix" : "" } ], "container-title" : "Canadian Association of Radiologists Journal", "id" : "ITEM-1", "issue" : "1", "issued" : { "date-parts" : [ [ "2017" ] ] }, "page" : "4-9", "publisher" : "Elsevier Inc.", "title" : "Quality Improvement Initiative to Increase Consistent Use of Intraluminal Contrast in the Identification of Anastomotic Bowel Leaks on Computed Tomography, Using the Plan-Do-Study-Act Service Approach", "type" : "article-journal", "volume" : "68" }, "uris" : [ "http://www.mendeley.com/documents/?uuid=ce56743c-df42-4bac-8aed-d4ade747db00" ] } ], "mendeley" : { "formattedCitation" : "[93]", "plainTextFormattedCitation" : "[93]", "previouslyFormattedCitation" : "[93]"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[93]</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Samji</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Canada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Quality improvement initiative to increase consistent use of intraluminal contrast in the identification of anastomotic bowel leaks on computed tomography using plan-do-study-act service approach</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"10.1136/bmjquality.u211063.w4361", "ISSN" : "2050-1315", "PMID" : "27559471", "abstract" : "Inflammatory Bowel Disease (IBD) is a chronic autoimmune inflammatory disease of the intestine which can lead to malnutrition, poor quality of life, and colon cancer.1\u20134 Although there is no cure for the disease, clinical remission is the primary goal.5 The Center for Inflammatory Bowel Disease at MassGeneral Hospital for Children (MGHfC) adopted a Previsit Planning (PVP) model to identify and discuss symptomatic patients prior to their appointments to identify specific issues that impact disease management.6\u20138 The Registry from ImproveCareNow (ICN), the international Quality Improvement Collaborative for the management of Crohn's Disease and Ulcerative Colitis in pediatric and adolescent patients, was used to capture information from each ambulatory visit and hospitalization. Using the Model for Improvement framework, the team began a weekly review and made care recommendations of patients with active disease who were cared for by one physician. Interventions were modified over multiple Plan-Do-Study-Act (PDSA) improvement cycles to increase the number of providers and to include patients with mild or moderate disease activity.9 Feedback from the providers regarding this process was elicited via a REDCap survey and the clinical remission rate was tracked using the ICN Registry. The clinical remission rate for the Center's patients increased from 77% (n=597) in September 2014 to 83% (n=585) in August 2015 and has been maintained. 78% of responding providers indicated that they found the PVP recommendations helpful \u201call of the time\u201d. One hundred percent who responded to the survey said that they have used at least one recommendation provided to them. PVP for management of a chronic disease in pediatrics is feasible, even in a high volume practice. This process at MGHfC has resulted in the improvement of clinical remission rate. PDSA cycles were used to document successes and failures to help guide the work. Ongoing expansion of this PVP practice to all providers continues with the anticipation of including input from patients and their families, as well.", "author" : [ { "dropping-particle" : "", "family" : "Savarino", "given" : "Jeffrey R.", "non-dropping-particle" : "", "parse-names" : false, "suffix" : "" }, { "dropping-particle" : "", "family" : "Kaplan", "given" : "Jess L.", "non-dropping-particle" : "", "parse-names" : false, "suffix" : "" }, { "dropping-particle" : "", "family" : "Winter", "given" : "Harland S.", "non-dropping-particle" : "", "parse-names" : false, "suffix" : "" }, { "dropping-particle" : "", "family" : "Moran", "given" : "Christopher J.", "non-dropping-particle" : "", "parse-names" : false, "suffix" : "" }, { "dropping-particle" : "", "family" : "Israel", "given" : "Esther J.", "non-dropping-particle" : "", "parse-names" : false, "suffix" : "" } ], "container-title" : "BMJ Quality Improvement Reports", "id" : "ITEM-1", "issue" : "1", "issued" : { "date-parts" : [ [ "2016" ] ] }, "page" : "u211063.w4361", "title" : "Improving Clinical Remission Rates in Pediatric Inflammatory Bowel Disease with Previsit Planning", "type" : "article-journal", "volume" : "5" }, "uris" : [ "http://www.mendeley.com/documents/?uuid=4cd0d43e-a525-47b2-8bae-2f5e4e44c977" ] } ], "mendeley" : { "formattedCitation" : "[94]", "plainTextFormattedCitation" : "[94]", "previouslyFormattedCitation" : "[94]"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[94]</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Savarino</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Clinical Remission Rates in Pediatric Inflammatory Bowel Disease with Previsit Planning</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"10.1002/jhm.2656 [doi]", "ISSN" : "1553-5606", "abstract" : "Sepsis is a leading cause of in-hospital death, and evidence suggests a higher mortality in patients presenting with sepsis on the ward compared to those presenting to the emergency department. Ward patients who develop severe sepsis may have poor outcomes for a variety of reasons, including delayed diagnosis, lack of readily available staffing, and delayed treatment. We report on a multihospital quality improvement program for early detection and treatment of sepsis on general medical-surgical wards. We describe a multipronged approach to improve severe sepsis outcomes using the Institute for Healthcare Improvement's Plan-Do-Study-Act model. Sixty sites engaged in a collaborative implementation process that aligned people, process, and technology. Based on our experience, we recommend a stepwise approach to implement such a program: (1) both administrative and clinical leadership commit to a common goal; (2) appoint clinical champions and give them authority to engage other clinicians to improve timeliness of interventions; (3) map workflows and processes to rely heavily on the nursing staff's ability to evaluate and report severe sepsis screening results; (4) if available, design and deploy technology with the assistance of clinical informaticians (eg, to enable electronic health records-based continuous screening); (5) to determine success, consider tracking screening compliance and process, and outcome measures such as length of stay and mortality. Journal of Hospital Medicine 2016;S11:32-S39. (c) 2016 Society of Hospital Medicine.", "author" : [ { "dropping-particle" : "", "family" : "Schorr", "given" : "C", "non-dropping-particle" : "", "parse-names" : false, "suffix" : "" }, { "dropping-particle" : "", "family" : "Odden", "given" : "A", "non-dropping-particle" : "", "parse-names" : false, "suffix" : "" }, { "dropping-particle" : "", "family" : "Evans", "given" : "L", "non-dropping-particle" : "", "parse-names" : false, "suffix" : "" }, { "dropping-particle" : "", "family" : "Escobar", "given" : "G J", "non-dropping-particle" : "", "parse-names" : false, "suffix" : "" }, { "dropping-particle" : "", "family" : "Gandhi", "given" : "S", "non-dropping-particle" : "", "parse-names" : false, "suffix" : "" }, { "dropping-particle" : "", "family" : "Townsend", "given" : "S", "non-dropping-particle" : "", "parse-names" : false, "suffix" : "" }, { "dropping-particle" : "", "family" : "Levy", "given" : "M", "non-dropping-particle" : "", "parse-names" : false, "suffix" : "" } ], "container-title" : "Journal of hospital medicine", "id" : "ITEM-1", "issue" : "Journal Article PG  - S32-S39", "issued" : { "date-parts" : [ [ "2016" ] ] }, "page" : "S32-S39", "publisher" : "Society of Hospital Medicine", "publisher-place" : "United States", "title" : "Implementation of a multicenter performance improvement program for early detection and treatment of severe sepsis in general medical-surgical wards", "type" : "article-journal", "volume" : "11 Suppl 1" }, "uris" : [ "http://www.mendeley.com/documents/?uuid=31bb1a28-89bf-47b2-97ac-060a243136a8" ] } ], "mendeley" : { "formattedCitation" : "[95]", "plainTextFormattedCitation" : "[95]", "previouslyFormattedCitation" : "[95]"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[95]</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Schorr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Implementation of a multicenter performance improvement program for early detection and treatment of severe sepsis in general medical-surgical wards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"10.1136/bmjquality.u208549.w3409", "ISSN" : "2050-1315", "PMID" : "26734374", "abstract" : "Both the Centers for Disease Control and Prevention (CDC) and the U.S. Preventive Services Task Force (USPSTF) have recommended that adults born between the years of 1945-1965 should receive one-time testing for Hepatitis C Virus (HCV). In fact, Governor Andrew Cuomo of the State of New York had signed a bill on October 23, 2013 which mandated NY hospitals and healthcare providers to offer HCV testing to all \" Baby Boomers. \" For our project, we wanted to increase our community hospital's compliance with this law and improve the quality of patient care in doing so. An electronic medical record intervention was implemented in conjunction with our information technology services department. This intervention would flag eligible patients and would run them through a predetermined algorithm to see if they needed HCV testing. Multiple plan, do, study, act (PDSA) cycles were run during the length of the study and many changes were made in order to achieve maximum effect. We ended up increasing our HCV testing rate from 47.2% (pre-intervention) to 87.9% (final month of the study), which was statistically significant with a p-value of &lt;0.0000001. We also ended up with a framework that is both generalizable to other projects and is also self-sustaining, so that it can continue to run itself once all the project members have finished working there as house staff.", "author" : [ { "dropping-particle" : "", "family" : "Shahnazarian", "given" : "Vahe", "non-dropping-particle" : "", "parse-names" : false, "suffix" : "" }, { "dropping-particle" : "", "family" : "Karu", "given" : "Eric", "non-dropping-particle" : "", "parse-names" : false, "suffix" : "" }, { "dropping-particle" : "", "family" : "Mehta", "given" : "Parag", "non-dropping-particle" : "", "parse-names" : false, "suffix" : "" } ], "container-title" : "BMJ Quality Improvement Reports", "id" : "ITEM-1", "issue" : "1", "issued" : { "date-parts" : [ [ "2015" ] ] }, "note" : "Henrik V. B. Laursen (2016-11-24 21:16:55)(Select): supl: http://qir.bmj.com/content/4/1/u208549.w3409/suppl/DC1\n;", "page" : "u208549.w3409", "publisher-place" : "England", "title" : "Hepatitis C: improving the quality of screening in a community hospital by implementing an electronic medical record intervention", "type" : "article-journal", "volume" : "4" }, "uris" : [ "http://www.mendeley.com/documents/?uuid=0af85092-277f-46e2-812c-8224db2079d4" ] } ], "mendeley" : { "formattedCitation" : "[96]", "plainTextFormattedCitation" : "[96]", "previouslyFormattedCitation" : "[96]"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[96]</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Shahnazarian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Hepatitis C: improving the quality of screening in a community hospital by implementing an electronic medical record intervention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fldChar w:fldCharType="begin" w:fldLock="1"/>
            </w:r>
            <w:r w:rsidR="00BE7B49" w:rsidRPr="009A13A8">
              <w:rPr>
                <w:rFonts w:ascii="Arial" w:eastAsia="Times New Roman" w:hAnsi="Arial" w:cs="Arial"/>
                <w:sz w:val="16"/>
                <w:szCs w:val="16"/>
                <w:lang w:eastAsia="en-GB"/>
              </w:rPr>
              <w:instrText>ADDIN CSL_CITATION { "citationItems" : [ { "id" : "ITEM-1", "itemData" : { "DOI" : "10.4300/JGME-D-14-00760.1", "ISBN" : "1949-8357", "ISSN" : "1949-8357 (Electronic)", "PMID" : "26457157", "abstract" : "BACKGROUND: Complete and accurate discharge summaries can improve communication and continuity of care between inpatient and ambulatory settings as well as reduce adverse events. However, discharge summaries commonly lack key information. OBJECTIVE: To determine if a quality improvement intervention that actively engages residents and attending physicians would improve the timeliness and quality of hospital discharge summaries at our academic children's hospital, and would help trainees and clinicians complete educational requirements. METHODS: Electronic health record queries were used to assess time to completion of discharge summaries. A total of 120 discharge summaries from 36 eligible residents were reviewed by 9 attending pediatricians using an objective discharge summary scoring instrument. Improvement was facilitated through monthly learning sessions and Plan-Do-Study-Act cycles. RESULTS: The proportion of summaries completed within 24 hours of discharge increased from 38% to 73%; mean discharge summary scores improved from 54% to 99%; and percentage of summaries that included all 13 elements in the scoring instrument increased from 0% to 80%. All elements most likely to be deficient at baseline showed a higher likelihood of being included in summaries following the intervention. The rate of summaries that were scored as containing appropriate detail and being an appropriate length also increased from 0% to 80%. The 9 attending pediatricians received maintenance of certification credits for their participation. CONCLUSIONS: A multifaceted quality improvement intervention, which included stakeholder involvement, clinician education, standardization of documentation, policy changes, and provision of board certification credits, improved the quality and timeliness of discharge summaries at our academic children's hospital.", "author" : [ { "dropping-particle" : "", "family" : "Shaikh", "given" : "Ulfat", "non-dropping-particle" : "", "parse-names" : false, "suffix" : "" }, { "dropping-particle" : "", "family" : "Slee", "given" : "Christina", "non-dropping-particle" : "", "parse-names" : false, "suffix" : "" } ], "container-title" : "Journal of graduate medical education", "id" : "ITEM-1", "issue" : "3", "issued" : { "date-parts" : [ [ "2015" ] ] }, "note" : "Henrik V. B. Laursen (2016-12-02 23:53:27)(Select): gamle l\u00e6ger kigger p\u00e5 nye l\u00e6gers epikriser, ser hvad de ikke g\u00f8r godt nok, PDSA'er det ift. hvordan det kan g\u00f8res bedre -&amp;gt; epikriser g\u00f8res bedre. Synes den er fin.; S\u00f8ren Valgreen Knudsen (2016-12-01 04:14:23)(Select): er ikke helt sikker, n\u00e6rl\u00e6s;", "page" : "462-465", "publisher-place" : "United States", "title" : "Triple Duty: Integrating Graduate Medical Education With Maintenance of Board Certification to Improve Clinician Communication at Hospital Discharge.", "type" : "article-journal", "volume" : "7" }, "uris" : [ "http://www.mendeley.com/documents/?uuid=929a5b95-1390-408f-95b2-5615c849fba6" ] } ], "mendeley" : { "formattedCitation" : "[97]", "plainTextFormattedCitation" : "[97]", "previouslyFormattedCitation" : "[97]"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[97]</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Shaikh</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Triple Duty: Integrating Graduate Medical Education With Maintenance of Board Certification to Improve Clinician Communication at Hospital Discharge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"10.1136/bmjquality.u210921.w5756", "ISSN" : "2050-1315", "author" : [ { "dropping-particle" : "", "family" : "Singh", "given" : "Inderpal", "non-dropping-particle" : "", "parse-names" : false, "suffix" : "" }, { "dropping-particle" : "", "family" : "Fletcher", "given" : "Rachel", "non-dropping-particle" : "", "parse-names" : false, "suffix" : "" }, { "dropping-particle" : "", "family" : "Scanlon", "given" : "Linda", "non-dropping-particle" : "", "parse-names" : false, "suffix" : "" }, { "dropping-particle" : "", "family" : "Tyler", "given" : "Mandy", "non-dropping-particle" : "", "parse-names" : false, "suffix" : "" }, { "dropping-particle" : "", "family" : "Aithal", "given" : "Shridhar", "non-dropping-particle" : "", "parse-names" : false, "suffix" : "" } ], "container-title" : "BMJ Quality Improvement Reports", "id" : "ITEM-1", "issue" : "1", "issued" : { "date-parts" : [ [ "2016" ] ] }, "page" : "u210921.w5756", "title" : "A quality improvement initiative on the management of osteoporosis in older people with Parkinsonism", "type" : "article-journal", "volume" : "5" }, "uris" : [ "http://www.mendeley.com/documents/?uuid=9b478372-39a5-48ab-9403-211959448b89" ] } ], "mendeley" : { "formattedCitation" : "[98]", "plainTextFormattedCitation" : "[98]", "previouslyFormattedCitation" : "[98]"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[98]</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Singh</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quality improvement initiative on the management of osteoporosis in older people with Parkinsonism</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"10.1136/bmjquality.u210921.w4741", "ISSN" : "2050-1315", "PMID" : "27559476", "abstract" : "ABSTRACT Inpatient falls (IF) are the most commonly reported safety incidents. The high rate of inpatient falls was reported in a newly built hospital, within Aneurin Bevan University Health Board, Wales (UK). The aim of the project is to reduce the incidence of IF and associated adverse clinical outcomes in a hospital with 100% single rooms. The key mechanism for improvement was education and training of nursing staff around falls risk factors. A Plan-Do-Study-Act methodology was used and a geriatrician-led, systematic nurse training programme on the understanding and correct use of existing multifactorial falls risk assessment (FRA) tool was implemented in April 2013. Pre-training baseline data revealed inadequate falls assessment and low completion rates of the FRA tool. Subsequent, post-training data showed improvement in compliance with all aspects of FRA. Concurrent with nurse training, the actual falls incidence/1000 patient- bed-days fell significantly from the baseline of 18.19 \u00b13.46 (Nov 2011-March 2013) to 13.36\u00b12.89 (p&lt;0.001) over next 12 months (April 2013-March 2014) and remained low (mean falls 12.81\u00b12.85) until November 2015. Improved clinical outcomes have been observed in terms of a reduction of length of stay and new care home placements, making total annualised savings of \u00a3642,055.", "author" : [ { "dropping-particle" : "", "family" : "Singh", "given" : "Inderpal", "non-dropping-particle" : "", "parse-names" : false, "suffix" : "" }, { "dropping-particle" : "", "family" : "Okeke", "given" : "Justin", "non-dropping-particle" : "", "parse-names" : false, "suffix" : "" } ], "container-title" : "BMJ Quality Improvement Reports", "id" : "ITEM-1", "issue" : "1", "issued" : { "date-parts" : [ [ "2016" ] ] }, "page" : "u210921.w4741", "publisher-place" : "England", "title" : "Reducing inpatient falls in a 100% single room elderly care environment: evaluation of the impact of a systematic nurse training programme on falls risk assessment (FRA)", "type" : "article-journal", "volume" : "5" }, "uris" : [ "http://www.mendeley.com/documents/?uuid=2ca4e68f-9505-4fb5-8255-8740446ef70b" ] } ], "mendeley" : { "formattedCitation" : "[99]", "plainTextFormattedCitation" : "[99]", "previouslyFormattedCitation" : "[99]"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[99]</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Singh</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Wales</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Reducing inpatient falls in a 100% single room elderly care environment: evaluation of the impact of a systematic nurse training programme on falls risk assessment (FRA)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"10.1136/bmjquality.u201341.w1226", "ISSN" : "2050-1315", "PMID" : "26734351", "abstract" : "Annual patient attendances at a pre-operative assessment department increased by 24.8% from 5659 in 2009, to 7062 in 2012. The unit was staffed by administrative staff, nurses, and health care assistants (HCA). Medical review was accessed via on call medical staff, or notes were sent to anaesthetists for further review. With rising demand, patient waits increased. The average lead time for a patient (time from entering the department to leaving) was 79 minutes. 9.3% of patients attended within two weeks of their scheduled surgery date. 10% of patients were asked to return on a later day, as there was not sufficient capacity to undertake their assessment. There were nine routes of referral in to the department. Patients moved between different clinic rooms and the waiting area several times. Work patterns were uneven, as many attendances were from out-patient clinics which meant peak attendance times were linked to clinic times. There were substantial differences in the approaches of different nurses, making the HCA role difficult. Patients reported dissatisfaction with waits. Using a Lean quality improvement process with rapid PDSA cycles, the service changed to one in which patients were placed in a room, and remained there for the duration of their assessment. Standard work was developed for HCWs and nurses. Rooms were standardised using 5S processes, and set up improved to reduce time spent looking for supplies. A co-ordinator role was introduced using existing staff to monitor flow and to organise the required medical assessments and ECGs. Timing of booked appointments were altered to take account of clinic times. Routes in to the department were reduced from nine to one. Ten months after the work began, the average lead time had reduced to 59 minutes. The proportion of people attending within two weeks of their surgery decreased from 9.3% to 5.3%. Referrals for an anaesthetic opinion decreased from 30% to 20%, and in the month reviewed no one had to return to be seen as a result of limited capacity.", "author" : [ { "dropping-particle" : "", "family" : "Stark", "given" : "Cameron", "non-dropping-particle" : "", "parse-names" : false, "suffix" : "" }, { "dropping-particle" : "", "family" : "Gent", "given" : "Anne", "non-dropping-particle" : "", "parse-names" : false, "suffix" : "" }, { "dropping-particle" : "", "family" : "Kirkland", "given" : "Linda", "non-dropping-particle" : "", "parse-names" : false, "suffix" : "" } ], "container-title" : "BMJ Quality Improvement Reports", "id" : "ITEM-1", "issue" : "1", "issued" : { "date-parts" : [ [ "2015" ] ] }, "page" : "u201341.w1226", "publisher-place" : "England", "title" : "Improving patient flow in pre-operative assessment", "type" : "article-journal", "volume" : "4" }, "uris" : [ "http://www.mendeley.com/documents/?uuid=ed35c8c8-a34e-4bd6-bae8-807d8525332f" ] } ], "mendeley" : { "formattedCitation" : "[100]", "plainTextFormattedCitation" : "[100]", "previouslyFormattedCitation" : "[100]"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[100]</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Stark</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patient flow in pre-operative assessment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Lean</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650D19"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"10.1542/peds.2015-4413", "ISBN" : "0031-4005", "ISSN" : "0031-4005", "PMID" : "27940663", "abstract" : "OBJECTIVE: Errors made in the administration of intravenous medication can lead to catastrophic harm. The frequency of hospital settings in which medication pumps are being used are increasing. We sought to improve medication safety by implementing a 2-person verification system before medication administration. METHODS: Our quality improvement initiative took place in an anesthesia radiology imaging service at a tertiary pediatric hospital. Key drivers included frequent educational meetings with clinicians, written reminders, display of visual reminders, constant feedback in the clinical areas that carried out the processes, and sharing of knowledge on displayed run charts. A multidisciplinary team conducted a series of tests of changes to address the interventions. Data were collected and entered into a database by an independent and impartial data collector. Data were analyzed via run charts and statistical process control methods. RESULTS: The team ran 24 plan-do-study-act ramps. The rate of 2-person verification of infusion pump programming increased from 0% to 90% and was sustained. Overall, 4 errors were rectified before the medication was administered to the patient. There was no delay in case starts (&gt;90% before and during the project). This project played a key role, as part of a larger initiative within the department of anesthesia, in reducing medication errors. CONCLUSIONS: A brief 2-person verification approach can reduce medication errors due to inaccurate infusion pump programming. This improvement was achieved with the use of plan-do-study-act cycles. The impact can be significant and will promote a hospital safety culture. Copyright \u00a9 2016 by the American Academy of Pediatrics.", "author" : [ { "dropping-particle" : "", "family" : "Subramanyam", "given" : "R.", "non-dropping-particle" : "", "parse-names" : false, "suffix" : "" }, { "dropping-particle" : "", "family" : "Mahmoud", "given" : "M.", "non-dropping-particle" : "", "parse-names" : false, "suffix" : "" }, { "dropping-particle" : "", "family" : "Buck", "given" : "D.", "non-dropping-particle" : "", "parse-names" : false, "suffix" : "" }, { "dropping-particle" : "", "family" : "Varughese", "given" : "A.", "non-dropping-particle" : "", "parse-names" : false, "suffix" : "" } ], "container-title" : "Pediatrics", "id" : "ITEM-1", "issue" : "6", "issued" : { "date-parts" : [ [ "2016" ] ] }, "page" : "e20154413-e20154413", "title" : "Infusion Medication Error Reduction by Two-Person Verification: A Quality Improvement Initiative", "type" : "article-journal", "volume" : "138" }, "uris" : [ "http://www.mendeley.com/documents/?uuid=86375d4b-a76e-4ff2-b3ae-c21176dacd7f" ] } ], "mendeley" : { "formattedCitation" : "[101]", "plainTextFormattedCitation" : "[101]", "previouslyFormattedCitation" : "[101]"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[101]</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Subramanyam</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Infusion Medication error reduction by tow-person verification: A quality improvement initiative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"10.1136/bmjquality.u209517.w3931", "ISSN" : "2050-1315", "PMID" : "26734452", "abstract" : "The pediatric clinics of the Michigan State University College of Human Medicine (MSU-CHM) consist of academic pediatricians serving two clinics with a patient population of 5200. The internal quality measures published by the MSU health team had consistently indicated our generic medications prescription rate to be very low, with an average of about 21% for the years 2009, 2010, and 2011. There was an earnest need to increase our generic medication prescription rates, which is considered an indicator of good practice. The stakeholders Sudhanthar, S., Turner, J., Thakur, K., &amp; Sigal, Y. (2015). Improving viable low cost generic medication prescription rate in primary care pediatric practice. BMJ Quality Improvement Reports, 4(1), 3\u20135. http://doi.org/10.1136/bmjquality.u209517.w3931identified were physicians, nurses, care managers, and the health information technology (HIT) team. The purpose of the project was to increase the prescribing rate of viable low cost and approved generic medications for the patients of the MSU-CHM general pediatric clinics. The stakeholders regularly met every few months to work on increasing the generic medication prescription rates based on the PDSA cycle. Help was sought from HIT to identify and acquire the top 10 brand names the group was prescribing along with individual provider data. The team reviewed the brand names most prescribed, and made a recommendation that the best group to target were the stimulant medications, allergy and asthma medications, and other psychotropics. The HIT team was then requested to add the available generics for all stimulant medications, asthma medications, and others in the electronic medical record (EMR). They were also clearly marked for ease of use, for example: amphetamine-dextroamphetamine extended release \"generic for Adderall XR.\" It was decided that providers would prescribe all stimulants as a generic, unless not available, and nurses would change each brand name of stimulants to a generic every time they refilled a medicine, based on a protocol outlining the appropriate generic medications corresponding to the respective brand names. The physicians and nurses were also urged to discuss with the patients the substitution process and answer any questions from parents. Monthly reports were obtained from the HIT about our progress. After 12 months of implementing this project, the overall generic prescription rate increased from 20% at the end of first quarter 2012 to 53% at the end\u2026", "author" : [ { "dropping-particle" : "", "family" : "Sudhanthar", "given" : "Sathyanarayan", "non-dropping-particle" : "", "parse-names" : false, "suffix" : "" }, { "dropping-particle" : "", "family" : "Turner", "given" : "Jane", "non-dropping-particle" : "", "parse-names" : false, "suffix" : "" }, { "dropping-particle" : "", "family" : "Thakur", "given" : "Kripa", "non-dropping-particle" : "", "parse-names" : false, "suffix" : "" }, { "dropping-particle" : "", "family" : "Sigal", "given" : "Yakov", "non-dropping-particle" : "", "parse-names" : false, "suffix" : "" } ], "container-title" : "BMJ quality improvement reports", "id" : "ITEM-1", "issue" : "1", "issued" : { "date-parts" : [ [ "2015" ] ] }, "note" : "Henrik V. B. Laursen (2016-11-24 05:47:09)(Select): suppl: http://qir.bmj.com/content/4/1/u209517.w3931/suppl/DC1;", "page" : "3-5", "publisher-place" : "England", "title" : "Improving viable low cost generic medication prescription rate in primary care pediatric practice.", "type" : "article-journal", "volume" : "4" }, "uris" : [ "http://www.mendeley.com/documents/?uuid=764897de-f3f4-444b-abe7-f7a0e49b208c" ] } ], "mendeley" : { "formattedCitation" : "[102]", "plainTextFormattedCitation" : "[102]", "previouslyFormattedCitation" : "[102]"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[102]</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Sudhanthar</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viable low cost generic medication prescription rate in primary care pediatric practice</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"10.1136/bmjquality.u209517.w3913", "ISSN" : "2050-1315", "PMID" : "26734415", "abstract" : "Adolescent depression, has been identified as one of the important risk factors for adolescent safety. The American Academy of Pediatrics (AAP) recommends screening the adolescent population for depression with a validated screening tool at least once a year. Given the time constraints in primary care, many physicians tend to rely more on clinical questioning to screen depression.This has the potential to miss many adolescents who may have mild to moderate depression which may prove detrimental to their emotional and physical health. Quality measures had consistently indicated that the validated adolescent depression screening rate in our two pediatric clinics was 10-15% in the past two years starting from 2012. There was a need to increase our screening rate for adolescent depression with a validated questionnaire. The stakeholders identified were physicians, nurses and the health information team (HIT). The Patient Health Questionnaire-2 (PHQ-2) is a standardized tool and serves as a good first step rapid screening of the population. A decision was made to implement the use of PHQ-2 to all the adolescents aged 11-21. A clinic flow protocol was developed. As the patient checks in, there will be a computer pop-up reminding nurses to administer the PHQ-2. The PHQ-2 self-scores in the Electronic Health Record (EHR) and if the score is three or more the nurses would automatically administer the PHQ-9 which is also embedded and self-scored in the EHR. After 12 months of implementing this project with four PDSA cycles, the adolescent depression-screening rate improved from 10-15% from the previous two years to 65% (six month period) and 82% at the end of the 12 month period. The rate of referral to mental health services had also increased in the same time period compared to the previous years. In conclusion, screening for adolescent depression with a brief validated tool in a busy primary care office is possible with the help of the EHR.", "author" : [ { "dropping-particle" : "", "family" : "Sudhanthar", "given" : "Sathyanarayan", "non-dropping-particle" : "", "parse-names" : false, "suffix" : "" }, { "dropping-particle" : "", "family" : "Thakur", "given" : "Kripa", "non-dropping-particle" : "", "parse-names" : false, "suffix" : "" }, { "dropping-particle" : "", "family" : "Sigal", "given" : "Yakov", "non-dropping-particle" : "", "parse-names" : false, "suffix" : "" }, { "dropping-particle" : "", "family" : "Turner", "given" : "Jane", "non-dropping-particle" : "", "parse-names" : false, "suffix" : "" } ], "container-title" : "BMJ Quality Improvement Reports", "id" : "ITEM-1", "issue" : "1", "issued" : { "date-parts" : [ [ "2015" ] ] }, "note" : "Henrik V. B. Laursen (2016-11-24 05:50:47)(Select): suppl: http://qir.bmj.com/content/4/1/u209517.w3913/suppl/DC1;", "page" : "u209517.w3913", "publisher-place" : "England", "title" : "Improving validated depression screen among adolescent population in primary care practice using electronic health records (EHR).", "type" : "article-journal", "volume" : "4" }, "uris" : [ "http://www.mendeley.com/documents/?uuid=e236722f-22c7-4b99-8273-6466508709d1" ] } ], "mendeley" : { "formattedCitation" : "[103]", "plainTextFormattedCitation" : "[103]", "previouslyFormattedCitation" : "[103]"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[103]</w:t>
            </w:r>
            <w:r w:rsidRPr="009A13A8">
              <w:rPr>
                <w:rFonts w:ascii="Arial" w:eastAsia="Times New Roman" w:hAnsi="Arial" w:cs="Arial"/>
                <w:sz w:val="16"/>
                <w:szCs w:val="16"/>
                <w:lang w:eastAsia="en-GB"/>
              </w:rPr>
              <w:fldChar w:fldCharType="end"/>
            </w:r>
            <w:r w:rsidR="00CC0B09" w:rsidRPr="009A13A8">
              <w:rPr>
                <w:rFonts w:ascii="Arial" w:eastAsia="Times New Roman" w:hAnsi="Arial" w:cs="Arial"/>
                <w:sz w:val="16"/>
                <w:szCs w:val="16"/>
                <w:lang w:eastAsia="en-GB"/>
              </w:rPr>
              <w:t xml:space="preserve"> </w:t>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Sudhanthar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validated depression screen among adolescent population in primary care practice using electronic health records (EHR)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"10.1200/JOP.2015.007765", "ISBN" : "0923-7534", "ISSN" : "1554-7477", "PMID" : "26759493", "abstract" : "PURPOSE To meet increasing demand for cancer genetic testing and improve value-based cancer care delivery, National Cancer Centre Singapore restructured the Cancer Genetics Service in 2014. Care delivery processes were redesigned. We sought to improve access by increasing the clinic capacity of the Cancer Genetics Service by 100% within 1 year without increasing direct personnel costs. METHODS Process mapping and plan-do-study-act (PDSA) cycles were used in a quality improvement project for the Cancer Genetics Service clinic. The impact of interventions was evaluated by tracking the weekly number of patient consultations and access times for appointments between April 2014 and May 2015. The cost impact of implemented process changes was calculated using the time-driven activity-based costing method. RESULTS Our study completed two PDSA cycles. An important outcome was achieved after the first cycle: The inclusion of a genetic counselor increased clinic capacity by 350%. The number of patients seen per week increased from two in April 2014 (range, zero to four patients) to seven in November 2014 (range, four to 10 patients). Our second PDSA cycle showed that manual preappointment reminder calls reduced the variation in the nonattendance rate and contributed to a further increase in patients seen per week to 10 in May 2015 (range, seven to 13 patients). There was a concomitant decrease in costs of the patient care cycle by 18% after both PDSA cycles. CONCLUSION This study shows how quality improvement methods can be combined with time-driven activity-based costing to increase value. In this paper, we demonstrate how we improved access while reducing costs of care delivery.", "author" : [ { "dropping-particle" : "", "family" : "Tan", "given" : "Ryan Y.C.", "non-dropping-particle" : "", "parse-names" : false, "suffix" : "" }, { "dropping-particle" : "", "family" : "Met-Domestici", "given" : "Marie", "non-dropping-particle" : "", "parse-names" : false, "suffix" : "" }, { "dropping-particle" : "", "family" : "Zhou", "given" : "Ke", "non-dropping-particle" : "", "parse-names" : false, "suffix" : "" }, { "dropping-particle" : "", "family" : "Guzman", "given" : "Alexis B.", "non-dropping-particle" : "", "parse-names" : false, "suffix" : "" }, { "dropping-particle" : "", "family" : "Lim", "given" : "Soon Thye", "non-dropping-particle" : "", "parse-names" : false, "suffix" : "" }, { "dropping-particle" : "", "family" : "Soo", "given" : "Khee Chee", "non-dropping-particle" : "", "parse-names" : false, "suffix" : "" }, { "dropping-particle" : "", "family" : "Feeley", "given" : "Thomas W.", "non-dropping-particle" : "", "parse-names" : false, "suffix" : "" }, { "dropping-particle" : "", "family" : "Ngeow", "given" : "Joanne", "non-dropping-particle" : "", "parse-names" : false, "suffix" : "" } ], "container-title" : "Journal of Oncology Practice", "id" : "ITEM-1", "issue" : "3", "issued" : { "date-parts" : [ [ "2016" ] ] }, "page" : "e320-e331", "title" : "Using Quality Improvement Methods and Time-Driven Activity-Based Costing to Improve Value-Based Cancer Care Delivery at a Cancer Genetics Clinic", "type" : "article-journal", "volume" : "12" }, "uris" : [ "http://www.mendeley.com/documents/?uuid=14ccc256-03f4-442a-9775-d523b0f0f380" ] } ], "mendeley" : { "formattedCitation" : "[104]", "plainTextFormattedCitation" : "[104]", "previouslyFormattedCitation" : "[104]"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[104]</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Tan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Singapore</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Oncology</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Using Quality Improvement Methods and Time-Driven Activity-Based Costing to Improve Value-Based Cancer Care Delivery at a Cancer Genetics Clinic</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CC0B09"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"ISSN" : "1555-9823", "PMID" : "27215730", "abstract" : "Screening and brief intervention (SBI) decreases alcohol use and related consequences among trauma patients. Although SBI is required in Level I and II trauma centers, implementation often is difficult. This study used the Plan-Do-Study-Act approach to identify and implement measures to increase the number of patients receiving SBI at a Level I trauma center. A multidisciplinary Quality Improvement Committee with representation from the Trauma Service and SBI Team met monthly during 2011. Stepwise interventions included identifying a resident \"champion\" responsible for screening, brief intervention, and referral to treatment, including an SBI report at monthly trauma conferences, and incorporating SBI into the trauma order set. Outcomes measures were number of patients screened, patients screening positive, and the number of patients receiving SBI. At baseline, 170 of 362 patients (47%) were screened, 68/170 (40%) had positive screens, and 30/68 (44% of those with positive screens) received SBI services. Quarter 2 saw increases in patients screened-275/437 (63%), patients screening positive (106/275; 39%) and those receiving SBI (60/106; 57%). Increases culminated in Quarter 4 with screening 401/466 (86%; P &lt; 0.001) patients, 208/401 (52%; P &lt; 0.001) patients screening positive, and 114 patients (55%; P = 0.296) receiving services. Use of similar quality improvement measures nationwide could improve rates of provision of this important service.", "author" : [ { "dropping-particle" : "", "family" : "Thomas", "given" : "Princess", "non-dropping-particle" : "", "parse-names" : false, "suffix" : "" }, { "dropping-particle" : "", "family" : "Seale", "given" : "J Paul", "non-dropping-particle" : "", "parse-names" : false, "suffix" : "" }, { "dropping-particle" : "", "family" : "Johnson", "given" : "J Aaron", "non-dropping-particle" : "", "parse-names" : false, "suffix" : "" }, { "dropping-particle" : "", "family" : "Dhabliwala", "given" : "Jason", "non-dropping-particle" : "", "parse-names" : false, "suffix" : "" }, { "dropping-particle" : "", "family" : "Kitchens", "given" : "Debra", "non-dropping-particle" : "", "parse-names" : false, "suffix" : "" }, { "dropping-particle" : "", "family" : "Okosun", "given" : "Ike S", "non-dropping-particle" : "", "parse-names" : false, "suffix" : "" }, { "dropping-particle" : "", "family" : "Stokes", "given" : "Nathan A", "non-dropping-particle" : "", "parse-names" : false, "suffix" : "" }, { "dropping-particle" : "", "family" : "Ashley", "given" : "Dennis", "non-dropping-particle" : "", "parse-names" : false, "suffix" : "" } ], "container-title" : "The American surgeon", "id" : "ITEM-1", "issue" : "5", "issued" : { "date-parts" : [ [ "2016" ] ] }, "page" : "468-73", "title" : "Impact of a Quality Improvement Intervention to Increase Brief Alcohol and Drug Interventions on a Level I Trauma Service.", "type" : "article-journal", "volume" : "82" }, "uris" : [ "http://www.mendeley.com/documents/?uuid=5767ea2a-cff7-45e5-baa4-fa7f61664e79" ] } ], "mendeley" : { "formattedCitation" : "[105]", "plainTextFormattedCitation" : "[105]", "previouslyFormattedCitation" : "[105]"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[105]</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Thomas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Impact of a Quality Improvement Intervention to Increase Brief Alcohol and Drug Interventions on a Level I Trauma Service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"10.1186/s12245-015-0072-5", "ISBN" : "1865-1380", "ISSN" : "18651380", "PMID" : "26191085", "abstract" : "BACKGROUND:Mnazi Mmoja Hospital is a tertiary hospital in Zanzibar serving a population of 1.2 million. The emergency department was overcrowded and understaffed and the hospital management initiated a quality improvement project. The aim of this article is to describe the approach, methods and main results of this quality improvement process.METHODS:The Plan-Do-Study-Act (PDSA) method was used in a five-circle process. In addition, a consensus-based approach was performed to identify areas of improvement.RESULTS:Over a period of 6months, regular staff meetings were implemented, a registration system was developed and implemented, the numbers of patients with simple problems were reduced, a simple triage tool was developed and implemented and an emergency room was established.CONCLUSIONS:Change and improvement in health care are achievable despite limited financial resources if a comprehensive, robust and simple system is used. Involvement of all stakeholders from the start, identification and use of change agents, regular feedback and a focus on human resources rather than equipment have been key factors for the success of this project.", "author" : [ { "dropping-particle" : "", "family" : "Thomassen", "given" : "Oyvind", "non-dropping-particle" : "", "parse-names" : false, "suffix" : "" }, { "dropping-particle" : "", "family" : "Mann", "given" : "Clifford", "non-dropping-particle" : "", "parse-names" : false, "suffix" : "" }, { "dropping-particle" : "", "family" : "Mbwana", "given" : "Juma Salum", "non-dropping-particle" : "", "parse-names" : false, "suffix" : "" }, { "dropping-particle" : "", "family" : "Brattebo", "given" : "Guttorm", "non-dropping-particle" : "", "parse-names" : false, "suffix" : "" } ], "container-title" : "International Journal of Emergency Medicine", "id" : "ITEM-1", "issue" : "1", "issued" : { "date-parts" : [ [ "2015" ] ] }, "page" : "22", "publisher-place" : "England", "title" : "Emergency medicine in Zanzibar: the effect of system changes in the emergency department", "type" : "article-journal", "volume" : "8" }, "uris" : [ "http://www.mendeley.com/documents/?uuid=ae9efd22-d987-4d4e-875a-e871c9afeebb" ] } ], "mendeley" : { "formattedCitation" : "[106]", "plainTextFormattedCitation" : "[106]", "previouslyFormattedCitation" : "[106]"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[106]</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Thomassen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Zanzibar</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Intensive care unit / Emergency department</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Emergency medicine in Zanzibar: the effect of system changes in the emergency department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"10.3171/2015.10.JNS15698.", "ISBN" : "9780819435033", "ISSN" : "1933-0693", "PMID" : "26967774", "abstract" : "OBJECTIVE The inclusion of the pain management domain in the Hospital Consumer Assessment of Healthcare Pro- viders and Systems (HCAHPS) survey now ties patients\u2019 perceptions of pain and analgesia to financial reimbursement for inpatient stays. Therefore, the authors wanted to determine if a quality improvement initiative centered on a standard- ized analgesia protocol could significantly reduce postoperative pain among neurosurgery patients. METHODS The authors implemented a 10-month, prospective, interrupted time-series trial of a quality improvement initiative. The intervention consisted of a multimodal, interdepartmental, standardized analgesia protocol with process improvements from preadmission to discharge. All neurosurgical-floor patients participated in the quality improvement in- tervention, with data collected on a systematically randomly sampled subset of 96 patients for detailed analysis. Patient- reported numeric rating scale pain on the first postoperative day (POD) served as the primary outcome. RESULTS Implementation of the analgesia protocol resulted in improved preoperative and postoperative documentation of pain (p &lt; 0.001) and improved use of multimodal analgesia, including use of NSAIDs (p &lt; 0.009) and gabapentin (p &lt; 0.027). This intervention also correlated with a 32% reduction in reported pain on the 1st POD for all neurosurgical pa- tients (mean pain scale scores 4.31 vs 2.94; p = 0.000) and a 43% reduction among spinal surgery patients (mean pain scale scores 5.45 vs 3.10; p = 0.036). After controlling for covariates, implementation of the protocol was a significant predictor of lowered postoperative pain (p = 0.05) on the 1st POD. This reduction in pain correlated with protocol compli- ance (p = 0.028), and a significant decrease in the monthly number of naloxone doses suggests improved safety (mean dose \u00b1 SD 1.5 \u00b1 1.0 vs 0.33 \u00b1 0.5; p = 0.04). Furthermore, a significant and persistent reduction in the pain manage- ment component of the HCAHPS scores suggests a durability of results extending beyond the life of the study (72.1% vs 82.0%; p = 0.033). CONCLUSIONS The implementation of a standardized analgesia protocol can significantly reduce postoperative pain among neurosurgical patients while increasing safety. Given the current climate of patient-centered outcomes, this study has broad implications for the continuum of care model proposed in the Affordable Care Act.", "author" : [ { "dropping-particle" : "", "family" : "Titsworth", "given" : "W. Lee", "non-dropping-particle" : "", "parse-names" : false, "suffix" : "" }, { "dropping-particle" : "", "family" : "Abram", "given" : "Justine", "non-dropping-particle" : "", "parse-names" : false, "suffix" : "" }, { "dropping-particle" : "", "family" : "Guin", "given" : "Peggy", "non-dropping-particle" : "", "parse-names" : false, "suffix" : "" }, { "dropping-particle" : "", "family" : "Herman", "given" : "Mary A.", "non-dropping-particle" : "", "parse-names" : false, "suffix" : "" }, { "dropping-particle" : "", "family" : "West", "given" : "Jennifer", "non-dropping-particle" : "", "parse-names" : false, "suffix" : "" }, { "dropping-particle" : "", "family" : "Davis", "given" : "Nicolle W.", "non-dropping-particle" : "", "parse-names" : false, "suffix" : "" }, { "dropping-particle" : "", "family" : "Bushwitz", "given" : "Jennifer", "non-dropping-particle" : "", "parse-names" : false, "suffix" : "" }, { "dropping-particle" : "", "family" : "Hurley", "given" : "Robert W.", "non-dropping-particle" : "", "parse-names" : false, "suffix" : "" }, { "dropping-particle" : "", "family" : "Seubert", "given" : "Christoph N.", "non-dropping-particle" : "", "parse-names" : false, "suffix" : "" } ], "container-title" : "Journal of Neurosurgery", "id" : "ITEM-1", "issue" : "December", "issued" : { "date-parts" : [ [ "2016" ] ] }, "page" : "1-10", "title" : "A prospective time-series quality improvement trial of a standardized analgesia protocol to reduce postoperative pain among neurosurgery patients.", "type" : "article-journal", "volume" : "3" }, "uris" : [ "http://www.mendeley.com/documents/?uuid=8ec443db-20a9-4699-acb1-a7f1a8b9d7c8" ] } ], "mendeley" : { "formattedCitation" : "[107]", "plainTextFormattedCitation" : "[107]", "previouslyFormattedCitation" : "[107]"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[107]</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Titsworth</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Neurology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prospective time-series quality improvement trial of a standardized analgesia protocol to reduce postoperative pain among neurosurgery patients</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"10.1097/NCQ.0000000000000107", "ISBN" : "1057-3631", "ISSN" : "15505065", "PMID" : "25503373", "abstract" : "Implementation of effective family-centered rounds in an intensive care unit environment is fraught with challenges. We describe the application of PDSA (Plan, Do, Study, Act) cycles in a quality improvement project to improve the process of rounds and increase family participation and provider satisfaction. We conducted pre-/postintervention surveys and used 5 process measures for a total of 1296 daily patient rounds over 7 months. We were successful in conducting family-centered rounds for 90% of patients, with 40% family participation and a 64.6% satisfactory rating by pediatric intensive care unit providers.", "author" : [ { "dropping-particle" : "", "family" : "Tripathi", "given" : "Sandeep", "non-dropping-particle" : "", "parse-names" : false, "suffix" : "" }, { "dropping-particle" : "", "family" : "Arteaga", "given" : "Grace", "non-dropping-particle" : "", "parse-names" : false, "suffix" : "" }, { "dropping-particle" : "", "family" : "Rohlik", "given" : "Gina", "non-dropping-particle" : "", "parse-names" : false, "suffix" : "" }, { "dropping-particle" : "", "family" : "Boynton", "given" : "Bradley", "non-dropping-particle" : "", "parse-names" : false, "suffix" : "" }, { "dropping-particle" : "", "family" : "Graner", "given" : "Kevin", "non-dropping-particle" : "", "parse-names" : false, "suffix" : "" }, { "dropping-particle" : "", "family" : "Ouellette", "given" : "Yves", "non-dropping-particle" : "", "parse-names" : false, "suffix" : "" } ], "container-title" : "Journal of Nursing Care Quality", "id" : "ITEM-1", "issue" : "2", "issued" : { "date-parts" : [ [ "2015" ] ] }, "page" : "160-166", "publisher-place" : "United States", "title" : "Implementation of Patient-Centered Bedside Rounds in the Pediatric Intensive Care Unit", "type" : "article-journal", "volume" : "30" }, "uris" : [ "http://www.mendeley.com/documents/?uuid=6543bd43-60e2-42e8-ba44-4558b5f7b3b8" ] } ], "mendeley" : { "formattedCitation" : "[108]", "plainTextFormattedCitation" : "[108]", "previouslyFormattedCitation" : "[108]"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[108]</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Tripathi</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Implementation of patient-centered bedside rounds in the pediatric intensive care unit</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4 - details of cycles including seperated information on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"10.1136/bmjquality.u208924.w3618 [doi]", "ISSN" : "2050-1315", "PMID" : "26734454", "abstract" : "This study was designed guided by the Model for Improvement framework to reduce waiting times and visit duration in the intravitreal therapy clinic, while improving patient and staff experience. In our aim to provide good quality, patient-centred care and constantly improve, we optimised the appointment profile and patient flow. We involved a multidisciplinary team (one consultant, junior doctors, staff nurses, technicians, and receptionist), as well as patients and relatives, to try to understand the main delays in the clinic. Process mapping, a fishbone diagram, run charts, together with feedback from patients and staff, provided an insight on the possible roots of the delays experienced by our patients. The results of the inquiry led us to take actions focused on optimising appointment scheduling. After implementing the new scheduling profile (with a gap in the middle of the session), various cycles of plan-do-study-act and a comparative, qualitative study by interviewing 10 patients demonstrated that the waiting times decreased, and patients and staff experience improved.", "author" : [ { "dropping-particle" : "", "family" : "Ugarte", "given" : "M", "non-dropping-particle" : "", "parse-names" : false, "suffix" : "" } ], "container-title" : "BMJ quality improvement reports", "id" : "ITEM-1", "issue" : "1 PG  - 10.1136/bmjquality.u208924.w3618. eCollection 2015", "issued" : { "date-parts" : [ [ "2015" ] ] }, "note" : "Henrik V. B. Laursen (2016-12-03 00:41:07)(Select): sp\u00e6ndende.. PDSA bliver brugt, men det er ikke hovedv\u00e6rkt\u00f8j. skal den med?\nDet er mest noget kvalitativt g\u00f8gl der bliver brugt.\nnoget sp\u00e6ndende g\u00f8gl; Henrik V. B. Laursen (2016-11-23 23:04:33)(Select): supplementary material: http://qir.bmj.com/content/4/1/u208924.w3618/suppl/DC1\n;", "page" : "10.1136/bmjquality.u208924.w3618. eCollection 2015", "publisher-place" : "England", "title" : "Waiting time reduction in intravitreal clinics by optimization of appointment scheduling: balancing demand and supply", "type" : "article-journal", "volume" : "4" }, "uris" : [ "http://www.mendeley.com/documents/?uuid=a19e9667-8057-4f59-a7d7-80f891d75984" ] } ], "mendeley" : { "formattedCitation" : "[109]", "plainTextFormattedCitation" : "[109]", "previouslyFormattedCitation" : "[109]"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[109]</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Ugarte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Other</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Waiting time reduction in intravitreal clinics by optimization of appointment scheduling: balancing demand and supply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"author" : [ { "dropping-particle" : "", "family" : "Vetter", "given" : "Mary Jo", "non-dropping-particle" : "", "parse-names" : false, "suffix" : "" }, { "dropping-particle" : "", "family" : "Gnp-bc", "given" : "A N P", "non-dropping-particle" : "", "parse-names" : false, "suffix" : "" } ], "id" : "ITEM-1", "issued" : { "date-parts" : [ [ "2012" ] ] }, "page" : "1-9", "title" : "The Influence of Clinical Decision Support on Diagnostic Accuracy in Nurse Practitioners", "type" : "article-journal" }, "uris" : [ "http://www.mendeley.com/documents/?uuid=bbcfcc3d-7114-46e0-8e84-33c215b5a30a" ] } ], "mendeley" : { "formattedCitation" : "[110]", "plainTextFormattedCitation" : "[110]", "previouslyFormattedCitation" : "[110]"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[110]</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Vetter</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The Influence of Clinical Decision Support on Diagnostic Accuracy in Nurse Practitioners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"10.1093/intqhc/mzw041", "ISBN" : "1353-4505", "ISSN" : "14643677", "PMID" : "27194074", "abstract" : "QUALITY ISSUE: Infectious disease outbreaks result in substantial inconvenience to patients and disruption of clinical activity. INITIAL ASSESSMENT: Between 1 April 2008 and 31 March 2009, the Vancouver Island Health Authority (Island Health) declared 16 outbreaks of Vancomycin Resistant Enterococci and Clostridium difficile in acute care facilities. As a result, infection prevention and control became one of Island Health's highest priorities. CHOICE OF SOLUTION: Quality improvement methodology, which promotes a culture of co-production between front-line staff, physicians and Infection Control Practitioners, was used to develop and test a bundle of changes in practices. IMPLEMENTATION: A series of rapid Plan-Do-Study-Act cycles, specific to decreasing hospital-acquired infections, were undertaken by a community hospital, selected for its size, clinical specialty representation, and enthusiasm amongst staff and physicians for innovation and change. Positive results were incorporated into practice at the test site, and then introduced throughout the rest of the Health Authority. EVALUATION: The changes implemented as a result of this study have enabled better control of antibiotic resistant organisms and have minimized disruption to routine activity, as well as saving an estimated $6.5 million per annum. When outbreaks do occur, they are now controlled much more promptly, even in existing older facilities. LESSONS LEARNED: Through this process, we have changed our approach in Infection Prevention and Control (IPAC) from a rules-based approach to one that is risk-based, focusing attention on identifying and managing high-risk situations.", "author" : [ { "dropping-particle" : "", "family" : "Wale", "given" : "Martin", "non-dropping-particle" : "", "parse-names" : false, "suffix" : "" }, { "dropping-particle" : "", "family" : "Kibsey", "given" : "Pamela", "non-dropping-particle" : "", "parse-names" : false, "suffix" : "" }, { "dropping-particle" : "", "family" : "Young", "given" : "Lisa", "non-dropping-particle" : "", "parse-names" : false, "suffix" : "" }, { "dropping-particle" : "", "family" : "Dobbyn", "given" : "Beverly", "non-dropping-particle" : "", "parse-names" : false, "suffix" : "" }, { "dropping-particle" : "", "family" : "Archer", "given" : "Jana", "non-dropping-particle" : "", "parse-names" : false, "suffix" : "" } ], "container-title" : "International Journal for Quality in Health Care", "id" : "ITEM-1", "issue" : "3", "issued" : { "date-parts" : [ [ "2016" ] ] }, "note" : "S\u00f8ren Valgreen Knudsen (2016-12-01 05:16:54)(Select): der er tv\u00e6rg\u00e5ende, men de bruger samme v\u00e6rkt\u00f8j;", "page" : "405-411", "publisher" : ". Published by Oxford University Press in association with the International Society for Quality in Health Care; all rights reserved", "publisher-place" : "England", "title" : "New approaches to infection prevention and control: Implementing a risk-based model regionally", "type" : "article-journal", "volume" : "28" }, "uris" : [ "http://www.mendeley.com/documents/?uuid=4559c474-4873-4dc7-8e89-12b78d1c2b62" ] } ], "mendeley" : { "formattedCitation" : "[111]", "plainTextFormattedCitation" : "[111]", "previouslyFormattedCitation" : "[111]"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[111]</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Wale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Canada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Public Health</w:t>
            </w:r>
          </w:p>
        </w:tc>
        <w:tc>
          <w:tcPr>
            <w:tcW w:w="1217" w:type="dxa"/>
            <w:hideMark/>
          </w:tcPr>
          <w:p w:rsidR="00CC0B09" w:rsidRPr="009A13A8" w:rsidRDefault="001451CF"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New approaches to infection prevention and control: implementing a risk-based model regionally</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"10.1136/bmjquality.u206069.w2989", "ISBN" : "2050-1315", "ISSN" : "2050-1315", "PMID" : "26734418", "abstract" : "Handover is a \"major preventable cause of patient harm\"[1] and this project aims to improve the quality of night handover within a teaching hospitals general medicine department, resulting in the safe transfer of patient care to the night team. Quality of handover was assessed both qualitatively, via structured qualitative interviews with trainees and a baseline survey assessing doctor's opinions of night handover, and quantitatively through the collection of a data set during regular observation of night handover. The initial intervention instituted a new handover meeting with a set time and new location and invited the night nurse practitioner to attend. A prompt card, standardised documentation, defined leadership, and an attendance register were also introduced. Successive PDSA cycles introduced technology to the intervention, enabled the nurse night practitioners to actually attend and re-branded the prompt card as an agenda. Results show a sustained reduction in length of handover from 70 minutes (n=7) to 34 minutes (n=13) post-intervention as well as a reduction in the number of distractions occurring during each handover from a mean of 14 to a mean of 8.5. An improved quality of handover was also demonstrated with an overall increase in the percentage of task handovers containing hospital number, an admitting diagnosis, comorbidities and a time allocated for the task to be performed of at least 10%. When trainees were surveyed post-implementation they unanimously identified the new handover system as safer than the previous handover process (n=30). This project demonstrates that replacing an ad-hoc system of handover with a multi-disciplinary, team based approach to handover improves handover quality. In addition it provides a useful guide to introducing a new handover meeting to a department and contains useful lessons on how to combat cultural barriers to change within a department.", "author" : [ { "dropping-particle" : "", "family" : "Walton", "given" : "Henry", "non-dropping-particle" : "", "parse-names" : false, "suffix" : "" }, { "dropping-particle" : "", "family" : "Munro", "given" : "Wendy", "non-dropping-particle" : "", "parse-names" : false, "suffix" : "" } ], "container-title" : "BMJ Quality Improvement Reports", "id" : "ITEM-1", "issue" : "1", "issued" : { "date-parts" : [ [ "2015" ] ] }, "note" : "Henrik V. B. Laursen (2016-11-24 06:02:20)(Select): http://qir.bmj.com/content/4/1/u206069.w2989/suppl/DC1;", "page" : "u206069.w2989", "publisher-place" : "England", "title" : "Improving the quality of handover by addressing handover culture and introducing a new, multi-disciplinary, team-based handover meeting", "type" : "article-journal", "volume" : "4" }, "uris" : [ "http://www.mendeley.com/documents/?uuid=6775088d-ebab-4087-b8bc-8321d504e505" ] } ], "mendeley" : { "formattedCitation" : "[112]", "plainTextFormattedCitation" : "[112]", "previouslyFormattedCitation" : "[112]"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[112]</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Walton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Department</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Internal Medicine</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Improving the quality of handover by addressing handover culture and introducing a new, multi-disciplinary, team-based handover meeting</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"10.1136/bmjquality.u208308.w3441 [doi]", "ISBN" : "2050-1315", "ISSN" : "2050-1315", "PMID" : "26734373", "abstract" : "Poorly organised clinical equipment can waste significant amounts of time otherwise available for direct patient care. As a group of foundation year one doctors, we identified the organisation of clinical equipment across surgical wards at North Bristol NHS Trust to be poor with stocks often low and items frequently difficult to locate. Time-motion studies (n=80) were confirmatory demonstrating that the mean time to collect equipment necessary for venepuncture, cannulation, arterial blood gases, or blood cultures ranged from 121 to 174 seconds between different areas. By applying a plan-do-study-act (PDSA) methodology, surveying peers as well as working with nursing staff and senior managers, we were able to purchase and implement clinical equipment trolleys on 10 surgical wards across the trust to reduce the time-taken to locate clinical equipment to between 38 to 45 seconds (p=0.01). We feel the key factors for the success of our initiative were strong multidisciplinary engagement and a simple uniform idea. Clinical equipment trolleys organised in a standardised manner have now been rolled out hospital-wide in the new Southmead Hospital Brunel building.", "author" : [ { "dropping-particle" : "", "family" : "Ward", "given" : "J", "non-dropping-particle" : "", "parse-names" : false, "suffix" : "" }, { "dropping-particle" : "", "family" : "Spencer", "given" : "R", "non-dropping-particle" : "", "parse-names" : false, "suffix" : "" }, { "dropping-particle" : "", "family" : "Soo", "given" : "E", "non-dropping-particle" : "", "parse-names" : false, "suffix" : "" }, { "dropping-particle" : "", "family" : "Finucane", "given" : "K", "non-dropping-particle" : "", "parse-names" : false, "suffix" : "" } ], "container-title" : "BMJ quality improvement reports", "id" : "ITEM-1", "issue" : "1 PG  - 10.1136/bmjquality.u208308.w3441. eCollection 2015", "issued" : { "date-parts" : [ [ "2015" ] ] }, "note" : "Henrik V. B. Laursen (2016-11-24 01:12:25)(Select): suppl: http://qir.bmj.com/content/4/1/u208308.w3441/suppl/DC1;", "page" : "10.1136/bmjquality.u208308.w3441. eCollection 2015", "publisher-place" : "England", "title" : "Standardising the organisation of clinical equipment on surgical wards at North Bristol NHS Trust: a quality improvement initiative", "type" : "article-journal", "volume" : "4" }, "uris" : [ "http://www.mendeley.com/documents/?uuid=4c72578e-1c70-47e8-ad17-efa4740136d6" ] } ], "mendeley" : { "formattedCitation" : "[113]", "plainTextFormattedCitation" : "[113]", "previouslyFormattedCitation" : "[113]"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[113]</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Ward</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England</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Standardising the organisation of clinical equipment on surgical wards at North Bristol NHS Trust: a quality improvement initiative</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3 - details of individual cycles but not stages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"10.1016/j.pedn.2015.05.024", "ISBN" : "0000000000000", "ISSN" : "08825963", "PMID" : "26209173", "abstract" : "An electronic medical record (EMR)-based transition planning tool (TPT) designed to facilitate transition from pediatric to adult-based health care for youth (16-25. years) with special health care needs was introduced at a large children's hospital. Activities to increase provider use were implemented in five plan-do-study-act cycles. Overall, 22 of 25 (88%) consenting providers in four pediatric subspecialty services used the TPT during 303 patient encounters, with nurses and case-managers the top users and physicians the least likely users. Use was highest with intensive technical assistance and following the introduction of an upgraded tool. Provider satisfaction with the TPT and self-reported transition planning activities notably increased across the PDSA cycles.", "author" : [ { "dropping-particle" : "", "family" : "Wiemann", "given" : "Constance M.", "non-dropping-particle" : "", "parse-names" : false, "suffix" : "" }, { "dropping-particle" : "", "family" : "Hergenroeder", "given" : "Albert C.", "non-dropping-particle" : "", "parse-names" : false, "suffix" : "" }, { "dropping-particle" : "", "family" : "Bartley", "given" : "Krystle A.", "non-dropping-particle" : "", "parse-names" : false, "suffix" : "" }, { "dropping-particle" : "", "family" : "Sanchez-Fournier", "given" : "Blanca", "non-dropping-particle" : "", "parse-names" : false, "suffix" : "" }, { "dropping-particle" : "", "family" : "Hilliard", "given" : "Marisa E.", "non-dropping-particle" : "", "parse-names" : false, "suffix" : "" }, { "dropping-particle" : "", "family" : "Warren", "given" : "Laura J.", "non-dropping-particle" : "", "parse-names" : false, "suffix" : "" }, { "dropping-particle" : "", "family" : "Graham", "given" : "Sarah C.", "non-dropping-particle" : "", "parse-names" : false, "suffix" : "" } ], "container-title" : "Journal of Pediatric Nursing", "id" : "ITEM-1", "issue" : "5", "issued" : { "date-parts" : [ [ "2015" ] ] }, "page" : "776-787", "publisher" : ". Published by Elsevier Inc", "publisher-place" : "United States", "title" : "Integrating an EMR-based Transition Planning Tool for CYSHCN at a Children's Hospital: A Quality Improvement Project to Increase Provider Use and Satisfaction", "type" : "article-journal", "volume" : "30" }, "uris" : [ "http://www.mendeley.com/documents/?uuid=eb334360-be69-4466-8acf-c38a85f53d3e" ] } ], "mendeley" : { "formattedCitation" : "[114]", "plainTextFormattedCitation" : "[114]", "previouslyFormattedCitation" : "[114]"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[114]</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Wiemann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 xml:space="preserve">Integrating an EMR-based Transition Planning Tool for CYSHCN at a Children's Hospital: A Quality Improvement </w:t>
            </w:r>
            <w:r w:rsidRPr="009A13A8">
              <w:rPr>
                <w:rFonts w:ascii="Arial" w:eastAsia="Times New Roman" w:hAnsi="Arial" w:cs="Arial"/>
                <w:sz w:val="16"/>
                <w:szCs w:val="16"/>
                <w:lang w:eastAsia="en-GB"/>
              </w:rPr>
              <w:lastRenderedPageBreak/>
              <w:t>Project to Increase Provider Use and Satisfaction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 xml:space="preserve">3 - details of individual cycles but not stages of </w:t>
            </w:r>
            <w:r w:rsidRPr="009A13A8">
              <w:rPr>
                <w:rFonts w:ascii="Arial" w:eastAsia="Times New Roman" w:hAnsi="Arial" w:cs="Arial"/>
                <w:sz w:val="16"/>
                <w:szCs w:val="16"/>
                <w:lang w:eastAsia="en-GB"/>
              </w:rPr>
              <w:lastRenderedPageBreak/>
              <w:t>cycles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lastRenderedPageBreak/>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lastRenderedPageBreak/>
              <w:fldChar w:fldCharType="begin" w:fldLock="1"/>
            </w:r>
            <w:r w:rsidR="00BE7B49" w:rsidRPr="009A13A8">
              <w:rPr>
                <w:rFonts w:ascii="Arial" w:eastAsia="Times New Roman" w:hAnsi="Arial" w:cs="Arial"/>
                <w:sz w:val="16"/>
                <w:szCs w:val="16"/>
                <w:lang w:eastAsia="en-GB"/>
              </w:rPr>
              <w:instrText>ADDIN CSL_CITATION { "citationItems" : [ { "id" : "ITEM-1", "itemData" : { "DOI" : "10.1111/pan.12640", "ISSN" : "14609592", "PMID" : "25846629", "abstract" : "BACKGROUND: Historically, anesthesiologists have conducted preanesthesia evaluation, but more recently, nurse practitioners (NPs) are increasingly assisting with the preanesthesia evaluation of children. In the current economic environment for healthcare, strategies to provide superior outcomes and exceptional patient experience at the lowest possible cost are constantly being explored. We examined whether well trained nurses, working alongside NPs, could safely and effectively assist in preanesthesia evaluation. The aim of this quality improvement project was to implement a new model for preanesthesia evaluation for healthy outpatient pediatric patients: nurse-assisted preanesthesia evaluation (NAPE). METHODS: Using quality improvement methods, Key Driver Diagrams and SMART aims gave direction for the training and clinical implementation of this new process. Using small tests of change and Plan-Do-Study-Act cycles, we developed a training process and a stepwise process to integrate them into the clinical work flow. The primary outcome measure was the proportion of the total preanesthesia evaluations in which the Anesthesia Nurses assisted. To ensure quality and safety, data on balancing measures and quality metrics were collected. RESULTS: The weekly percentage of outpatients evaluated by Anesthesia Nurses increased from 0% to 55% within the first 4 months and was then sustained. The remaining patients were evaluated by the Anesthesia NPs. The balancing measures did not show any significant negative effect. Our perioperative quality metrics were also not changed significantly. CONCLUSION: Using quality improvement methods, we successfully improved the utilization of staff resources by adding an Anesthesia Nurse-assisted preanesthesia evaluation program alongside our NPs to provide outstanding preanesthesia care at the lowest possible cost.", "author" : [ { "dropping-particle" : "", "family" : "Wittkugel", "given" : "Eric", "non-dropping-particle" : "", "parse-names" : false, "suffix" : "" }, { "dropping-particle" : "", "family" : "Varughese", "given" : "Anna", "non-dropping-particle" : "", "parse-names" : false, "suffix" : "" } ], "container-title" : "Paediatric Anaesthesia", "id" : "ITEM-1", "issue" : "7", "issued" : { "date-parts" : [ [ "2015" ] ] }, "page" : "719-726", "publisher" : "John Wiley &amp; Sons Ltd", "publisher-place" : "France", "title" : "Development of a nurse-assisted preanesthesia evaluation program for pediatric outpatient anesthesia", "type" : "article-journal", "volume" : "25" }, "uris" : [ "http://www.mendeley.com/documents/?uuid=389b12f4-a0cd-4c12-adbc-e185f2b73c0f" ] } ], "mendeley" : { "formattedCitation" : "[115]", "plainTextFormattedCitation" : "[115]", "previouslyFormattedCitation" : "[115]"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[115]</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Wittkugel</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Surgery</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Development of a nurse-assisted preanesthesia evaluation program for pediatric outpatient anesthesia</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Quantitative aim was achieved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"10.14236/jhi.v22i3.134", "ISSN" : "2058-4563", "PMID" : "26577422", "abstract" : "BACKGROUND: Integration of behavioural health into primary care clinics is an established model of care and important approach to eliminating mental health disparities, but demands on provider time is a barrier to mental health screening. The purpose of this study was to determine the feasibility of using a kiosk placed in a primary care clinic to screen for multiple mental health disorders., METHODS: Quality improvement initiative with Plan-Do-Study-Act implementation and time series monitoring of utilisation outcomes., RESULTS: A total of 281 screens were completed identifying positive screens for depression (30%) and bipolar disorder (17%). Post-traumatic stress disorder and concerning substance use were less common., CONCLUSIONS: Development of health information technology to facilitate behavioural health assessment in primary care is a promising approach to integrated care and provides additional benefits of population health monitoring.", "author" : [ { "dropping-particle" : "", "family" : "Wrenn", "given" : "Glenda", "non-dropping-particle" : "", "parse-names" : false, "suffix" : "" }, { "dropping-particle" : "", "family" : "Kasiah", "given" : "Fatima", "non-dropping-particle" : "", "parse-names" : false, "suffix" : "" }, { "dropping-particle" : "", "family" : "Syed", "given" : "Irshad", "non-dropping-particle" : "", "parse-names" : false, "suffix" : "" } ], "container-title" : "Journal of Innovation in Health Informatics", "id" : "ITEM-1", "issue" : "3", "issued" : { "date-parts" : [ [ "2015" ] ] }, "note" : "Henrik V. B. Laursen (2016-12-03 00:20:20)(Select): de \u00f8ger ikke kvaliteten. de udvikler noget der kan m\u00e5le noget, som de s\u00e5 g\u00f8r noget ved med noget andet. eskl.;", "page" : "323-328", "publisher-place" : "England", "title" : "Using a self-service kiosk to identify behavioural health needs in a primary care clinic serving an urban, underserved population", "type" : "article-journal", "volume" : "22" }, "uris" : [ "http://www.mendeley.com/documents/?uuid=247e44e1-7f9b-4d90-921e-831ff6c063f1" ] } ], "mendeley" : { "formattedCitation" : "[116]", "plainTextFormattedCitation" : "[116]", "previouslyFormattedCitation" : "[116]"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[116]</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Wrenn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PCC/HMO/GP</w:t>
            </w:r>
          </w:p>
        </w:tc>
        <w:tc>
          <w:tcPr>
            <w:tcW w:w="1217" w:type="dxa"/>
            <w:hideMark/>
          </w:tcPr>
          <w:p w:rsidR="00CC0B09" w:rsidRPr="009A13A8" w:rsidRDefault="001451CF"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N/A</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Using a self-service kiosk to identify behavioural health needs in a primary care clinic serving an urban, underserved population</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"10.1542/peds.2014-3604", "ISBN" : "0031-4005", "ISSN" : "0031-4005", "PMID" : "27464675", "abstract" : "OBJECTIVE: To assess the impact of a quality improvement collaborative on quality and efficiency of pediatric discharges. METHODS: This was a multicenter quality improvement collaborative including 11 tertiary-care freestanding children's hospitals in the United States, conducted between November 1, 2011 and October 31, 2012. Sites selected interventions from a change package developed by an expert panel. Multiple plan-do-study-act cycles were conducted on patient populations selected by each site. Data on discharge-related care failures, family readiness for discharge, and 72-hour and 30-day readmissions were reported monthly by each site. Surveys of each site were also conducted to evaluate the use of various change strategies. RESULTS: Most sites addressed discharge planning, quality of discharge instructions, and providing postdischarge support by phone. There was a significant decrease in discharge-related care failures, from 34% in the first project quarter to 21% at the end of the collaborative (P &lt; .05). There was also a significant improvement in family perception of readiness for discharge, from 85% of families reporting the highest rating to 91% (P &lt; .05). There was no improvement in unplanned 72-hour (0.7% vs 1.1%, P = .29) and slight worsening of the 30-day readmission rate (4.5% vs 6.3%, P = .05). CONCLUSIONS: Institutions that participated in the collaborative had lower rates of discharge-related care failures and improved family readiness for discharge. There was no significant improvement in unplanned readmissions. More studies are needed to evaluate which interventions are most effective and to assess feasibility in non-children's hospital settings.", "author" : [ { "dropping-particle" : "", "family" : "Wu", "given" : "S.", "non-dropping-particle" : "", "parse-names" : false, "suffix" : "" }, { "dropping-particle" : "", "family" : "Tyler", "given" : "A.", "non-dropping-particle" : "", "parse-names" : false, "suffix" : "" }, { "dropping-particle" : "", "family" : "Logsdon", "given" : "T.", "non-dropping-particle" : "", "parse-names" : false, "suffix" : "" }, { "dropping-particle" : "", "family" : "Holmes", "given" : "N. M.", "non-dropping-particle" : "", "parse-names" : false, "suffix" : "" }, { "dropping-particle" : "", "family" : "Balkian", "given" : "A.", "non-dropping-particle" : "", "parse-names" : false, "suffix" : "" }, { "dropping-particle" : "", "family" : "Brittan", "given" : "M.", "non-dropping-particle" : "", "parse-names" : false, "suffix" : "" }, { "dropping-particle" : "", "family" : "Hoover", "given" : "L.", "non-dropping-particle" : "", "parse-names" : false, "suffix" : "" }, { "dropping-particle" : "", "family" : "Martin", "given" : "S.", "non-dropping-particle" : "", "parse-names" : false, "suffix" : "" }, { "dropping-particle" : "", "family" : "Paradis", "given" : "M.", "non-dropping-particle" : "", "parse-names" : false, "suffix" : "" }, { "dropping-particle" : "", "family" : "Sparr-Perkins", "given" : "R.", "non-dropping-particle" : "", "parse-names" : false, "suffix" : "" }, { "dropping-particle" : "", "family" : "Stanley", "given" : "T.", "non-dropping-particle" : "", "parse-names" : false, "suffix" : "" }, { "dropping-particle" : "", "family" : "Weber", "given" : "R.", "non-dropping-particle" : "", "parse-names" : false, "suffix" : "" }, { "dropping-particle" : "", "family" : "Saysana", "given" : "M.", "non-dropping-particle" : "", "parse-names" : false, "suffix" : "" } ], "container-title" : "Pediatrics", "id" : "ITEM-1", "issue" : "2", "issued" : { "date-parts" : [ [ "2016" ] ] }, "note" : "S\u00f8ren Valgreen Knudsen (2016-11-29 01:17:05)(Select): det er ikke et konkret anvendelse af en PDSA plan,  men er en super god macro unders\u00f8gelse;", "page" : "e20143604-e20143604", "publisher" : "by the American Academy of Pediatrics", "publisher-place" : "United States", "title" : "A Quality Improvement Collaborative to Improve the Discharge Process for Hospitalized Children", "type" : "article-journal", "volume" : "138" }, "uris" : [ "http://www.mendeley.com/documents/?uuid=9e2698ce-326d-416d-bfc4-75c2b276c1d5" ] } ], "mendeley" : { "formattedCitation" : "[117]", "plainTextFormattedCitation" : "[117]", "previouslyFormattedCitation" : "[117]"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[117]</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Wu</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Regional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 Quality Improvement Collaborative to Improve the Discharge Process for Hospitalized Children</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1 - no details of cycles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quantitative aim not reached</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"10.1016/j.ijporl.2016.06.026", "ISBN" : "0165-5876", "ISSN" : "18728464", "PMID" : "27497385", "abstract" : "Objective Given the rarity of in-hospital pediatric emergency events, identification of gaps and inefficiencies in the code response can be difficult. In-situ, simulation-based medical education programs can identify unrecognized systems-based challenges. We hypothesized that developing an in-situ, simulation-based pediatric emergency response program would identify latent inefficiencies in a complex, dual-hospital pediatric code response system and allow rapid intervention testing to improve performance before implementation at an institutional level. Methods Pediatric leadership from two hospitals with a shared pediatric code response team employed the Institute for Healthcare Improvement's (IHI) Breakthrough Model for Collaborative Improvement to design a program consisting of Plan-Do-Study-Act cycles occurring in a simulated environment. The objectives of the program were to 1) identify inefficiencies in our pediatric code response; 2) correlate to current workflow; 3) employ an iterative process to test quality improvement interventions in a safe environment; and 4) measure performance before actual implementation at the institutional level. Results Twelve dual-hospital, in-situ, simulated, pediatric emergencies occurred over one year. The initial simulated event allowed identification of inefficiencies including delayed provider response, delayed initiation of cardiopulmonary resuscitation (CPR), and delayed vascular access. These gaps were linked to process issues including unreliable code pager activation, slow elevator response, and lack of responder familiarity with layout and contents of code cart. From first to last simulation with multiple simulated process improvements, code response time for secondary providers coming from the second hospital decreased from 29 to 7\u00a0min, time to CPR initiation decreased from 90 to 15\u00a0s, and vascular access obtainment decreased from 15 to 3\u00a0min. Some of these simulated process improvements were adopted into the institutional response while others continue to be trended over time for evidence that observed changes represent a true new state of control. Conclusions Utilizing the IHI's Breakthrough Model, we developed a simulation-based program to 1) successfully identify gaps and inefficiencies in a complex, dual-hospital, pediatric code response system and 2) provide an environment in which to safely test quality improvement interventions before institutional dissemination.", "author" : [ { "dropping-particle" : "", "family" : "Yager", "given" : "Phoebe", "non-dropping-particle" : "", "parse-names" : false, "suffix" : "" }, { "dropping-particle" : "", "family" : "Collins", "given" : "Corey", "non-dropping-particle" : "", "parse-names" : false, "suffix" : "" }, { "dropping-particle" : "", "family" : "Blais", "given" : "Carlene", "non-dropping-particle" : "", "parse-names" : false, "suffix" : "" }, { "dropping-particle" : "", "family" : "O'Connor", "given" : "Kathy", "non-dropping-particle" : "", "parse-names" : false, "suffix" : "" }, { "dropping-particle" : "", "family" : "Donovan", "given" : "Patricia", "non-dropping-particle" : "", "parse-names" : false, "suffix" : "" }, { "dropping-particle" : "", "family" : "Martinez", "given" : "Maureen", "non-dropping-particle" : "", "parse-names" : false, "suffix" : "" }, { "dropping-particle" : "", "family" : "Cummings", "given" : "Brian", "non-dropping-particle" : "", "parse-names" : false, "suffix" : "" }, { "dropping-particle" : "", "family" : "Hartnick", "given" : "Christopher", "non-dropping-particle" : "", "parse-names" : false, "suffix" : "" }, { "dropping-particle" : "", "family" : "Noviski", "given" : "Natan", "non-dropping-particle" : "", "parse-names" : false, "suffix" : "" } ], "container-title" : "International Journal of Pediatric Otorhinolaryngology", "id" : "ITEM-1", "issued" : { "date-parts" : [ [ "2016" ] ] }, "page" : "42-46", "publisher" : "Elsevier Ltd", "title" : "Quality improvement utilizing in-situ simulation for a dual-hospital pediatric code response team", "type" : "article-journal", "volume" : "88" }, "uris" : [ "http://www.mendeley.com/documents/?uuid=ed6d80dc-a6da-49ed-be6c-feb04e4b6114" ] } ], "mendeley" : { "formattedCitation" : "[118]", "plainTextFormattedCitation" : "[118]", "previouslyFormattedCitation" : "[118]"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[118]</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Yager</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Northern Ireland</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Quality improvement utilizing in-situ simulation for a dual-hospital pediatric code response team</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IHI/MFI</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"10.1071/AH16066", "ISBN" : "0156-5788 (Print)\r0156-5788", "ISSN" : "01595709", "PMID" : "27568077", "abstract" : "Objective The aim of the study was to improve the engagement of professional interpreters for women during labour.Methods The quality improvement initiative was co-designed by a multidisciplinary group at one Melbourne hospital and implemented in the birth suite using the plan-do-study-act framework. The initiative of offering women an interpreter early in labour was modified over cycles of implementation and scaled up based on feedback from midwives and language services data.Results The engagement of interpreters for women identified as requiring one increased from 28% (21/74) at baseline to 62% (45/72) at the 9th month of implementation.Conclusion Improving interpreter use in high-intensity hospital birth suites is possible with supportive leadership, multidisciplinary co-design and within a framework of quality improvement cycles of change.What is known about the topic? Despite Australian healthcare standards and policies stipulating the use of accredited interpreters where needed, studies indicate that services fall well short of meeting these during critical stages of childbirth.What does the paper add? Collaborative approaches to quality improvement in hospitals can significantly improve the engagement of interpreters to facilitate communication between health professionals and women with low English proficiency.What are the implications for practice? This language services initiative has potential for replication in services committed to improving effective communication between health professionals and patients.", "author" : [ { "dropping-particle" : "", "family" : "Yelland", "given" : "Jane", "non-dropping-particle" : "", "parse-names" : false, "suffix" : "" }, { "dropping-particle" : "", "family" : "Biro", "given" : "Mary Anne", "non-dropping-particle" : "", "parse-names" : false, "suffix" : "" }, { "dropping-particle" : "", "family" : "Dawson", "given" : "Wendy", "non-dropping-particle" : "", "parse-names" : false, "suffix" : "" }, { "dropping-particle" : "", "family" : "Riggs", "given" : "Elisha", "non-dropping-particle" : "", "parse-names" : false, "suffix" : "" }, { "dropping-particle" : "", "family" : "Vanpraag", "given" : "Dannielle", "non-dropping-particle" : "", "parse-names" : false, "suffix" : "" }, { "dropping-particle" : "", "family" : "Wigg", "given" : "Karen", "non-dropping-particle" : "", "parse-names" : false, "suffix" : "" }, { "dropping-particle" : "", "family" : "Antonopoulos", "given" : "John", "non-dropping-particle" : "", "parse-names" : false, "suffix" : "" }, { "dropping-particle" : "", "family" : "Morgans", "given" : "Jenny", "non-dropping-particle" : "", "parse-names" : false, "suffix" : "" }, { "dropping-particle" : "", "family" : "Szwarc", "given" : "Jo", "non-dropping-particle" : "", "parse-names" : false, "suffix" : "" }, { "dropping-particle" : "", "family" : "East", "given" : "Chris", "non-dropping-particle" : "", "parse-names" : false, "suffix" : "" }, { "dropping-particle" : "", "family" : "Brown", "given" : "Stephanie", "non-dropping-particle" : "", "parse-names" : false, "suffix" : "" } ], "container-title" : "Australian Health Review", "id" : "ITEM-1", "issue" : "5", "issued" : { "date-parts" : [ [ "2017" ] ] }, "note" : "S\u00f8ren Valgreen Knudsen (2016-12-12 20:16:59)(Select): Fysisk fulltext; Henrik V. B. Laursen (2016-11-24 21:39:45)(Select): ingen adgang via aub;", "page" : "499-504", "publisher-place" : "Australia", "title" : "Bridging the language gap: A co-designed quality improvement project to engage professional interpreters for women duing labour", "type" : "article-journal", "volume" : "41" }, "uris" : [ "http://www.mendeley.com/documents/?uuid=673a2f4d-4b44-47e0-84ac-d640340a26e6" ] } ], "mendeley" : { "formattedCitation" : "[119]", "plainTextFormattedCitation" : "[119]", "previouslyFormattedCitation" : "[119]"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[119]</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Yelland</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Australia</w:t>
            </w:r>
          </w:p>
        </w:tc>
        <w:tc>
          <w:tcPr>
            <w:tcW w:w="11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Gyn/obs</w:t>
            </w:r>
          </w:p>
        </w:tc>
        <w:tc>
          <w:tcPr>
            <w:tcW w:w="4309"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Bridging the language gap: a co-designed quality improvement project to engage professional interpreters for women duing labour</w:t>
            </w:r>
          </w:p>
        </w:tc>
        <w:tc>
          <w:tcPr>
            <w:tcW w:w="127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r w:rsidR="00915F6B" w:rsidRPr="009A13A8" w:rsidTr="000B7C99">
        <w:trPr>
          <w:trHeight w:val="315"/>
        </w:trPr>
        <w:tc>
          <w:tcPr>
            <w:cnfStyle w:val="001000000000" w:firstRow="0" w:lastRow="0" w:firstColumn="1" w:lastColumn="0" w:oddVBand="0" w:evenVBand="0" w:oddHBand="0" w:evenHBand="0" w:firstRowFirstColumn="0" w:firstRowLastColumn="0" w:lastRowFirstColumn="0" w:lastRowLastColumn="0"/>
            <w:tcW w:w="1696" w:type="dxa"/>
            <w:hideMark/>
          </w:tcPr>
          <w:p w:rsidR="00CC0B09" w:rsidRPr="009A13A8" w:rsidRDefault="00915F6B" w:rsidP="00184853">
            <w:pPr>
              <w:rPr>
                <w:rFonts w:ascii="Arial" w:eastAsia="Times New Roman" w:hAnsi="Arial" w:cs="Arial"/>
                <w:sz w:val="16"/>
                <w:szCs w:val="16"/>
                <w:lang w:eastAsia="en-GB"/>
              </w:rPr>
            </w:pPr>
            <w:r w:rsidRPr="009A13A8">
              <w:rPr>
                <w:rFonts w:ascii="Arial" w:eastAsia="Times New Roman" w:hAnsi="Arial" w:cs="Arial"/>
                <w:sz w:val="16"/>
                <w:szCs w:val="16"/>
                <w:lang w:eastAsia="en-GB"/>
              </w:rPr>
              <w:fldChar w:fldCharType="begin" w:fldLock="1"/>
            </w:r>
            <w:r w:rsidR="00BE7B49" w:rsidRPr="009A13A8">
              <w:rPr>
                <w:rFonts w:ascii="Arial" w:eastAsia="Times New Roman" w:hAnsi="Arial" w:cs="Arial"/>
                <w:sz w:val="16"/>
                <w:szCs w:val="16"/>
                <w:lang w:eastAsia="en-GB"/>
              </w:rPr>
              <w:instrText>ADDIN CSL_CITATION { "citationItems" : [ { "id" : "ITEM-1", "itemData" : { "DOI" : "10.1212/CPJ.0000000000000284", "ISSN" : "21630933", "abstract" : "Background: It is not convenient or always possible to address parent requests for prescription refills after hours. The primary objective of this quality improvement study was to decrease the number of refill requests received outside of regular business hours. A secondary objective was to reduce the negative effects of call fatigue and related exhaustion for physicians taking calls. Methods: Voluntary participation in this quality improvement project was solicited from the Child Neurology Division at a single academic, tertiary, metropolitan children's hospital. Study design was developed from a project charter, fishbone diagram, process map, driver diagram, and plan-do-study-act worksheet. A peer-reviewed letter was mailed to all clinic patient families and signs were displayed in the clinic space as notification of a policy change. A peer-reviewed script was provided to the Children's Mercy Contact Center triage personnel addressing after-hours refill requests. The number of refill requests received during each after-hours call shift was recorded from April 1, 2015, to March 31, 2016, with a primary outcome measure of the monthly number of refill requests. Results: Postintervention, the average number of refill requests after hours decreased by 39% from 21 to 11 per month (p 0.0055). Conclusions: This simple intervention has promise to limit prescription refill requests made after hours and improve physician quality of life. Continued data collection will help establish the sustainability of the effect made by this intervention.", "author" : [ { "dropping-particle" : "", "family" : "Zuccarelli", "given" : "Britton", "non-dropping-particle" : "", "parse-names" : false, "suffix" : "" }, { "dropping-particle" : "", "family" : "Coffman", "given" : "Keith A.", "non-dropping-particle" : "", "parse-names" : false, "suffix" : "" } ], "container-title" : "Neurology: Clinical Practice", "id" : "ITEM-1", "issue" : "5", "issued" : { "date-parts" : [ [ "2016" ] ] }, "note" : "Henrik V. B. Laursen (2016-11-24 02:16:52)(Select): suppl: http://cp.neurology.org/content/6/5/429/suppl/DC1;", "page" : "429-432", "title" : "Reducing after-hours prescription refill requests", "type" : "article-journal", "volume" : "6" }, "uris" : [ "http://www.mendeley.com/documents/?uuid=6931b655-2e20-49e6-b433-40f3ffc26954" ] } ], "mendeley" : { "formattedCitation" : "[120]", "plainTextFormattedCitation" : "[120]", "previouslyFormattedCitation" : "[120]" }, "properties" : {  }, "schema" : "https://github.com/citation-style-language/schema/raw/master/csl-citation.json" }</w:instrText>
            </w:r>
            <w:r w:rsidRPr="009A13A8">
              <w:rPr>
                <w:rFonts w:ascii="Arial" w:eastAsia="Times New Roman" w:hAnsi="Arial" w:cs="Arial"/>
                <w:sz w:val="16"/>
                <w:szCs w:val="16"/>
                <w:lang w:eastAsia="en-GB"/>
              </w:rPr>
              <w:fldChar w:fldCharType="separate"/>
            </w:r>
            <w:r w:rsidR="000C5CA8" w:rsidRPr="009A13A8">
              <w:rPr>
                <w:rFonts w:ascii="Arial" w:eastAsia="Times New Roman" w:hAnsi="Arial" w:cs="Arial"/>
                <w:noProof/>
                <w:sz w:val="16"/>
                <w:szCs w:val="16"/>
                <w:lang w:eastAsia="en-GB"/>
              </w:rPr>
              <w:t>[120]</w:t>
            </w:r>
            <w:r w:rsidRPr="009A13A8">
              <w:rPr>
                <w:rFonts w:ascii="Arial" w:eastAsia="Times New Roman" w:hAnsi="Arial" w:cs="Arial"/>
                <w:sz w:val="16"/>
                <w:szCs w:val="16"/>
                <w:lang w:eastAsia="en-GB"/>
              </w:rPr>
              <w:fldChar w:fldCharType="end"/>
            </w:r>
            <w:r w:rsidR="004C60AE" w:rsidRPr="009A13A8">
              <w:rPr>
                <w:rFonts w:ascii="Arial" w:eastAsia="Times New Roman" w:hAnsi="Arial" w:cs="Arial"/>
                <w:sz w:val="16"/>
                <w:szCs w:val="16"/>
                <w:lang w:eastAsia="en-GB"/>
              </w:rPr>
              <w:t xml:space="preserve"> </w:t>
            </w:r>
            <w:r w:rsidR="00CC0B09" w:rsidRPr="009A13A8">
              <w:rPr>
                <w:rFonts w:ascii="Arial" w:eastAsia="Times New Roman" w:hAnsi="Arial" w:cs="Arial"/>
                <w:sz w:val="16"/>
                <w:szCs w:val="16"/>
                <w:lang w:eastAsia="en-GB"/>
              </w:rPr>
              <w:t>Zuccarelli</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USA</w:t>
            </w:r>
          </w:p>
        </w:tc>
        <w:tc>
          <w:tcPr>
            <w:tcW w:w="11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Local</w:t>
            </w:r>
          </w:p>
        </w:tc>
        <w:tc>
          <w:tcPr>
            <w:tcW w:w="142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Hospital</w:t>
            </w:r>
          </w:p>
        </w:tc>
        <w:tc>
          <w:tcPr>
            <w:tcW w:w="1217"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Pediatrician</w:t>
            </w:r>
          </w:p>
        </w:tc>
        <w:tc>
          <w:tcPr>
            <w:tcW w:w="4309"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Reducing after-hours prescription refill requests</w:t>
            </w:r>
          </w:p>
        </w:tc>
        <w:tc>
          <w:tcPr>
            <w:tcW w:w="127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Not stated</w:t>
            </w:r>
          </w:p>
        </w:tc>
        <w:tc>
          <w:tcPr>
            <w:tcW w:w="2126" w:type="dxa"/>
            <w:hideMark/>
          </w:tcPr>
          <w:p w:rsidR="00CC0B09" w:rsidRPr="009A13A8" w:rsidRDefault="00CC0B09" w:rsidP="00CC0B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9A13A8">
              <w:rPr>
                <w:rFonts w:ascii="Arial" w:eastAsia="Times New Roman" w:hAnsi="Arial" w:cs="Arial"/>
                <w:sz w:val="16"/>
                <w:szCs w:val="16"/>
                <w:lang w:eastAsia="en-GB"/>
              </w:rPr>
              <w:t>2 - themes of cycles but no additional details</w:t>
            </w:r>
          </w:p>
        </w:tc>
        <w:tc>
          <w:tcPr>
            <w:tcW w:w="1701" w:type="dxa"/>
          </w:tcPr>
          <w:p w:rsidR="00CC0B09" w:rsidRPr="009A13A8" w:rsidRDefault="003F0B40" w:rsidP="00925F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A13A8">
              <w:rPr>
                <w:rFonts w:ascii="Arial" w:hAnsi="Arial" w:cs="Arial"/>
                <w:sz w:val="16"/>
                <w:szCs w:val="16"/>
              </w:rPr>
              <w:t>Positive change - no quantitative aim</w:t>
            </w:r>
          </w:p>
        </w:tc>
      </w:tr>
    </w:tbl>
    <w:p w:rsidR="00B03EA5" w:rsidRPr="00FE61FE" w:rsidRDefault="00B03EA5" w:rsidP="00605098">
      <w:pPr>
        <w:rPr>
          <w:sz w:val="16"/>
          <w:szCs w:val="16"/>
        </w:rPr>
      </w:pPr>
    </w:p>
    <w:p w:rsidR="00552EFC" w:rsidRPr="00552EFC" w:rsidRDefault="00915F6B" w:rsidP="00552EFC">
      <w:pPr>
        <w:widowControl w:val="0"/>
        <w:autoSpaceDE w:val="0"/>
        <w:autoSpaceDN w:val="0"/>
        <w:adjustRightInd w:val="0"/>
        <w:spacing w:line="240" w:lineRule="auto"/>
        <w:ind w:left="640" w:hanging="640"/>
        <w:rPr>
          <w:rFonts w:ascii="Calibri" w:hAnsi="Calibri" w:cs="Calibri"/>
          <w:noProof/>
          <w:sz w:val="16"/>
          <w:szCs w:val="24"/>
        </w:rPr>
      </w:pPr>
      <w:r w:rsidRPr="00FE61FE">
        <w:rPr>
          <w:sz w:val="16"/>
          <w:szCs w:val="16"/>
        </w:rPr>
        <w:fldChar w:fldCharType="begin" w:fldLock="1"/>
      </w:r>
      <w:r w:rsidRPr="00FE61FE">
        <w:rPr>
          <w:sz w:val="16"/>
          <w:szCs w:val="16"/>
        </w:rPr>
        <w:instrText xml:space="preserve">ADDIN Mendeley Bibliography CSL_BIBLIOGRAPHY </w:instrText>
      </w:r>
      <w:r w:rsidRPr="00FE61FE">
        <w:rPr>
          <w:sz w:val="16"/>
          <w:szCs w:val="16"/>
        </w:rPr>
        <w:fldChar w:fldCharType="separate"/>
      </w:r>
      <w:r w:rsidR="00552EFC" w:rsidRPr="00552EFC">
        <w:rPr>
          <w:rFonts w:ascii="Calibri" w:hAnsi="Calibri" w:cs="Calibri"/>
          <w:noProof/>
          <w:sz w:val="16"/>
          <w:szCs w:val="24"/>
        </w:rPr>
        <w:t xml:space="preserve">1 </w:t>
      </w:r>
      <w:r w:rsidR="00552EFC" w:rsidRPr="00552EFC">
        <w:rPr>
          <w:rFonts w:ascii="Calibri" w:hAnsi="Calibri" w:cs="Calibri"/>
          <w:noProof/>
          <w:sz w:val="16"/>
          <w:szCs w:val="24"/>
        </w:rPr>
        <w:tab/>
        <w:t xml:space="preserve">Afanvi KA. From many deaths to some few cases of drug-resistant tuberculosis: travelling with the systems quality improvement model in Lacs Health District, Togo. </w:t>
      </w:r>
      <w:r w:rsidR="00552EFC" w:rsidRPr="00552EFC">
        <w:rPr>
          <w:rFonts w:ascii="Calibri" w:hAnsi="Calibri" w:cs="Calibri"/>
          <w:i/>
          <w:iCs/>
          <w:noProof/>
          <w:sz w:val="16"/>
          <w:szCs w:val="24"/>
        </w:rPr>
        <w:t>BMJ Qual Improv Reports</w:t>
      </w:r>
      <w:r w:rsidR="00552EFC" w:rsidRPr="00552EFC">
        <w:rPr>
          <w:rFonts w:ascii="Calibri" w:hAnsi="Calibri" w:cs="Calibri"/>
          <w:noProof/>
          <w:sz w:val="16"/>
          <w:szCs w:val="24"/>
        </w:rPr>
        <w:t xml:space="preserve"> 2015;</w:t>
      </w:r>
      <w:r w:rsidR="00552EFC" w:rsidRPr="00552EFC">
        <w:rPr>
          <w:rFonts w:ascii="Calibri" w:hAnsi="Calibri" w:cs="Calibri"/>
          <w:b/>
          <w:bCs/>
          <w:noProof/>
          <w:sz w:val="16"/>
          <w:szCs w:val="24"/>
        </w:rPr>
        <w:t>4</w:t>
      </w:r>
      <w:r w:rsidR="00552EFC" w:rsidRPr="00552EFC">
        <w:rPr>
          <w:rFonts w:ascii="Calibri" w:hAnsi="Calibri" w:cs="Calibri"/>
          <w:noProof/>
          <w:sz w:val="16"/>
          <w:szCs w:val="24"/>
        </w:rPr>
        <w:t>:u201413.w1473.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 </w:t>
      </w:r>
      <w:r w:rsidRPr="00552EFC">
        <w:rPr>
          <w:rFonts w:ascii="Calibri" w:hAnsi="Calibri" w:cs="Calibri"/>
          <w:noProof/>
          <w:sz w:val="16"/>
          <w:szCs w:val="24"/>
        </w:rPr>
        <w:tab/>
        <w:t xml:space="preserve">Ahmad AN, Leyla Byrne M, Imambaccus N, </w:t>
      </w:r>
      <w:r w:rsidRPr="00552EFC">
        <w:rPr>
          <w:rFonts w:ascii="Calibri" w:hAnsi="Calibri" w:cs="Calibri"/>
          <w:i/>
          <w:iCs/>
          <w:noProof/>
          <w:sz w:val="16"/>
          <w:szCs w:val="24"/>
        </w:rPr>
        <w:t>et al.</w:t>
      </w:r>
      <w:r w:rsidRPr="00552EFC">
        <w:rPr>
          <w:rFonts w:ascii="Calibri" w:hAnsi="Calibri" w:cs="Calibri"/>
          <w:noProof/>
          <w:sz w:val="16"/>
          <w:szCs w:val="24"/>
        </w:rPr>
        <w:t xml:space="preserve"> Venous thromboembolism capture on electronic systems in obstetrics patients at St Thomas’ Hospital.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:u212405.w5122.</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 </w:t>
      </w:r>
      <w:r w:rsidRPr="00552EFC">
        <w:rPr>
          <w:rFonts w:ascii="Calibri" w:hAnsi="Calibri" w:cs="Calibri"/>
          <w:noProof/>
          <w:sz w:val="16"/>
          <w:szCs w:val="24"/>
        </w:rPr>
        <w:tab/>
        <w:t xml:space="preserve">Ahmed Awaji M, Al-Surimi K. Promoting the role of patients in improving hand hygiene compliance amongst health care workers.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:u210787.w4336.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 </w:t>
      </w:r>
      <w:r w:rsidRPr="00552EFC">
        <w:rPr>
          <w:rFonts w:ascii="Calibri" w:hAnsi="Calibri" w:cs="Calibri"/>
          <w:noProof/>
          <w:sz w:val="16"/>
          <w:szCs w:val="24"/>
        </w:rPr>
        <w:tab/>
        <w:t xml:space="preserve">Akinbobuyi O, shalders  louise, Nokes T. Ensuring timely thromboprophylaxis on a Medical Assessment Unit.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:u212414.w4934.</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5 </w:t>
      </w:r>
      <w:r w:rsidRPr="00552EFC">
        <w:rPr>
          <w:rFonts w:ascii="Calibri" w:hAnsi="Calibri" w:cs="Calibri"/>
          <w:noProof/>
          <w:sz w:val="16"/>
          <w:szCs w:val="24"/>
        </w:rPr>
        <w:tab/>
        <w:t xml:space="preserve">Akyuz E, jain  amit, phelan  declan, </w:t>
      </w:r>
      <w:r w:rsidRPr="00552EFC">
        <w:rPr>
          <w:rFonts w:ascii="Calibri" w:hAnsi="Calibri" w:cs="Calibri"/>
          <w:i/>
          <w:iCs/>
          <w:noProof/>
          <w:sz w:val="16"/>
          <w:szCs w:val="24"/>
        </w:rPr>
        <w:t>et al.</w:t>
      </w:r>
      <w:r w:rsidRPr="00552EFC">
        <w:rPr>
          <w:rFonts w:ascii="Calibri" w:hAnsi="Calibri" w:cs="Calibri"/>
          <w:noProof/>
          <w:sz w:val="16"/>
          <w:szCs w:val="24"/>
        </w:rPr>
        <w:t xml:space="preserve"> Improving the Physical Health Monitoring of City &amp;amp; Hackney Assertive Outreach Service Patients.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:u210108.w4174.</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6 </w:t>
      </w:r>
      <w:r w:rsidRPr="00552EFC">
        <w:rPr>
          <w:rFonts w:ascii="Calibri" w:hAnsi="Calibri" w:cs="Calibri"/>
          <w:noProof/>
          <w:sz w:val="16"/>
          <w:szCs w:val="24"/>
        </w:rPr>
        <w:tab/>
        <w:t xml:space="preserve">Alhamid SM, Lee DX-Y, Wong HM, </w:t>
      </w:r>
      <w:r w:rsidRPr="00552EFC">
        <w:rPr>
          <w:rFonts w:ascii="Calibri" w:hAnsi="Calibri" w:cs="Calibri"/>
          <w:i/>
          <w:iCs/>
          <w:noProof/>
          <w:sz w:val="16"/>
          <w:szCs w:val="24"/>
        </w:rPr>
        <w:t>et al.</w:t>
      </w:r>
      <w:r w:rsidRPr="00552EFC">
        <w:rPr>
          <w:rFonts w:ascii="Calibri" w:hAnsi="Calibri" w:cs="Calibri"/>
          <w:noProof/>
          <w:sz w:val="16"/>
          <w:szCs w:val="24"/>
        </w:rPr>
        <w:t xml:space="preserve"> Implementing electronic handover: interventions to improve efficiency, safety and sustainability. </w:t>
      </w:r>
      <w:r w:rsidRPr="00552EFC">
        <w:rPr>
          <w:rFonts w:ascii="Calibri" w:hAnsi="Calibri" w:cs="Calibri"/>
          <w:i/>
          <w:iCs/>
          <w:noProof/>
          <w:sz w:val="16"/>
          <w:szCs w:val="24"/>
        </w:rPr>
        <w:t>Int J Qual Heal care  J Int Soc Qual Heal Care</w:t>
      </w:r>
      <w:r w:rsidRPr="00552EFC">
        <w:rPr>
          <w:rFonts w:ascii="Calibri" w:hAnsi="Calibri" w:cs="Calibri"/>
          <w:noProof/>
          <w:sz w:val="16"/>
          <w:szCs w:val="24"/>
        </w:rPr>
        <w:t xml:space="preserve"> 2016;</w:t>
      </w:r>
      <w:r w:rsidRPr="00552EFC">
        <w:rPr>
          <w:rFonts w:ascii="Calibri" w:hAnsi="Calibri" w:cs="Calibri"/>
          <w:b/>
          <w:bCs/>
          <w:noProof/>
          <w:sz w:val="16"/>
          <w:szCs w:val="24"/>
        </w:rPr>
        <w:t>28</w:t>
      </w:r>
      <w:r w:rsidRPr="00552EFC">
        <w:rPr>
          <w:rFonts w:ascii="Calibri" w:hAnsi="Calibri" w:cs="Calibri"/>
          <w:noProof/>
          <w:sz w:val="16"/>
          <w:szCs w:val="24"/>
        </w:rPr>
        <w:t>:608–14.</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 </w:t>
      </w:r>
      <w:r w:rsidRPr="00552EFC">
        <w:rPr>
          <w:rFonts w:ascii="Calibri" w:hAnsi="Calibri" w:cs="Calibri"/>
          <w:noProof/>
          <w:sz w:val="16"/>
          <w:szCs w:val="24"/>
        </w:rPr>
        <w:tab/>
        <w:t xml:space="preserve">Aljaber A, Al-Surimi K. Promoting oral health practice among patients with diabetes attending primary health care clinics.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:10.1136/bmjquality.u209172.w3737. eCollection 2015.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8 </w:t>
      </w:r>
      <w:r w:rsidRPr="00552EFC">
        <w:rPr>
          <w:rFonts w:ascii="Calibri" w:hAnsi="Calibri" w:cs="Calibri"/>
          <w:noProof/>
          <w:sz w:val="16"/>
          <w:szCs w:val="24"/>
        </w:rPr>
        <w:tab/>
        <w:t xml:space="preserve">Al Saleem N, Al-Surimi K. Reducing the occurrence of errors in a laboratory’s specimen receiving and processing department.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:u211474.w4624. eCollection 2016.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 </w:t>
      </w:r>
      <w:r w:rsidRPr="00552EFC">
        <w:rPr>
          <w:rFonts w:ascii="Calibri" w:hAnsi="Calibri" w:cs="Calibri"/>
          <w:noProof/>
          <w:sz w:val="16"/>
          <w:szCs w:val="24"/>
        </w:rPr>
        <w:tab/>
        <w:t xml:space="preserve">Alshieban S, Al-Surimi K. Reducing turnaround time of surgical pathology reports in pathology and laboratory medicine departments.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:u209223.w3773.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 </w:t>
      </w:r>
      <w:r w:rsidRPr="00552EFC">
        <w:rPr>
          <w:rFonts w:ascii="Calibri" w:hAnsi="Calibri" w:cs="Calibri"/>
          <w:noProof/>
          <w:sz w:val="16"/>
          <w:szCs w:val="24"/>
        </w:rPr>
        <w:tab/>
        <w:t xml:space="preserve">Anderson C, McNab D. Quality improvement project using a care bundle approach on the management of the immediate discharge document (IDD) within a single general practice.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:10.1136/bmjquality.u204819.w3337. eCollection 2015.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 </w:t>
      </w:r>
      <w:r w:rsidRPr="00552EFC">
        <w:rPr>
          <w:rFonts w:ascii="Calibri" w:hAnsi="Calibri" w:cs="Calibri"/>
          <w:noProof/>
          <w:sz w:val="16"/>
          <w:szCs w:val="24"/>
        </w:rPr>
        <w:tab/>
        <w:t xml:space="preserve">Andersson J, Bull T, Paul D, </w:t>
      </w:r>
      <w:r w:rsidRPr="00552EFC">
        <w:rPr>
          <w:rFonts w:ascii="Calibri" w:hAnsi="Calibri" w:cs="Calibri"/>
          <w:i/>
          <w:iCs/>
          <w:noProof/>
          <w:sz w:val="16"/>
          <w:szCs w:val="24"/>
        </w:rPr>
        <w:t>et al.</w:t>
      </w:r>
      <w:r w:rsidRPr="00552EFC">
        <w:rPr>
          <w:rFonts w:ascii="Calibri" w:hAnsi="Calibri" w:cs="Calibri"/>
          <w:noProof/>
          <w:sz w:val="16"/>
          <w:szCs w:val="24"/>
        </w:rPr>
        <w:t xml:space="preserve"> Safer fluid prescribing at North Bristol Trust: Bringing practice in line with NICE Guidance with a redesign of the fluid prescription chart.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:u203816.w1911.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12 </w:t>
      </w:r>
      <w:r w:rsidRPr="00552EFC">
        <w:rPr>
          <w:rFonts w:ascii="Calibri" w:hAnsi="Calibri" w:cs="Calibri"/>
          <w:noProof/>
          <w:sz w:val="16"/>
          <w:szCs w:val="24"/>
        </w:rPr>
        <w:tab/>
        <w:t xml:space="preserve">Aragona E, Ponce-Rios J, Garg P, </w:t>
      </w:r>
      <w:r w:rsidRPr="00552EFC">
        <w:rPr>
          <w:rFonts w:ascii="Calibri" w:hAnsi="Calibri" w:cs="Calibri"/>
          <w:i/>
          <w:iCs/>
          <w:noProof/>
          <w:sz w:val="16"/>
          <w:szCs w:val="24"/>
        </w:rPr>
        <w:t>et al.</w:t>
      </w:r>
      <w:r w:rsidRPr="00552EFC">
        <w:rPr>
          <w:rFonts w:ascii="Calibri" w:hAnsi="Calibri" w:cs="Calibri"/>
          <w:noProof/>
          <w:sz w:val="16"/>
          <w:szCs w:val="24"/>
        </w:rPr>
        <w:t xml:space="preserve"> A Quality Improvement Project to Increase Nurse Attendance on Pediatric Family Centered Rounds. </w:t>
      </w:r>
      <w:r w:rsidRPr="00552EFC">
        <w:rPr>
          <w:rFonts w:ascii="Calibri" w:hAnsi="Calibri" w:cs="Calibri"/>
          <w:i/>
          <w:iCs/>
          <w:noProof/>
          <w:sz w:val="16"/>
          <w:szCs w:val="24"/>
        </w:rPr>
        <w:t>J Pediatr Nurs</w:t>
      </w:r>
      <w:r w:rsidRPr="00552EFC">
        <w:rPr>
          <w:rFonts w:ascii="Calibri" w:hAnsi="Calibri" w:cs="Calibri"/>
          <w:noProof/>
          <w:sz w:val="16"/>
          <w:szCs w:val="24"/>
        </w:rPr>
        <w:t xml:space="preserve"> 2016;</w:t>
      </w:r>
      <w:r w:rsidRPr="00552EFC">
        <w:rPr>
          <w:rFonts w:ascii="Calibri" w:hAnsi="Calibri" w:cs="Calibri"/>
          <w:b/>
          <w:bCs/>
          <w:noProof/>
          <w:sz w:val="16"/>
          <w:szCs w:val="24"/>
        </w:rPr>
        <w:t>31</w:t>
      </w:r>
      <w:r w:rsidRPr="00552EFC">
        <w:rPr>
          <w:rFonts w:ascii="Calibri" w:hAnsi="Calibri" w:cs="Calibri"/>
          <w:noProof/>
          <w:sz w:val="16"/>
          <w:szCs w:val="24"/>
        </w:rPr>
        <w:t>:e3–9.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13 </w:t>
      </w:r>
      <w:r w:rsidRPr="00552EFC">
        <w:rPr>
          <w:rFonts w:ascii="Calibri" w:hAnsi="Calibri" w:cs="Calibri"/>
          <w:noProof/>
          <w:sz w:val="16"/>
          <w:szCs w:val="24"/>
        </w:rPr>
        <w:tab/>
        <w:t xml:space="preserve">Aung TH, Judith Beck A, Siese T, </w:t>
      </w:r>
      <w:r w:rsidRPr="00552EFC">
        <w:rPr>
          <w:rFonts w:ascii="Calibri" w:hAnsi="Calibri" w:cs="Calibri"/>
          <w:i/>
          <w:iCs/>
          <w:noProof/>
          <w:sz w:val="16"/>
          <w:szCs w:val="24"/>
        </w:rPr>
        <w:t>et al.</w:t>
      </w:r>
      <w:r w:rsidRPr="00552EFC">
        <w:rPr>
          <w:rFonts w:ascii="Calibri" w:hAnsi="Calibri" w:cs="Calibri"/>
          <w:noProof/>
          <w:sz w:val="16"/>
          <w:szCs w:val="24"/>
        </w:rPr>
        <w:t xml:space="preserve"> Less is more: a project to reduce the number of PIMs (potentially inappropriate medications) on an elderly care ward.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:1–4.</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14 </w:t>
      </w:r>
      <w:r w:rsidRPr="00552EFC">
        <w:rPr>
          <w:rFonts w:ascii="Calibri" w:hAnsi="Calibri" w:cs="Calibri"/>
          <w:noProof/>
          <w:sz w:val="16"/>
          <w:szCs w:val="24"/>
        </w:rPr>
        <w:tab/>
        <w:t xml:space="preserve">Bailey J, Page B, Ndimande N, </w:t>
      </w:r>
      <w:r w:rsidRPr="00552EFC">
        <w:rPr>
          <w:rFonts w:ascii="Calibri" w:hAnsi="Calibri" w:cs="Calibri"/>
          <w:i/>
          <w:iCs/>
          <w:noProof/>
          <w:sz w:val="16"/>
          <w:szCs w:val="24"/>
        </w:rPr>
        <w:t>et al.</w:t>
      </w:r>
      <w:r w:rsidRPr="00552EFC">
        <w:rPr>
          <w:rFonts w:ascii="Calibri" w:hAnsi="Calibri" w:cs="Calibri"/>
          <w:noProof/>
          <w:sz w:val="16"/>
          <w:szCs w:val="24"/>
        </w:rPr>
        <w:t xml:space="preserve"> Absconding: reducing failure to return in adult mental health wards. </w:t>
      </w:r>
      <w:r w:rsidRPr="009A13A8">
        <w:rPr>
          <w:rFonts w:ascii="Calibri" w:hAnsi="Calibri" w:cs="Calibri"/>
          <w:i/>
          <w:iCs/>
          <w:noProof/>
          <w:sz w:val="16"/>
          <w:szCs w:val="24"/>
          <w:lang w:val="da-DK"/>
        </w:rPr>
        <w:t>BMJ Qual Improv Reports</w:t>
      </w:r>
      <w:r w:rsidRPr="009A13A8">
        <w:rPr>
          <w:rFonts w:ascii="Calibri" w:hAnsi="Calibri" w:cs="Calibri"/>
          <w:noProof/>
          <w:sz w:val="16"/>
          <w:szCs w:val="24"/>
          <w:lang w:val="da-DK"/>
        </w:rPr>
        <w:t xml:space="preserve"> 2016;</w:t>
      </w:r>
      <w:r w:rsidRPr="009A13A8">
        <w:rPr>
          <w:rFonts w:ascii="Calibri" w:hAnsi="Calibri" w:cs="Calibri"/>
          <w:b/>
          <w:bCs/>
          <w:noProof/>
          <w:sz w:val="16"/>
          <w:szCs w:val="24"/>
          <w:lang w:val="da-DK"/>
        </w:rPr>
        <w:t>5</w:t>
      </w:r>
      <w:r w:rsidRPr="009A13A8">
        <w:rPr>
          <w:rFonts w:ascii="Calibri" w:hAnsi="Calibri" w:cs="Calibri"/>
          <w:noProof/>
          <w:sz w:val="16"/>
          <w:szCs w:val="24"/>
          <w:lang w:val="da-DK"/>
        </w:rPr>
        <w:t>:u209837.w5117.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t xml:space="preserve">15 </w:t>
      </w:r>
      <w:r w:rsidRPr="009A13A8">
        <w:rPr>
          <w:rFonts w:ascii="Calibri" w:hAnsi="Calibri" w:cs="Calibri"/>
          <w:noProof/>
          <w:sz w:val="16"/>
          <w:szCs w:val="24"/>
          <w:lang w:val="da-DK"/>
        </w:rPr>
        <w:tab/>
        <w:t xml:space="preserve">Bartlett KW, Parente VM, Morales V,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Improving the Efficiency of Care for Pediatric Patients Hospitalized With Asthma. </w:t>
      </w:r>
      <w:r w:rsidRPr="00552EFC">
        <w:rPr>
          <w:rFonts w:ascii="Calibri" w:hAnsi="Calibri" w:cs="Calibri"/>
          <w:i/>
          <w:iCs/>
          <w:noProof/>
          <w:sz w:val="16"/>
          <w:szCs w:val="24"/>
        </w:rPr>
        <w:t>Hosp Pediatr</w:t>
      </w:r>
      <w:r w:rsidRPr="00552EFC">
        <w:rPr>
          <w:rFonts w:ascii="Calibri" w:hAnsi="Calibri" w:cs="Calibri"/>
          <w:noProof/>
          <w:sz w:val="16"/>
          <w:szCs w:val="24"/>
        </w:rPr>
        <w:t xml:space="preserve"> 2017;</w:t>
      </w:r>
      <w:r w:rsidRPr="00552EFC">
        <w:rPr>
          <w:rFonts w:ascii="Calibri" w:hAnsi="Calibri" w:cs="Calibri"/>
          <w:b/>
          <w:bCs/>
          <w:noProof/>
          <w:sz w:val="16"/>
          <w:szCs w:val="24"/>
        </w:rPr>
        <w:t>7</w:t>
      </w:r>
      <w:r w:rsidRPr="00552EFC">
        <w:rPr>
          <w:rFonts w:ascii="Calibri" w:hAnsi="Calibri" w:cs="Calibri"/>
          <w:noProof/>
          <w:sz w:val="16"/>
          <w:szCs w:val="24"/>
        </w:rPr>
        <w:t>:31–8.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16 </w:t>
      </w:r>
      <w:r w:rsidRPr="00552EFC">
        <w:rPr>
          <w:rFonts w:ascii="Calibri" w:hAnsi="Calibri" w:cs="Calibri"/>
          <w:noProof/>
          <w:sz w:val="16"/>
          <w:szCs w:val="24"/>
        </w:rPr>
        <w:tab/>
        <w:t xml:space="preserve">Bays A, Wahl E, Daikh DI, </w:t>
      </w:r>
      <w:r w:rsidRPr="00552EFC">
        <w:rPr>
          <w:rFonts w:ascii="Calibri" w:hAnsi="Calibri" w:cs="Calibri"/>
          <w:i/>
          <w:iCs/>
          <w:noProof/>
          <w:sz w:val="16"/>
          <w:szCs w:val="24"/>
        </w:rPr>
        <w:t>et al.</w:t>
      </w:r>
      <w:r w:rsidRPr="00552EFC">
        <w:rPr>
          <w:rFonts w:ascii="Calibri" w:hAnsi="Calibri" w:cs="Calibri"/>
          <w:noProof/>
          <w:sz w:val="16"/>
          <w:szCs w:val="24"/>
        </w:rPr>
        <w:t xml:space="preserve"> Implementation of disease activity measurement for rheumatoid arthritis patients in an academic rheumatology clinic. </w:t>
      </w:r>
      <w:r w:rsidRPr="00552EFC">
        <w:rPr>
          <w:rFonts w:ascii="Calibri" w:hAnsi="Calibri" w:cs="Calibri"/>
          <w:i/>
          <w:iCs/>
          <w:noProof/>
          <w:sz w:val="16"/>
          <w:szCs w:val="24"/>
        </w:rPr>
        <w:t>BMC Health Serv Res</w:t>
      </w:r>
      <w:r w:rsidRPr="00552EFC">
        <w:rPr>
          <w:rFonts w:ascii="Calibri" w:hAnsi="Calibri" w:cs="Calibri"/>
          <w:noProof/>
          <w:sz w:val="16"/>
          <w:szCs w:val="24"/>
        </w:rPr>
        <w:t xml:space="preserve"> 2016;</w:t>
      </w:r>
      <w:r w:rsidRPr="00552EFC">
        <w:rPr>
          <w:rFonts w:ascii="Calibri" w:hAnsi="Calibri" w:cs="Calibri"/>
          <w:b/>
          <w:bCs/>
          <w:noProof/>
          <w:sz w:val="16"/>
          <w:szCs w:val="24"/>
        </w:rPr>
        <w:t>16</w:t>
      </w:r>
      <w:r w:rsidRPr="00552EFC">
        <w:rPr>
          <w:rFonts w:ascii="Calibri" w:hAnsi="Calibri" w:cs="Calibri"/>
          <w:noProof/>
          <w:sz w:val="16"/>
          <w:szCs w:val="24"/>
        </w:rPr>
        <w:t>:384.</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17 </w:t>
      </w:r>
      <w:r w:rsidRPr="00552EFC">
        <w:rPr>
          <w:rFonts w:ascii="Calibri" w:hAnsi="Calibri" w:cs="Calibri"/>
          <w:noProof/>
          <w:sz w:val="16"/>
          <w:szCs w:val="24"/>
        </w:rPr>
        <w:tab/>
        <w:t xml:space="preserve">Bell A, Gallacher N. Succeeding in Sustained Reduction in the use of Restraint using the Improvement Model.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:u211050.w4430.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18 </w:t>
      </w:r>
      <w:r w:rsidRPr="00552EFC">
        <w:rPr>
          <w:rFonts w:ascii="Calibri" w:hAnsi="Calibri" w:cs="Calibri"/>
          <w:noProof/>
          <w:sz w:val="16"/>
          <w:szCs w:val="24"/>
        </w:rPr>
        <w:tab/>
        <w:t xml:space="preserve">Blackburn J, Madhavan P, Leung YL, </w:t>
      </w:r>
      <w:r w:rsidRPr="00552EFC">
        <w:rPr>
          <w:rFonts w:ascii="Calibri" w:hAnsi="Calibri" w:cs="Calibri"/>
          <w:i/>
          <w:iCs/>
          <w:noProof/>
          <w:sz w:val="16"/>
          <w:szCs w:val="24"/>
        </w:rPr>
        <w:t>et al.</w:t>
      </w:r>
      <w:r w:rsidRPr="00552EFC">
        <w:rPr>
          <w:rFonts w:ascii="Calibri" w:hAnsi="Calibri" w:cs="Calibri"/>
          <w:noProof/>
          <w:sz w:val="16"/>
          <w:szCs w:val="24"/>
        </w:rPr>
        <w:t xml:space="preserve"> An enhanced recovery program for elective spinal surgery patients. </w:t>
      </w:r>
      <w:r w:rsidRPr="00552EFC">
        <w:rPr>
          <w:rFonts w:ascii="Calibri" w:hAnsi="Calibri" w:cs="Calibri"/>
          <w:i/>
          <w:iCs/>
          <w:noProof/>
          <w:sz w:val="16"/>
          <w:szCs w:val="24"/>
        </w:rPr>
        <w:t>J Clin Outcomes Manag</w:t>
      </w:r>
      <w:r w:rsidRPr="00552EFC">
        <w:rPr>
          <w:rFonts w:ascii="Calibri" w:hAnsi="Calibri" w:cs="Calibri"/>
          <w:noProof/>
          <w:sz w:val="16"/>
          <w:szCs w:val="24"/>
        </w:rPr>
        <w:t xml:space="preserve"> 2016;</w:t>
      </w:r>
      <w:r w:rsidRPr="00552EFC">
        <w:rPr>
          <w:rFonts w:ascii="Calibri" w:hAnsi="Calibri" w:cs="Calibri"/>
          <w:b/>
          <w:bCs/>
          <w:noProof/>
          <w:sz w:val="16"/>
          <w:szCs w:val="24"/>
        </w:rPr>
        <w:t>23</w:t>
      </w:r>
      <w:r w:rsidRPr="00552EFC">
        <w:rPr>
          <w:rFonts w:ascii="Calibri" w:hAnsi="Calibri" w:cs="Calibri"/>
          <w:noProof/>
          <w:sz w:val="16"/>
          <w:szCs w:val="24"/>
        </w:rPr>
        <w:t>:462–9.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19 </w:t>
      </w:r>
      <w:r w:rsidRPr="00552EFC">
        <w:rPr>
          <w:rFonts w:ascii="Calibri" w:hAnsi="Calibri" w:cs="Calibri"/>
          <w:noProof/>
          <w:sz w:val="16"/>
          <w:szCs w:val="24"/>
        </w:rPr>
        <w:tab/>
        <w:t xml:space="preserve">Bock A, Chintamaneni K, Rein L, </w:t>
      </w:r>
      <w:r w:rsidRPr="00552EFC">
        <w:rPr>
          <w:rFonts w:ascii="Calibri" w:hAnsi="Calibri" w:cs="Calibri"/>
          <w:i/>
          <w:iCs/>
          <w:noProof/>
          <w:sz w:val="16"/>
          <w:szCs w:val="24"/>
        </w:rPr>
        <w:t>et al.</w:t>
      </w:r>
      <w:r w:rsidRPr="00552EFC">
        <w:rPr>
          <w:rFonts w:ascii="Calibri" w:hAnsi="Calibri" w:cs="Calibri"/>
          <w:noProof/>
          <w:sz w:val="16"/>
          <w:szCs w:val="24"/>
        </w:rPr>
        <w:t xml:space="preserve"> Improving pneumococcal vaccination rates of medical inpatients in urban Nepal using quality improvement measures.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:u212047.w4835.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20 </w:t>
      </w:r>
      <w:r w:rsidRPr="00552EFC">
        <w:rPr>
          <w:rFonts w:ascii="Calibri" w:hAnsi="Calibri" w:cs="Calibri"/>
          <w:noProof/>
          <w:sz w:val="16"/>
          <w:szCs w:val="24"/>
        </w:rPr>
        <w:tab/>
        <w:t xml:space="preserve">Bray L. Improving cranial ultrasound scanning strategy in neonates.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:u210346.w4219.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21 </w:t>
      </w:r>
      <w:r w:rsidRPr="00552EFC">
        <w:rPr>
          <w:rFonts w:ascii="Calibri" w:hAnsi="Calibri" w:cs="Calibri"/>
          <w:noProof/>
          <w:sz w:val="16"/>
          <w:szCs w:val="24"/>
        </w:rPr>
        <w:tab/>
        <w:t xml:space="preserve">Brown J, Fawzi W, Shah A, </w:t>
      </w:r>
      <w:r w:rsidRPr="00552EFC">
        <w:rPr>
          <w:rFonts w:ascii="Calibri" w:hAnsi="Calibri" w:cs="Calibri"/>
          <w:i/>
          <w:iCs/>
          <w:noProof/>
          <w:sz w:val="16"/>
          <w:szCs w:val="24"/>
        </w:rPr>
        <w:t>et al.</w:t>
      </w:r>
      <w:r w:rsidRPr="00552EFC">
        <w:rPr>
          <w:rFonts w:ascii="Calibri" w:hAnsi="Calibri" w:cs="Calibri"/>
          <w:noProof/>
          <w:sz w:val="16"/>
          <w:szCs w:val="24"/>
        </w:rPr>
        <w:t xml:space="preserve"> Low stimulus environments: reducing noise levels in continuing care.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:u207447.w4214.</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lastRenderedPageBreak/>
        <w:t xml:space="preserve">22 </w:t>
      </w:r>
      <w:r w:rsidRPr="00552EFC">
        <w:rPr>
          <w:rFonts w:ascii="Calibri" w:hAnsi="Calibri" w:cs="Calibri"/>
          <w:noProof/>
          <w:sz w:val="16"/>
          <w:szCs w:val="24"/>
        </w:rPr>
        <w:tab/>
        <w:t xml:space="preserve">Brown J, Fawzi W, McCarthy C, </w:t>
      </w:r>
      <w:r w:rsidRPr="00552EFC">
        <w:rPr>
          <w:rFonts w:ascii="Calibri" w:hAnsi="Calibri" w:cs="Calibri"/>
          <w:i/>
          <w:iCs/>
          <w:noProof/>
          <w:sz w:val="16"/>
          <w:szCs w:val="24"/>
        </w:rPr>
        <w:t>et al.</w:t>
      </w:r>
      <w:r w:rsidRPr="00552EFC">
        <w:rPr>
          <w:rFonts w:ascii="Calibri" w:hAnsi="Calibri" w:cs="Calibri"/>
          <w:noProof/>
          <w:sz w:val="16"/>
          <w:szCs w:val="24"/>
        </w:rPr>
        <w:t xml:space="preserve"> Safer Wards: reducing violence on older people’s mental health wards.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:1–5.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23 </w:t>
      </w:r>
      <w:r w:rsidRPr="00552EFC">
        <w:rPr>
          <w:rFonts w:ascii="Calibri" w:hAnsi="Calibri" w:cs="Calibri"/>
          <w:noProof/>
          <w:sz w:val="16"/>
          <w:szCs w:val="24"/>
        </w:rPr>
        <w:tab/>
        <w:t xml:space="preserve">Bryant-Bova JN. Improving Chemotherapy Ordering Process. </w:t>
      </w:r>
      <w:r w:rsidRPr="00552EFC">
        <w:rPr>
          <w:rFonts w:ascii="Calibri" w:hAnsi="Calibri" w:cs="Calibri"/>
          <w:i/>
          <w:iCs/>
          <w:noProof/>
          <w:sz w:val="16"/>
          <w:szCs w:val="24"/>
        </w:rPr>
        <w:t>J Oncol Pract</w:t>
      </w:r>
      <w:r w:rsidRPr="00552EFC">
        <w:rPr>
          <w:rFonts w:ascii="Calibri" w:hAnsi="Calibri" w:cs="Calibri"/>
          <w:noProof/>
          <w:sz w:val="16"/>
          <w:szCs w:val="24"/>
        </w:rPr>
        <w:t xml:space="preserve"> 2016;</w:t>
      </w:r>
      <w:r w:rsidRPr="00552EFC">
        <w:rPr>
          <w:rFonts w:ascii="Calibri" w:hAnsi="Calibri" w:cs="Calibri"/>
          <w:b/>
          <w:bCs/>
          <w:noProof/>
          <w:sz w:val="16"/>
          <w:szCs w:val="24"/>
        </w:rPr>
        <w:t>12</w:t>
      </w:r>
      <w:r w:rsidRPr="00552EFC">
        <w:rPr>
          <w:rFonts w:ascii="Calibri" w:hAnsi="Calibri" w:cs="Calibri"/>
          <w:noProof/>
          <w:sz w:val="16"/>
          <w:szCs w:val="24"/>
        </w:rPr>
        <w:t>:e248–56.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24 </w:t>
      </w:r>
      <w:r w:rsidRPr="00552EFC">
        <w:rPr>
          <w:rFonts w:ascii="Calibri" w:hAnsi="Calibri" w:cs="Calibri"/>
          <w:noProof/>
          <w:sz w:val="16"/>
          <w:szCs w:val="24"/>
        </w:rPr>
        <w:tab/>
        <w:t xml:space="preserve">Burchett P, Harpin S, Petersen-Smith A, </w:t>
      </w:r>
      <w:r w:rsidRPr="00552EFC">
        <w:rPr>
          <w:rFonts w:ascii="Calibri" w:hAnsi="Calibri" w:cs="Calibri"/>
          <w:i/>
          <w:iCs/>
          <w:noProof/>
          <w:sz w:val="16"/>
          <w:szCs w:val="24"/>
        </w:rPr>
        <w:t>et al.</w:t>
      </w:r>
      <w:r w:rsidRPr="00552EFC">
        <w:rPr>
          <w:rFonts w:ascii="Calibri" w:hAnsi="Calibri" w:cs="Calibri"/>
          <w:noProof/>
          <w:sz w:val="16"/>
          <w:szCs w:val="24"/>
        </w:rPr>
        <w:t xml:space="preserve"> Improving a Urine Culture Callback Follow-up System in a Pediatric Emergency Department. </w:t>
      </w:r>
      <w:r w:rsidRPr="00552EFC">
        <w:rPr>
          <w:rFonts w:ascii="Calibri" w:hAnsi="Calibri" w:cs="Calibri"/>
          <w:i/>
          <w:iCs/>
          <w:noProof/>
          <w:sz w:val="16"/>
          <w:szCs w:val="24"/>
        </w:rPr>
        <w:t>J Pediatr Heal Care</w:t>
      </w:r>
      <w:r w:rsidRPr="00552EFC">
        <w:rPr>
          <w:rFonts w:ascii="Calibri" w:hAnsi="Calibri" w:cs="Calibri"/>
          <w:noProof/>
          <w:sz w:val="16"/>
          <w:szCs w:val="24"/>
        </w:rPr>
        <w:t xml:space="preserve"> 2015;</w:t>
      </w:r>
      <w:r w:rsidRPr="00552EFC">
        <w:rPr>
          <w:rFonts w:ascii="Calibri" w:hAnsi="Calibri" w:cs="Calibri"/>
          <w:b/>
          <w:bCs/>
          <w:noProof/>
          <w:sz w:val="16"/>
          <w:szCs w:val="24"/>
        </w:rPr>
        <w:t>29</w:t>
      </w:r>
      <w:r w:rsidRPr="00552EFC">
        <w:rPr>
          <w:rFonts w:ascii="Calibri" w:hAnsi="Calibri" w:cs="Calibri"/>
          <w:noProof/>
          <w:sz w:val="16"/>
          <w:szCs w:val="24"/>
        </w:rPr>
        <w:t>:518–25.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25 </w:t>
      </w:r>
      <w:r w:rsidRPr="00552EFC">
        <w:rPr>
          <w:rFonts w:ascii="Calibri" w:hAnsi="Calibri" w:cs="Calibri"/>
          <w:noProof/>
          <w:sz w:val="16"/>
          <w:szCs w:val="24"/>
        </w:rPr>
        <w:tab/>
        <w:t xml:space="preserve">Calderwood AH, Mahoney EM, Jacobson BC. A Plan-Do-Study-Act Approach to Improving Bowel Preparation Quality. </w:t>
      </w:r>
      <w:r w:rsidRPr="00552EFC">
        <w:rPr>
          <w:rFonts w:ascii="Calibri" w:hAnsi="Calibri" w:cs="Calibri"/>
          <w:i/>
          <w:iCs/>
          <w:noProof/>
          <w:sz w:val="16"/>
          <w:szCs w:val="24"/>
        </w:rPr>
        <w:t>Am J Med Qual</w:t>
      </w:r>
      <w:r w:rsidRPr="00552EFC">
        <w:rPr>
          <w:rFonts w:ascii="Calibri" w:hAnsi="Calibri" w:cs="Calibri"/>
          <w:noProof/>
          <w:sz w:val="16"/>
          <w:szCs w:val="24"/>
        </w:rPr>
        <w:t xml:space="preserve"> 2017;</w:t>
      </w:r>
      <w:r w:rsidRPr="00552EFC">
        <w:rPr>
          <w:rFonts w:ascii="Calibri" w:hAnsi="Calibri" w:cs="Calibri"/>
          <w:b/>
          <w:bCs/>
          <w:noProof/>
          <w:sz w:val="16"/>
          <w:szCs w:val="24"/>
        </w:rPr>
        <w:t>32</w:t>
      </w:r>
      <w:r w:rsidRPr="00552EFC">
        <w:rPr>
          <w:rFonts w:ascii="Calibri" w:hAnsi="Calibri" w:cs="Calibri"/>
          <w:noProof/>
          <w:sz w:val="16"/>
          <w:szCs w:val="24"/>
        </w:rPr>
        <w:t>:194–200.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26 </w:t>
      </w:r>
      <w:r w:rsidRPr="00552EFC">
        <w:rPr>
          <w:rFonts w:ascii="Calibri" w:hAnsi="Calibri" w:cs="Calibri"/>
          <w:noProof/>
          <w:sz w:val="16"/>
          <w:szCs w:val="24"/>
        </w:rPr>
        <w:tab/>
        <w:t xml:space="preserve">Chartier L, Josephson T, Bates K, </w:t>
      </w:r>
      <w:r w:rsidRPr="00552EFC">
        <w:rPr>
          <w:rFonts w:ascii="Calibri" w:hAnsi="Calibri" w:cs="Calibri"/>
          <w:i/>
          <w:iCs/>
          <w:noProof/>
          <w:sz w:val="16"/>
          <w:szCs w:val="24"/>
        </w:rPr>
        <w:t>et al.</w:t>
      </w:r>
      <w:r w:rsidRPr="00552EFC">
        <w:rPr>
          <w:rFonts w:ascii="Calibri" w:hAnsi="Calibri" w:cs="Calibri"/>
          <w:noProof/>
          <w:sz w:val="16"/>
          <w:szCs w:val="24"/>
        </w:rPr>
        <w:t xml:space="preserve"> Improving emergency department flow through Rapid Medical Evaluation unit.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:u206156.w2663.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27 </w:t>
      </w:r>
      <w:r w:rsidRPr="00552EFC">
        <w:rPr>
          <w:rFonts w:ascii="Calibri" w:hAnsi="Calibri" w:cs="Calibri"/>
          <w:noProof/>
          <w:sz w:val="16"/>
          <w:szCs w:val="24"/>
        </w:rPr>
        <w:tab/>
        <w:t xml:space="preserve">Cohen ES, Ogrinc G, Taylor T, </w:t>
      </w:r>
      <w:r w:rsidRPr="00552EFC">
        <w:rPr>
          <w:rFonts w:ascii="Calibri" w:hAnsi="Calibri" w:cs="Calibri"/>
          <w:i/>
          <w:iCs/>
          <w:noProof/>
          <w:sz w:val="16"/>
          <w:szCs w:val="24"/>
        </w:rPr>
        <w:t>et al.</w:t>
      </w:r>
      <w:r w:rsidRPr="00552EFC">
        <w:rPr>
          <w:rFonts w:ascii="Calibri" w:hAnsi="Calibri" w:cs="Calibri"/>
          <w:noProof/>
          <w:sz w:val="16"/>
          <w:szCs w:val="24"/>
        </w:rPr>
        <w:t xml:space="preserve"> Influenza vaccination rates for hospitalised patients: A multiyear quality improvement effort. </w:t>
      </w:r>
      <w:r w:rsidRPr="00552EFC">
        <w:rPr>
          <w:rFonts w:ascii="Calibri" w:hAnsi="Calibri" w:cs="Calibri"/>
          <w:i/>
          <w:iCs/>
          <w:noProof/>
          <w:sz w:val="16"/>
          <w:szCs w:val="24"/>
        </w:rPr>
        <w:t>BMJ Qual Saf</w:t>
      </w:r>
      <w:r w:rsidRPr="00552EFC">
        <w:rPr>
          <w:rFonts w:ascii="Calibri" w:hAnsi="Calibri" w:cs="Calibri"/>
          <w:noProof/>
          <w:sz w:val="16"/>
          <w:szCs w:val="24"/>
        </w:rPr>
        <w:t xml:space="preserve"> 2015;</w:t>
      </w:r>
      <w:r w:rsidRPr="00552EFC">
        <w:rPr>
          <w:rFonts w:ascii="Calibri" w:hAnsi="Calibri" w:cs="Calibri"/>
          <w:b/>
          <w:bCs/>
          <w:noProof/>
          <w:sz w:val="16"/>
          <w:szCs w:val="24"/>
        </w:rPr>
        <w:t>24</w:t>
      </w:r>
      <w:r w:rsidRPr="00552EFC">
        <w:rPr>
          <w:rFonts w:ascii="Calibri" w:hAnsi="Calibri" w:cs="Calibri"/>
          <w:noProof/>
          <w:sz w:val="16"/>
          <w:szCs w:val="24"/>
        </w:rPr>
        <w:t>:221–7.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28 </w:t>
      </w:r>
      <w:r w:rsidRPr="00552EFC">
        <w:rPr>
          <w:rFonts w:ascii="Calibri" w:hAnsi="Calibri" w:cs="Calibri"/>
          <w:noProof/>
          <w:sz w:val="16"/>
          <w:szCs w:val="24"/>
        </w:rPr>
        <w:tab/>
        <w:t xml:space="preserve">Cohen R, Kennedy H, Amitrano B, </w:t>
      </w:r>
      <w:r w:rsidRPr="00552EFC">
        <w:rPr>
          <w:rFonts w:ascii="Calibri" w:hAnsi="Calibri" w:cs="Calibri"/>
          <w:i/>
          <w:iCs/>
          <w:noProof/>
          <w:sz w:val="16"/>
          <w:szCs w:val="24"/>
        </w:rPr>
        <w:t>et al.</w:t>
      </w:r>
      <w:r w:rsidRPr="00552EFC">
        <w:rPr>
          <w:rFonts w:ascii="Calibri" w:hAnsi="Calibri" w:cs="Calibri"/>
          <w:noProof/>
          <w:sz w:val="16"/>
          <w:szCs w:val="24"/>
        </w:rPr>
        <w:t xml:space="preserve"> A quality improvement project to decrease emergency department and medical intensive care unit transfer times. </w:t>
      </w:r>
      <w:r w:rsidRPr="00552EFC">
        <w:rPr>
          <w:rFonts w:ascii="Calibri" w:hAnsi="Calibri" w:cs="Calibri"/>
          <w:i/>
          <w:iCs/>
          <w:noProof/>
          <w:sz w:val="16"/>
          <w:szCs w:val="24"/>
        </w:rPr>
        <w:t>J Crit</w:t>
      </w:r>
      <w:r w:rsidRPr="00552EFC">
        <w:rPr>
          <w:rFonts w:ascii="Calibri" w:hAnsi="Calibri" w:cs="Calibri"/>
          <w:noProof/>
          <w:sz w:val="16"/>
          <w:szCs w:val="24"/>
        </w:rPr>
        <w:t xml:space="preserve"> 2015;</w:t>
      </w:r>
      <w:r w:rsidRPr="00552EFC">
        <w:rPr>
          <w:rFonts w:ascii="Calibri" w:hAnsi="Calibri" w:cs="Calibri"/>
          <w:b/>
          <w:bCs/>
          <w:noProof/>
          <w:sz w:val="16"/>
          <w:szCs w:val="24"/>
        </w:rPr>
        <w:t>30</w:t>
      </w:r>
      <w:r w:rsidRPr="00552EFC">
        <w:rPr>
          <w:rFonts w:ascii="Calibri" w:hAnsi="Calibri" w:cs="Calibri"/>
          <w:noProof/>
          <w:sz w:val="16"/>
          <w:szCs w:val="24"/>
        </w:rPr>
        <w:t>:1331–7.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29 </w:t>
      </w:r>
      <w:r w:rsidRPr="00552EFC">
        <w:rPr>
          <w:rFonts w:ascii="Calibri" w:hAnsi="Calibri" w:cs="Calibri"/>
          <w:noProof/>
          <w:sz w:val="16"/>
          <w:szCs w:val="24"/>
        </w:rPr>
        <w:tab/>
        <w:t xml:space="preserve">Cooper D. Improving the rate of Patient Feedback for a Later Life Mental Health Liaison Team.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:u210384.w4457.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30 </w:t>
      </w:r>
      <w:r w:rsidRPr="00552EFC">
        <w:rPr>
          <w:rFonts w:ascii="Calibri" w:hAnsi="Calibri" w:cs="Calibri"/>
          <w:noProof/>
          <w:sz w:val="16"/>
          <w:szCs w:val="24"/>
        </w:rPr>
        <w:tab/>
        <w:t xml:space="preserve">Cottney A. Using league tables to reduce missed dose medication errors on mental healthcare of older people wards.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:u204237.w3567.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31 </w:t>
      </w:r>
      <w:r w:rsidRPr="00552EFC">
        <w:rPr>
          <w:rFonts w:ascii="Calibri" w:hAnsi="Calibri" w:cs="Calibri"/>
          <w:noProof/>
          <w:sz w:val="16"/>
          <w:szCs w:val="24"/>
        </w:rPr>
        <w:tab/>
        <w:t xml:space="preserve">Crosby LE, Joffe NE, Davis B, </w:t>
      </w:r>
      <w:r w:rsidRPr="00552EFC">
        <w:rPr>
          <w:rFonts w:ascii="Calibri" w:hAnsi="Calibri" w:cs="Calibri"/>
          <w:i/>
          <w:iCs/>
          <w:noProof/>
          <w:sz w:val="16"/>
          <w:szCs w:val="24"/>
        </w:rPr>
        <w:t>et al.</w:t>
      </w:r>
      <w:r w:rsidRPr="00552EFC">
        <w:rPr>
          <w:rFonts w:ascii="Calibri" w:hAnsi="Calibri" w:cs="Calibri"/>
          <w:noProof/>
          <w:sz w:val="16"/>
          <w:szCs w:val="24"/>
        </w:rPr>
        <w:t xml:space="preserve"> Implementation of a Process for Initial Transcranial Doppler Ultrasonography in Children With Sickle Cell Anemia. </w:t>
      </w:r>
      <w:r w:rsidRPr="00552EFC">
        <w:rPr>
          <w:rFonts w:ascii="Calibri" w:hAnsi="Calibri" w:cs="Calibri"/>
          <w:i/>
          <w:iCs/>
          <w:noProof/>
          <w:sz w:val="16"/>
          <w:szCs w:val="24"/>
        </w:rPr>
        <w:t>Am J Prev Med</w:t>
      </w:r>
      <w:r w:rsidRPr="00552EFC">
        <w:rPr>
          <w:rFonts w:ascii="Calibri" w:hAnsi="Calibri" w:cs="Calibri"/>
          <w:noProof/>
          <w:sz w:val="16"/>
          <w:szCs w:val="24"/>
        </w:rPr>
        <w:t xml:space="preserve"> 2016;</w:t>
      </w:r>
      <w:r w:rsidRPr="00552EFC">
        <w:rPr>
          <w:rFonts w:ascii="Calibri" w:hAnsi="Calibri" w:cs="Calibri"/>
          <w:b/>
          <w:bCs/>
          <w:noProof/>
          <w:sz w:val="16"/>
          <w:szCs w:val="24"/>
        </w:rPr>
        <w:t>51</w:t>
      </w:r>
      <w:r w:rsidRPr="00552EFC">
        <w:rPr>
          <w:rFonts w:ascii="Calibri" w:hAnsi="Calibri" w:cs="Calibri"/>
          <w:noProof/>
          <w:sz w:val="16"/>
          <w:szCs w:val="24"/>
        </w:rPr>
        <w:t>:S10-6.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32 </w:t>
      </w:r>
      <w:r w:rsidRPr="00552EFC">
        <w:rPr>
          <w:rFonts w:ascii="Calibri" w:hAnsi="Calibri" w:cs="Calibri"/>
          <w:noProof/>
          <w:sz w:val="16"/>
          <w:szCs w:val="24"/>
        </w:rPr>
        <w:tab/>
        <w:t xml:space="preserve">Croxford A, Clare A, McCurdy K. Introduction of a Venous Thromboembolism Prophylaxis Protocol for Older Adult Psychiatric Patients.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:u205852.w3226.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33 </w:t>
      </w:r>
      <w:r w:rsidRPr="00552EFC">
        <w:rPr>
          <w:rFonts w:ascii="Calibri" w:hAnsi="Calibri" w:cs="Calibri"/>
          <w:noProof/>
          <w:sz w:val="16"/>
          <w:szCs w:val="24"/>
        </w:rPr>
        <w:tab/>
        <w:t xml:space="preserve">Curatolo N, Gutermann L, Devaquet N, </w:t>
      </w:r>
      <w:r w:rsidRPr="00552EFC">
        <w:rPr>
          <w:rFonts w:ascii="Calibri" w:hAnsi="Calibri" w:cs="Calibri"/>
          <w:i/>
          <w:iCs/>
          <w:noProof/>
          <w:sz w:val="16"/>
          <w:szCs w:val="24"/>
        </w:rPr>
        <w:t>et al.</w:t>
      </w:r>
      <w:r w:rsidRPr="00552EFC">
        <w:rPr>
          <w:rFonts w:ascii="Calibri" w:hAnsi="Calibri" w:cs="Calibri"/>
          <w:noProof/>
          <w:sz w:val="16"/>
          <w:szCs w:val="24"/>
        </w:rPr>
        <w:t xml:space="preserve"> Reducing medication errors at admission: 3 cycles to implement, improve and sustain medication reconciliation. </w:t>
      </w:r>
      <w:r w:rsidRPr="00552EFC">
        <w:rPr>
          <w:rFonts w:ascii="Calibri" w:hAnsi="Calibri" w:cs="Calibri"/>
          <w:i/>
          <w:iCs/>
          <w:noProof/>
          <w:sz w:val="16"/>
          <w:szCs w:val="24"/>
        </w:rPr>
        <w:t>Int J Clin Pharm</w:t>
      </w:r>
      <w:r w:rsidRPr="00552EFC">
        <w:rPr>
          <w:rFonts w:ascii="Calibri" w:hAnsi="Calibri" w:cs="Calibri"/>
          <w:noProof/>
          <w:sz w:val="16"/>
          <w:szCs w:val="24"/>
        </w:rPr>
        <w:t xml:space="preserve"> 2014;</w:t>
      </w:r>
      <w:r w:rsidRPr="00552EFC">
        <w:rPr>
          <w:rFonts w:ascii="Calibri" w:hAnsi="Calibri" w:cs="Calibri"/>
          <w:b/>
          <w:bCs/>
          <w:noProof/>
          <w:sz w:val="16"/>
          <w:szCs w:val="24"/>
        </w:rPr>
        <w:t>37</w:t>
      </w:r>
      <w:r w:rsidRPr="00552EFC">
        <w:rPr>
          <w:rFonts w:ascii="Calibri" w:hAnsi="Calibri" w:cs="Calibri"/>
          <w:noProof/>
          <w:sz w:val="16"/>
          <w:szCs w:val="24"/>
        </w:rPr>
        <w:t>:113–20.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34 </w:t>
      </w:r>
      <w:r w:rsidRPr="00552EFC">
        <w:rPr>
          <w:rFonts w:ascii="Calibri" w:hAnsi="Calibri" w:cs="Calibri"/>
          <w:noProof/>
          <w:sz w:val="16"/>
          <w:szCs w:val="24"/>
        </w:rPr>
        <w:tab/>
        <w:t xml:space="preserve">Dandoy CE, Hariharan S, Weiss B, </w:t>
      </w:r>
      <w:r w:rsidRPr="00552EFC">
        <w:rPr>
          <w:rFonts w:ascii="Calibri" w:hAnsi="Calibri" w:cs="Calibri"/>
          <w:i/>
          <w:iCs/>
          <w:noProof/>
          <w:sz w:val="16"/>
          <w:szCs w:val="24"/>
        </w:rPr>
        <w:t>et al.</w:t>
      </w:r>
      <w:r w:rsidRPr="00552EFC">
        <w:rPr>
          <w:rFonts w:ascii="Calibri" w:hAnsi="Calibri" w:cs="Calibri"/>
          <w:noProof/>
          <w:sz w:val="16"/>
          <w:szCs w:val="24"/>
        </w:rPr>
        <w:t xml:space="preserve"> Sustained reductions in time to antibiotic delivery in febrile immunocompromised children: Results of a quality improvement collaborative. </w:t>
      </w:r>
      <w:r w:rsidRPr="00552EFC">
        <w:rPr>
          <w:rFonts w:ascii="Calibri" w:hAnsi="Calibri" w:cs="Calibri"/>
          <w:i/>
          <w:iCs/>
          <w:noProof/>
          <w:sz w:val="16"/>
          <w:szCs w:val="24"/>
        </w:rPr>
        <w:t>BMJ Qual Saf</w:t>
      </w:r>
      <w:r w:rsidRPr="00552EFC">
        <w:rPr>
          <w:rFonts w:ascii="Calibri" w:hAnsi="Calibri" w:cs="Calibri"/>
          <w:noProof/>
          <w:sz w:val="16"/>
          <w:szCs w:val="24"/>
        </w:rPr>
        <w:t xml:space="preserve"> 2016;</w:t>
      </w:r>
      <w:r w:rsidRPr="00552EFC">
        <w:rPr>
          <w:rFonts w:ascii="Calibri" w:hAnsi="Calibri" w:cs="Calibri"/>
          <w:b/>
          <w:bCs/>
          <w:noProof/>
          <w:sz w:val="16"/>
          <w:szCs w:val="24"/>
        </w:rPr>
        <w:t>25</w:t>
      </w:r>
      <w:r w:rsidRPr="00552EFC">
        <w:rPr>
          <w:rFonts w:ascii="Calibri" w:hAnsi="Calibri" w:cs="Calibri"/>
          <w:noProof/>
          <w:sz w:val="16"/>
          <w:szCs w:val="24"/>
        </w:rPr>
        <w:t>:100–9.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35 </w:t>
      </w:r>
      <w:r w:rsidRPr="00552EFC">
        <w:rPr>
          <w:rFonts w:ascii="Calibri" w:hAnsi="Calibri" w:cs="Calibri"/>
          <w:noProof/>
          <w:sz w:val="16"/>
          <w:szCs w:val="24"/>
        </w:rPr>
        <w:tab/>
        <w:t xml:space="preserve">De Cristofano A, Peuchot V, Canepari A, </w:t>
      </w:r>
      <w:r w:rsidRPr="00552EFC">
        <w:rPr>
          <w:rFonts w:ascii="Calibri" w:hAnsi="Calibri" w:cs="Calibri"/>
          <w:i/>
          <w:iCs/>
          <w:noProof/>
          <w:sz w:val="16"/>
          <w:szCs w:val="24"/>
        </w:rPr>
        <w:t>et al.</w:t>
      </w:r>
      <w:r w:rsidRPr="00552EFC">
        <w:rPr>
          <w:rFonts w:ascii="Calibri" w:hAnsi="Calibri" w:cs="Calibri"/>
          <w:noProof/>
          <w:sz w:val="16"/>
          <w:szCs w:val="24"/>
        </w:rPr>
        <w:t xml:space="preserve"> Implementation of a ventilator-associated pneumonia prevention bundle in a single PICU. </w:t>
      </w:r>
      <w:r w:rsidRPr="00552EFC">
        <w:rPr>
          <w:rFonts w:ascii="Calibri" w:hAnsi="Calibri" w:cs="Calibri"/>
          <w:i/>
          <w:iCs/>
          <w:noProof/>
          <w:sz w:val="16"/>
          <w:szCs w:val="24"/>
        </w:rPr>
        <w:t>Pediatr Crit Care Med</w:t>
      </w:r>
      <w:r w:rsidRPr="00552EFC">
        <w:rPr>
          <w:rFonts w:ascii="Calibri" w:hAnsi="Calibri" w:cs="Calibri"/>
          <w:noProof/>
          <w:sz w:val="16"/>
          <w:szCs w:val="24"/>
        </w:rPr>
        <w:t xml:space="preserve"> 2016;</w:t>
      </w:r>
      <w:r w:rsidRPr="00552EFC">
        <w:rPr>
          <w:rFonts w:ascii="Calibri" w:hAnsi="Calibri" w:cs="Calibri"/>
          <w:b/>
          <w:bCs/>
          <w:noProof/>
          <w:sz w:val="16"/>
          <w:szCs w:val="24"/>
        </w:rPr>
        <w:t>17</w:t>
      </w:r>
      <w:r w:rsidRPr="00552EFC">
        <w:rPr>
          <w:rFonts w:ascii="Calibri" w:hAnsi="Calibri" w:cs="Calibri"/>
          <w:noProof/>
          <w:sz w:val="16"/>
          <w:szCs w:val="24"/>
        </w:rPr>
        <w:t>:451–6.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36 </w:t>
      </w:r>
      <w:r w:rsidRPr="00552EFC">
        <w:rPr>
          <w:rFonts w:ascii="Calibri" w:hAnsi="Calibri" w:cs="Calibri"/>
          <w:noProof/>
          <w:sz w:val="16"/>
          <w:szCs w:val="24"/>
        </w:rPr>
        <w:tab/>
        <w:t xml:space="preserve">Dewey RB, O’Suilleabhain PE, Sanghera M, </w:t>
      </w:r>
      <w:r w:rsidRPr="00552EFC">
        <w:rPr>
          <w:rFonts w:ascii="Calibri" w:hAnsi="Calibri" w:cs="Calibri"/>
          <w:i/>
          <w:iCs/>
          <w:noProof/>
          <w:sz w:val="16"/>
          <w:szCs w:val="24"/>
        </w:rPr>
        <w:t>et al.</w:t>
      </w:r>
      <w:r w:rsidRPr="00552EFC">
        <w:rPr>
          <w:rFonts w:ascii="Calibri" w:hAnsi="Calibri" w:cs="Calibri"/>
          <w:noProof/>
          <w:sz w:val="16"/>
          <w:szCs w:val="24"/>
        </w:rPr>
        <w:t xml:space="preserve"> Developing a deep brain stimulation neuromodulationnetwork for Parkinson disease, essential tremor, and dystonia: Report of a quality improvement project. </w:t>
      </w:r>
      <w:r w:rsidRPr="00552EFC">
        <w:rPr>
          <w:rFonts w:ascii="Calibri" w:hAnsi="Calibri" w:cs="Calibri"/>
          <w:i/>
          <w:iCs/>
          <w:noProof/>
          <w:sz w:val="16"/>
          <w:szCs w:val="24"/>
        </w:rPr>
        <w:t>PLoS One</w:t>
      </w:r>
      <w:r w:rsidRPr="00552EFC">
        <w:rPr>
          <w:rFonts w:ascii="Calibri" w:hAnsi="Calibri" w:cs="Calibri"/>
          <w:noProof/>
          <w:sz w:val="16"/>
          <w:szCs w:val="24"/>
        </w:rPr>
        <w:t xml:space="preserve"> 2016;</w:t>
      </w:r>
      <w:r w:rsidRPr="00552EFC">
        <w:rPr>
          <w:rFonts w:ascii="Calibri" w:hAnsi="Calibri" w:cs="Calibri"/>
          <w:b/>
          <w:bCs/>
          <w:noProof/>
          <w:sz w:val="16"/>
          <w:szCs w:val="24"/>
        </w:rPr>
        <w:t>11</w:t>
      </w:r>
      <w:r w:rsidRPr="00552EFC">
        <w:rPr>
          <w:rFonts w:ascii="Calibri" w:hAnsi="Calibri" w:cs="Calibri"/>
          <w:noProof/>
          <w:sz w:val="16"/>
          <w:szCs w:val="24"/>
        </w:rPr>
        <w:t>:1–11.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37 </w:t>
      </w:r>
      <w:r w:rsidRPr="00552EFC">
        <w:rPr>
          <w:rFonts w:ascii="Calibri" w:hAnsi="Calibri" w:cs="Calibri"/>
          <w:noProof/>
          <w:sz w:val="16"/>
          <w:szCs w:val="24"/>
        </w:rPr>
        <w:tab/>
        <w:t xml:space="preserve">Donaldson E, Taylor M, Abraham A, </w:t>
      </w:r>
      <w:r w:rsidRPr="00552EFC">
        <w:rPr>
          <w:rFonts w:ascii="Calibri" w:hAnsi="Calibri" w:cs="Calibri"/>
          <w:i/>
          <w:iCs/>
          <w:noProof/>
          <w:sz w:val="16"/>
          <w:szCs w:val="24"/>
        </w:rPr>
        <w:t>et al.</w:t>
      </w:r>
      <w:r w:rsidRPr="00552EFC">
        <w:rPr>
          <w:rFonts w:ascii="Calibri" w:hAnsi="Calibri" w:cs="Calibri"/>
          <w:noProof/>
          <w:sz w:val="16"/>
          <w:szCs w:val="24"/>
        </w:rPr>
        <w:t xml:space="preserve"> OC-039 Improving Quality In A National Intestinal Failure Unit: Greater Efficiency, Improved Access, Reduced Mortality. </w:t>
      </w:r>
      <w:r w:rsidRPr="00552EFC">
        <w:rPr>
          <w:rFonts w:ascii="Calibri" w:hAnsi="Calibri" w:cs="Calibri"/>
          <w:i/>
          <w:iCs/>
          <w:noProof/>
          <w:sz w:val="16"/>
          <w:szCs w:val="24"/>
        </w:rPr>
        <w:t>Gut</w:t>
      </w:r>
      <w:r w:rsidRPr="00552EFC">
        <w:rPr>
          <w:rFonts w:ascii="Calibri" w:hAnsi="Calibri" w:cs="Calibri"/>
          <w:noProof/>
          <w:sz w:val="16"/>
          <w:szCs w:val="24"/>
        </w:rPr>
        <w:t xml:space="preserve"> 2014;</w:t>
      </w:r>
      <w:r w:rsidRPr="00552EFC">
        <w:rPr>
          <w:rFonts w:ascii="Calibri" w:hAnsi="Calibri" w:cs="Calibri"/>
          <w:b/>
          <w:bCs/>
          <w:noProof/>
          <w:sz w:val="16"/>
          <w:szCs w:val="24"/>
        </w:rPr>
        <w:t>63</w:t>
      </w:r>
      <w:r w:rsidRPr="00552EFC">
        <w:rPr>
          <w:rFonts w:ascii="Calibri" w:hAnsi="Calibri" w:cs="Calibri"/>
          <w:noProof/>
          <w:sz w:val="16"/>
          <w:szCs w:val="24"/>
        </w:rPr>
        <w:t>:A19.1-A19.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38 </w:t>
      </w:r>
      <w:r w:rsidRPr="00552EFC">
        <w:rPr>
          <w:rFonts w:ascii="Calibri" w:hAnsi="Calibri" w:cs="Calibri"/>
          <w:noProof/>
          <w:sz w:val="16"/>
          <w:szCs w:val="24"/>
        </w:rPr>
        <w:tab/>
        <w:t xml:space="preserve">Donnelly P. Improving reporting of critical incidents through education and involvement.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:u206996.w3776.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39 </w:t>
      </w:r>
      <w:r w:rsidRPr="00552EFC">
        <w:rPr>
          <w:rFonts w:ascii="Calibri" w:hAnsi="Calibri" w:cs="Calibri"/>
          <w:noProof/>
          <w:sz w:val="16"/>
          <w:szCs w:val="24"/>
        </w:rPr>
        <w:tab/>
        <w:t xml:space="preserve">Dorrington MS, Herceg A, Douglas K, </w:t>
      </w:r>
      <w:r w:rsidRPr="00552EFC">
        <w:rPr>
          <w:rFonts w:ascii="Calibri" w:hAnsi="Calibri" w:cs="Calibri"/>
          <w:i/>
          <w:iCs/>
          <w:noProof/>
          <w:sz w:val="16"/>
          <w:szCs w:val="24"/>
        </w:rPr>
        <w:t>et al.</w:t>
      </w:r>
      <w:r w:rsidRPr="00552EFC">
        <w:rPr>
          <w:rFonts w:ascii="Calibri" w:hAnsi="Calibri" w:cs="Calibri"/>
          <w:noProof/>
          <w:sz w:val="16"/>
          <w:szCs w:val="24"/>
        </w:rPr>
        <w:t xml:space="preserve"> Increasing Pap smear rates at an urban Aboriginal Community Controlled Health Service through translational research and continuous quality improvement. </w:t>
      </w:r>
      <w:r w:rsidRPr="00552EFC">
        <w:rPr>
          <w:rFonts w:ascii="Calibri" w:hAnsi="Calibri" w:cs="Calibri"/>
          <w:i/>
          <w:iCs/>
          <w:noProof/>
          <w:sz w:val="16"/>
          <w:szCs w:val="24"/>
        </w:rPr>
        <w:t>Aust J Prim Health</w:t>
      </w:r>
      <w:r w:rsidRPr="00552EFC">
        <w:rPr>
          <w:rFonts w:ascii="Calibri" w:hAnsi="Calibri" w:cs="Calibri"/>
          <w:noProof/>
          <w:sz w:val="16"/>
          <w:szCs w:val="24"/>
        </w:rPr>
        <w:t xml:space="preserve"> 2015;</w:t>
      </w:r>
      <w:r w:rsidRPr="00552EFC">
        <w:rPr>
          <w:rFonts w:ascii="Calibri" w:hAnsi="Calibri" w:cs="Calibri"/>
          <w:b/>
          <w:bCs/>
          <w:noProof/>
          <w:sz w:val="16"/>
          <w:szCs w:val="24"/>
        </w:rPr>
        <w:t>21</w:t>
      </w:r>
      <w:r w:rsidRPr="00552EFC">
        <w:rPr>
          <w:rFonts w:ascii="Calibri" w:hAnsi="Calibri" w:cs="Calibri"/>
          <w:noProof/>
          <w:sz w:val="16"/>
          <w:szCs w:val="24"/>
        </w:rPr>
        <w:t>:417–22.</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40 </w:t>
      </w:r>
      <w:r w:rsidRPr="00552EFC">
        <w:rPr>
          <w:rFonts w:ascii="Calibri" w:hAnsi="Calibri" w:cs="Calibri"/>
          <w:noProof/>
          <w:sz w:val="16"/>
          <w:szCs w:val="24"/>
        </w:rPr>
        <w:tab/>
        <w:t xml:space="preserve">Dummett BA, Adams C, Scruth E, </w:t>
      </w:r>
      <w:r w:rsidRPr="00552EFC">
        <w:rPr>
          <w:rFonts w:ascii="Calibri" w:hAnsi="Calibri" w:cs="Calibri"/>
          <w:i/>
          <w:iCs/>
          <w:noProof/>
          <w:sz w:val="16"/>
          <w:szCs w:val="24"/>
        </w:rPr>
        <w:t>et al.</w:t>
      </w:r>
      <w:r w:rsidRPr="00552EFC">
        <w:rPr>
          <w:rFonts w:ascii="Calibri" w:hAnsi="Calibri" w:cs="Calibri"/>
          <w:noProof/>
          <w:sz w:val="16"/>
          <w:szCs w:val="24"/>
        </w:rPr>
        <w:t xml:space="preserve"> Incorporating an Early Detection System Into Routine Clinical Practice in Two Community Hospitals. </w:t>
      </w:r>
      <w:r w:rsidRPr="00552EFC">
        <w:rPr>
          <w:rFonts w:ascii="Calibri" w:hAnsi="Calibri" w:cs="Calibri"/>
          <w:i/>
          <w:iCs/>
          <w:noProof/>
          <w:sz w:val="16"/>
          <w:szCs w:val="24"/>
        </w:rPr>
        <w:t>J Hosp Med</w:t>
      </w:r>
      <w:r w:rsidRPr="00552EFC">
        <w:rPr>
          <w:rFonts w:ascii="Calibri" w:hAnsi="Calibri" w:cs="Calibri"/>
          <w:noProof/>
          <w:sz w:val="16"/>
          <w:szCs w:val="24"/>
        </w:rPr>
        <w:t xml:space="preserve"> 2016;</w:t>
      </w:r>
      <w:r w:rsidRPr="00552EFC">
        <w:rPr>
          <w:rFonts w:ascii="Calibri" w:hAnsi="Calibri" w:cs="Calibri"/>
          <w:b/>
          <w:bCs/>
          <w:noProof/>
          <w:sz w:val="16"/>
          <w:szCs w:val="24"/>
        </w:rPr>
        <w:t>11</w:t>
      </w:r>
      <w:r w:rsidRPr="00552EFC">
        <w:rPr>
          <w:rFonts w:ascii="Calibri" w:hAnsi="Calibri" w:cs="Calibri"/>
          <w:noProof/>
          <w:sz w:val="16"/>
          <w:szCs w:val="24"/>
        </w:rPr>
        <w:t>:S25–31.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41 </w:t>
      </w:r>
      <w:r w:rsidRPr="00552EFC">
        <w:rPr>
          <w:rFonts w:ascii="Calibri" w:hAnsi="Calibri" w:cs="Calibri"/>
          <w:noProof/>
          <w:sz w:val="16"/>
          <w:szCs w:val="24"/>
        </w:rPr>
        <w:tab/>
        <w:t xml:space="preserve">Dunbar J, George J. Mortality meetings in geriatric medicine: strategies for improvement.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:u202625.w3247.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42 </w:t>
      </w:r>
      <w:r w:rsidRPr="00552EFC">
        <w:rPr>
          <w:rFonts w:ascii="Calibri" w:hAnsi="Calibri" w:cs="Calibri"/>
          <w:noProof/>
          <w:sz w:val="16"/>
          <w:szCs w:val="24"/>
        </w:rPr>
        <w:tab/>
        <w:t xml:space="preserve">Dykes D, Williams E, Margolis P, </w:t>
      </w:r>
      <w:r w:rsidRPr="00552EFC">
        <w:rPr>
          <w:rFonts w:ascii="Calibri" w:hAnsi="Calibri" w:cs="Calibri"/>
          <w:i/>
          <w:iCs/>
          <w:noProof/>
          <w:sz w:val="16"/>
          <w:szCs w:val="24"/>
        </w:rPr>
        <w:t>et al.</w:t>
      </w:r>
      <w:r w:rsidRPr="00552EFC">
        <w:rPr>
          <w:rFonts w:ascii="Calibri" w:hAnsi="Calibri" w:cs="Calibri"/>
          <w:noProof/>
          <w:sz w:val="16"/>
          <w:szCs w:val="24"/>
        </w:rPr>
        <w:t xml:space="preserve"> Improving pediatric Inflammatory Bowel Disease (IBD) follow-up.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:u208961.w3675.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43 </w:t>
      </w:r>
      <w:r w:rsidRPr="00552EFC">
        <w:rPr>
          <w:rFonts w:ascii="Calibri" w:hAnsi="Calibri" w:cs="Calibri"/>
          <w:noProof/>
          <w:sz w:val="16"/>
          <w:szCs w:val="24"/>
        </w:rPr>
        <w:tab/>
        <w:t xml:space="preserve">Fontánez-Nieves TD, Frost M, Anday E, </w:t>
      </w:r>
      <w:r w:rsidRPr="00552EFC">
        <w:rPr>
          <w:rFonts w:ascii="Calibri" w:hAnsi="Calibri" w:cs="Calibri"/>
          <w:i/>
          <w:iCs/>
          <w:noProof/>
          <w:sz w:val="16"/>
          <w:szCs w:val="24"/>
        </w:rPr>
        <w:t>et al.</w:t>
      </w:r>
      <w:r w:rsidRPr="00552EFC">
        <w:rPr>
          <w:rFonts w:ascii="Calibri" w:hAnsi="Calibri" w:cs="Calibri"/>
          <w:noProof/>
          <w:sz w:val="16"/>
          <w:szCs w:val="24"/>
        </w:rPr>
        <w:t xml:space="preserve"> Prevention of unplanned extubations in neonates through process standardization. </w:t>
      </w:r>
      <w:r w:rsidRPr="00552EFC">
        <w:rPr>
          <w:rFonts w:ascii="Calibri" w:hAnsi="Calibri" w:cs="Calibri"/>
          <w:i/>
          <w:iCs/>
          <w:noProof/>
          <w:sz w:val="16"/>
          <w:szCs w:val="24"/>
        </w:rPr>
        <w:t>J Perinatol</w:t>
      </w:r>
      <w:r w:rsidRPr="00552EFC">
        <w:rPr>
          <w:rFonts w:ascii="Calibri" w:hAnsi="Calibri" w:cs="Calibri"/>
          <w:noProof/>
          <w:sz w:val="16"/>
          <w:szCs w:val="24"/>
        </w:rPr>
        <w:t xml:space="preserve"> 2016;</w:t>
      </w:r>
      <w:r w:rsidRPr="00552EFC">
        <w:rPr>
          <w:rFonts w:ascii="Calibri" w:hAnsi="Calibri" w:cs="Calibri"/>
          <w:b/>
          <w:bCs/>
          <w:noProof/>
          <w:sz w:val="16"/>
          <w:szCs w:val="24"/>
        </w:rPr>
        <w:t>36</w:t>
      </w:r>
      <w:r w:rsidRPr="00552EFC">
        <w:rPr>
          <w:rFonts w:ascii="Calibri" w:hAnsi="Calibri" w:cs="Calibri"/>
          <w:noProof/>
          <w:sz w:val="16"/>
          <w:szCs w:val="24"/>
        </w:rPr>
        <w:t>:469–73.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44 </w:t>
      </w:r>
      <w:r w:rsidRPr="00552EFC">
        <w:rPr>
          <w:rFonts w:ascii="Calibri" w:hAnsi="Calibri" w:cs="Calibri"/>
          <w:noProof/>
          <w:sz w:val="16"/>
          <w:szCs w:val="24"/>
        </w:rPr>
        <w:tab/>
        <w:t xml:space="preserve">Frost L. Reducing the overuse of βhCG measurements in the emergency gynaecology clinic.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:u210039.w4218.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45 </w:t>
      </w:r>
      <w:r w:rsidRPr="00552EFC">
        <w:rPr>
          <w:rFonts w:ascii="Calibri" w:hAnsi="Calibri" w:cs="Calibri"/>
          <w:noProof/>
          <w:sz w:val="16"/>
          <w:szCs w:val="24"/>
        </w:rPr>
        <w:tab/>
        <w:t xml:space="preserve">Martin Goodman L, Moeller MB, Azzouqa A-G, </w:t>
      </w:r>
      <w:r w:rsidRPr="00552EFC">
        <w:rPr>
          <w:rFonts w:ascii="Calibri" w:hAnsi="Calibri" w:cs="Calibri"/>
          <w:i/>
          <w:iCs/>
          <w:noProof/>
          <w:sz w:val="16"/>
          <w:szCs w:val="24"/>
        </w:rPr>
        <w:t>et al.</w:t>
      </w:r>
      <w:r w:rsidRPr="00552EFC">
        <w:rPr>
          <w:rFonts w:ascii="Calibri" w:hAnsi="Calibri" w:cs="Calibri"/>
          <w:noProof/>
          <w:sz w:val="16"/>
          <w:szCs w:val="24"/>
        </w:rPr>
        <w:t xml:space="preserve"> Reduction of Inappropriate Prophylactic Pegylated Granulocyte Colony-Stimulating Factor Use for Patients With Non–Small-Cell Lung Cancer Who Receive Chemotherapy: An ASCO Quality Training Program Project of the Cleveland Clinic Taussig Cancer Institute. </w:t>
      </w:r>
      <w:r w:rsidRPr="00552EFC">
        <w:rPr>
          <w:rFonts w:ascii="Calibri" w:hAnsi="Calibri" w:cs="Calibri"/>
          <w:i/>
          <w:iCs/>
          <w:noProof/>
          <w:sz w:val="16"/>
          <w:szCs w:val="24"/>
        </w:rPr>
        <w:t>J Oncol Pract</w:t>
      </w:r>
      <w:r w:rsidRPr="00552EFC">
        <w:rPr>
          <w:rFonts w:ascii="Calibri" w:hAnsi="Calibri" w:cs="Calibri"/>
          <w:noProof/>
          <w:sz w:val="16"/>
          <w:szCs w:val="24"/>
        </w:rPr>
        <w:t xml:space="preserve"> 2016;</w:t>
      </w:r>
      <w:r w:rsidRPr="00552EFC">
        <w:rPr>
          <w:rFonts w:ascii="Calibri" w:hAnsi="Calibri" w:cs="Calibri"/>
          <w:b/>
          <w:bCs/>
          <w:noProof/>
          <w:sz w:val="16"/>
          <w:szCs w:val="24"/>
        </w:rPr>
        <w:t>12</w:t>
      </w:r>
      <w:r w:rsidRPr="00552EFC">
        <w:rPr>
          <w:rFonts w:ascii="Calibri" w:hAnsi="Calibri" w:cs="Calibri"/>
          <w:noProof/>
          <w:sz w:val="16"/>
          <w:szCs w:val="24"/>
        </w:rPr>
        <w:t>:e101–7.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46 </w:t>
      </w:r>
      <w:r w:rsidRPr="00552EFC">
        <w:rPr>
          <w:rFonts w:ascii="Calibri" w:hAnsi="Calibri" w:cs="Calibri"/>
          <w:noProof/>
          <w:sz w:val="16"/>
          <w:szCs w:val="24"/>
        </w:rPr>
        <w:tab/>
        <w:t xml:space="preserve">Goulding L, Parke H, Maharaj R, </w:t>
      </w:r>
      <w:r w:rsidRPr="00552EFC">
        <w:rPr>
          <w:rFonts w:ascii="Calibri" w:hAnsi="Calibri" w:cs="Calibri"/>
          <w:i/>
          <w:iCs/>
          <w:noProof/>
          <w:sz w:val="16"/>
          <w:szCs w:val="24"/>
        </w:rPr>
        <w:t>et al.</w:t>
      </w:r>
      <w:r w:rsidRPr="00552EFC">
        <w:rPr>
          <w:rFonts w:ascii="Calibri" w:hAnsi="Calibri" w:cs="Calibri"/>
          <w:noProof/>
          <w:sz w:val="16"/>
          <w:szCs w:val="24"/>
        </w:rPr>
        <w:t xml:space="preserve"> Improving critical care discharge summaries: a collaborative quality improvement project using PDSA.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:u203938.w3268.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47 </w:t>
      </w:r>
      <w:r w:rsidRPr="00552EFC">
        <w:rPr>
          <w:rFonts w:ascii="Calibri" w:hAnsi="Calibri" w:cs="Calibri"/>
          <w:noProof/>
          <w:sz w:val="16"/>
          <w:szCs w:val="24"/>
        </w:rPr>
        <w:tab/>
        <w:t xml:space="preserve">Guo M, Bosnyak S, Bontempo T, </w:t>
      </w:r>
      <w:r w:rsidRPr="00552EFC">
        <w:rPr>
          <w:rFonts w:ascii="Calibri" w:hAnsi="Calibri" w:cs="Calibri"/>
          <w:i/>
          <w:iCs/>
          <w:noProof/>
          <w:sz w:val="16"/>
          <w:szCs w:val="24"/>
        </w:rPr>
        <w:t>et al.</w:t>
      </w:r>
      <w:r w:rsidRPr="00552EFC">
        <w:rPr>
          <w:rFonts w:ascii="Calibri" w:hAnsi="Calibri" w:cs="Calibri"/>
          <w:noProof/>
          <w:sz w:val="16"/>
          <w:szCs w:val="24"/>
        </w:rPr>
        <w:t xml:space="preserve"> Let’s Talk About Sex! - Improving sexual health for patients in stroke rehabilitation.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:u207288.w2926.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48 </w:t>
      </w:r>
      <w:r w:rsidRPr="00552EFC">
        <w:rPr>
          <w:rFonts w:ascii="Calibri" w:hAnsi="Calibri" w:cs="Calibri"/>
          <w:noProof/>
          <w:sz w:val="16"/>
          <w:szCs w:val="24"/>
        </w:rPr>
        <w:tab/>
        <w:t xml:space="preserve">Hale G, McNab D. Developing a ward round checklist to improve patient safety.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:u204775.w2440-u204775.w2440.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49 </w:t>
      </w:r>
      <w:r w:rsidRPr="00552EFC">
        <w:rPr>
          <w:rFonts w:ascii="Calibri" w:hAnsi="Calibri" w:cs="Calibri"/>
          <w:noProof/>
          <w:sz w:val="16"/>
          <w:szCs w:val="24"/>
        </w:rPr>
        <w:tab/>
        <w:t xml:space="preserve">Hall W. Improving the safety of prescriptions of domperidone in primary care: implementing MHRA advice.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:u209711.w4039.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50 </w:t>
      </w:r>
      <w:r w:rsidRPr="00552EFC">
        <w:rPr>
          <w:rFonts w:ascii="Calibri" w:hAnsi="Calibri" w:cs="Calibri"/>
          <w:noProof/>
          <w:sz w:val="16"/>
          <w:szCs w:val="24"/>
        </w:rPr>
        <w:tab/>
        <w:t xml:space="preserve">Hanison J, Conway D. A multifaceted approach to prevention of delirium on intensive care.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:u209656.w4000.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51 </w:t>
      </w:r>
      <w:r w:rsidRPr="00552EFC">
        <w:rPr>
          <w:rFonts w:ascii="Calibri" w:hAnsi="Calibri" w:cs="Calibri"/>
          <w:noProof/>
          <w:sz w:val="16"/>
          <w:szCs w:val="24"/>
        </w:rPr>
        <w:tab/>
        <w:t xml:space="preserve">Hatoun J, Bair-Merritt M, Cabral H, </w:t>
      </w:r>
      <w:r w:rsidRPr="00552EFC">
        <w:rPr>
          <w:rFonts w:ascii="Calibri" w:hAnsi="Calibri" w:cs="Calibri"/>
          <w:i/>
          <w:iCs/>
          <w:noProof/>
          <w:sz w:val="16"/>
          <w:szCs w:val="24"/>
        </w:rPr>
        <w:t>et al.</w:t>
      </w:r>
      <w:r w:rsidRPr="00552EFC">
        <w:rPr>
          <w:rFonts w:ascii="Calibri" w:hAnsi="Calibri" w:cs="Calibri"/>
          <w:noProof/>
          <w:sz w:val="16"/>
          <w:szCs w:val="24"/>
        </w:rPr>
        <w:t xml:space="preserve"> Increasing Medication Possession at Discharge for Patients With Asthma: The Meds-in-Hand Project. </w:t>
      </w:r>
      <w:r w:rsidRPr="00552EFC">
        <w:rPr>
          <w:rFonts w:ascii="Calibri" w:hAnsi="Calibri" w:cs="Calibri"/>
          <w:i/>
          <w:iCs/>
          <w:noProof/>
          <w:sz w:val="16"/>
          <w:szCs w:val="24"/>
        </w:rPr>
        <w:t>Pediatrics</w:t>
      </w:r>
      <w:r w:rsidRPr="00552EFC">
        <w:rPr>
          <w:rFonts w:ascii="Calibri" w:hAnsi="Calibri" w:cs="Calibri"/>
          <w:noProof/>
          <w:sz w:val="16"/>
          <w:szCs w:val="24"/>
        </w:rPr>
        <w:t xml:space="preserve"> 2016;</w:t>
      </w:r>
      <w:r w:rsidRPr="00552EFC">
        <w:rPr>
          <w:rFonts w:ascii="Calibri" w:hAnsi="Calibri" w:cs="Calibri"/>
          <w:b/>
          <w:bCs/>
          <w:noProof/>
          <w:sz w:val="16"/>
          <w:szCs w:val="24"/>
        </w:rPr>
        <w:t>137</w:t>
      </w:r>
      <w:r w:rsidRPr="00552EFC">
        <w:rPr>
          <w:rFonts w:ascii="Calibri" w:hAnsi="Calibri" w:cs="Calibri"/>
          <w:noProof/>
          <w:sz w:val="16"/>
          <w:szCs w:val="24"/>
        </w:rPr>
        <w:t>:e20150461–e20150461.</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52 </w:t>
      </w:r>
      <w:r w:rsidRPr="00552EFC">
        <w:rPr>
          <w:rFonts w:ascii="Calibri" w:hAnsi="Calibri" w:cs="Calibri"/>
          <w:noProof/>
          <w:sz w:val="16"/>
          <w:szCs w:val="24"/>
        </w:rPr>
        <w:tab/>
        <w:t xml:space="preserve">Haydar SA, Strout TD, Baumann MR. Sustainable Mechanism to Reduce Emergency Department (ED) Length of Stay: The Use of ED Holding (ED Transition) Orders to Reduce ED Length of Stay. </w:t>
      </w:r>
      <w:r w:rsidRPr="009A13A8">
        <w:rPr>
          <w:rFonts w:ascii="Calibri" w:hAnsi="Calibri" w:cs="Calibri"/>
          <w:i/>
          <w:iCs/>
          <w:noProof/>
          <w:sz w:val="16"/>
          <w:szCs w:val="24"/>
          <w:lang w:val="da-DK"/>
        </w:rPr>
        <w:t>Acad Emerg Med</w:t>
      </w:r>
      <w:r w:rsidRPr="009A13A8">
        <w:rPr>
          <w:rFonts w:ascii="Calibri" w:hAnsi="Calibri" w:cs="Calibri"/>
          <w:noProof/>
          <w:sz w:val="16"/>
          <w:szCs w:val="24"/>
          <w:lang w:val="da-DK"/>
        </w:rPr>
        <w:t xml:space="preserve"> 2016;</w:t>
      </w:r>
      <w:r w:rsidRPr="009A13A8">
        <w:rPr>
          <w:rFonts w:ascii="Calibri" w:hAnsi="Calibri" w:cs="Calibri"/>
          <w:b/>
          <w:bCs/>
          <w:noProof/>
          <w:sz w:val="16"/>
          <w:szCs w:val="24"/>
          <w:lang w:val="da-DK"/>
        </w:rPr>
        <w:t>23</w:t>
      </w:r>
      <w:r w:rsidRPr="009A13A8">
        <w:rPr>
          <w:rFonts w:ascii="Calibri" w:hAnsi="Calibri" w:cs="Calibri"/>
          <w:noProof/>
          <w:sz w:val="16"/>
          <w:szCs w:val="24"/>
          <w:lang w:val="da-DK"/>
        </w:rPr>
        <w:t>:776–85.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t xml:space="preserve">53 </w:t>
      </w:r>
      <w:r w:rsidRPr="009A13A8">
        <w:rPr>
          <w:rFonts w:ascii="Calibri" w:hAnsi="Calibri" w:cs="Calibri"/>
          <w:noProof/>
          <w:sz w:val="16"/>
          <w:szCs w:val="24"/>
          <w:lang w:val="da-DK"/>
        </w:rPr>
        <w:tab/>
        <w:t xml:space="preserve">Hayes RM, Wickline A, Hensley C,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A Quality Improvement Project to Improve Family Recognition of Medical Team Member Roles. </w:t>
      </w:r>
      <w:r w:rsidRPr="00552EFC">
        <w:rPr>
          <w:rFonts w:ascii="Calibri" w:hAnsi="Calibri" w:cs="Calibri"/>
          <w:i/>
          <w:iCs/>
          <w:noProof/>
          <w:sz w:val="16"/>
          <w:szCs w:val="24"/>
        </w:rPr>
        <w:t>Hosp Pediatr</w:t>
      </w:r>
      <w:r w:rsidRPr="00552EFC">
        <w:rPr>
          <w:rFonts w:ascii="Calibri" w:hAnsi="Calibri" w:cs="Calibri"/>
          <w:noProof/>
          <w:sz w:val="16"/>
          <w:szCs w:val="24"/>
        </w:rPr>
        <w:t xml:space="preserve"> 2015;</w:t>
      </w:r>
      <w:r w:rsidRPr="00552EFC">
        <w:rPr>
          <w:rFonts w:ascii="Calibri" w:hAnsi="Calibri" w:cs="Calibri"/>
          <w:b/>
          <w:bCs/>
          <w:noProof/>
          <w:sz w:val="16"/>
          <w:szCs w:val="24"/>
        </w:rPr>
        <w:t>5</w:t>
      </w:r>
      <w:r w:rsidRPr="00552EFC">
        <w:rPr>
          <w:rFonts w:ascii="Calibri" w:hAnsi="Calibri" w:cs="Calibri"/>
          <w:noProof/>
          <w:sz w:val="16"/>
          <w:szCs w:val="24"/>
        </w:rPr>
        <w:t>:480–6.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54 </w:t>
      </w:r>
      <w:r w:rsidRPr="00552EFC">
        <w:rPr>
          <w:rFonts w:ascii="Calibri" w:hAnsi="Calibri" w:cs="Calibri"/>
          <w:noProof/>
          <w:sz w:val="16"/>
          <w:szCs w:val="24"/>
        </w:rPr>
        <w:tab/>
        <w:t xml:space="preserve">Hendrickson CD, Saini S, Pothuloori A, </w:t>
      </w:r>
      <w:r w:rsidRPr="00552EFC">
        <w:rPr>
          <w:rFonts w:ascii="Calibri" w:hAnsi="Calibri" w:cs="Calibri"/>
          <w:i/>
          <w:iCs/>
          <w:noProof/>
          <w:sz w:val="16"/>
          <w:szCs w:val="24"/>
        </w:rPr>
        <w:t>et al.</w:t>
      </w:r>
      <w:r w:rsidRPr="00552EFC">
        <w:rPr>
          <w:rFonts w:ascii="Calibri" w:hAnsi="Calibri" w:cs="Calibri"/>
          <w:noProof/>
          <w:sz w:val="16"/>
          <w:szCs w:val="24"/>
        </w:rPr>
        <w:t xml:space="preserve"> Assessing Referrals and Improving Information Availability for Consultations in an Academic Endocrinology Clinic. Endocr. Pract. 2017;</w:t>
      </w:r>
      <w:r w:rsidRPr="00552EFC">
        <w:rPr>
          <w:rFonts w:ascii="Calibri" w:hAnsi="Calibri" w:cs="Calibri"/>
          <w:b/>
          <w:bCs/>
          <w:noProof/>
          <w:sz w:val="16"/>
          <w:szCs w:val="24"/>
        </w:rPr>
        <w:t>23</w:t>
      </w:r>
      <w:r w:rsidRPr="00552EFC">
        <w:rPr>
          <w:rFonts w:ascii="Calibri" w:hAnsi="Calibri" w:cs="Calibri"/>
          <w:noProof/>
          <w:sz w:val="16"/>
          <w:szCs w:val="24"/>
        </w:rPr>
        <w:t>:190–8.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lastRenderedPageBreak/>
        <w:t xml:space="preserve">55 </w:t>
      </w:r>
      <w:r w:rsidRPr="00552EFC">
        <w:rPr>
          <w:rFonts w:ascii="Calibri" w:hAnsi="Calibri" w:cs="Calibri"/>
          <w:noProof/>
          <w:sz w:val="16"/>
          <w:szCs w:val="24"/>
        </w:rPr>
        <w:tab/>
        <w:t xml:space="preserve">Hendricks CB. Improving adherence with oral antiemetic agents in patients with breast cancer receiving chemotherapy. </w:t>
      </w:r>
      <w:r w:rsidRPr="00552EFC">
        <w:rPr>
          <w:rFonts w:ascii="Calibri" w:hAnsi="Calibri" w:cs="Calibri"/>
          <w:i/>
          <w:iCs/>
          <w:noProof/>
          <w:sz w:val="16"/>
          <w:szCs w:val="24"/>
        </w:rPr>
        <w:t>J Oncol Pr</w:t>
      </w:r>
      <w:r w:rsidRPr="00552EFC">
        <w:rPr>
          <w:rFonts w:ascii="Calibri" w:hAnsi="Calibri" w:cs="Calibri"/>
          <w:noProof/>
          <w:sz w:val="16"/>
          <w:szCs w:val="24"/>
        </w:rPr>
        <w:t xml:space="preserve"> 2015;</w:t>
      </w:r>
      <w:r w:rsidRPr="00552EFC">
        <w:rPr>
          <w:rFonts w:ascii="Calibri" w:hAnsi="Calibri" w:cs="Calibri"/>
          <w:b/>
          <w:bCs/>
          <w:noProof/>
          <w:sz w:val="16"/>
          <w:szCs w:val="24"/>
        </w:rPr>
        <w:t>11</w:t>
      </w:r>
      <w:r w:rsidRPr="00552EFC">
        <w:rPr>
          <w:rFonts w:ascii="Calibri" w:hAnsi="Calibri" w:cs="Calibri"/>
          <w:noProof/>
          <w:sz w:val="16"/>
          <w:szCs w:val="24"/>
        </w:rPr>
        <w:t>:216–8.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56 </w:t>
      </w:r>
      <w:r w:rsidRPr="00552EFC">
        <w:rPr>
          <w:rFonts w:ascii="Calibri" w:hAnsi="Calibri" w:cs="Calibri"/>
          <w:noProof/>
          <w:sz w:val="16"/>
          <w:szCs w:val="24"/>
        </w:rPr>
        <w:tab/>
        <w:t xml:space="preserve">Hermon A, Pain T, Beckett P, </w:t>
      </w:r>
      <w:r w:rsidRPr="00552EFC">
        <w:rPr>
          <w:rFonts w:ascii="Calibri" w:hAnsi="Calibri" w:cs="Calibri"/>
          <w:i/>
          <w:iCs/>
          <w:noProof/>
          <w:sz w:val="16"/>
          <w:szCs w:val="24"/>
        </w:rPr>
        <w:t>et al.</w:t>
      </w:r>
      <w:r w:rsidRPr="00552EFC">
        <w:rPr>
          <w:rFonts w:ascii="Calibri" w:hAnsi="Calibri" w:cs="Calibri"/>
          <w:noProof/>
          <w:sz w:val="16"/>
          <w:szCs w:val="24"/>
        </w:rPr>
        <w:t xml:space="preserve"> Improving compliance with central venous catheter care bundles using electronic records. </w:t>
      </w:r>
      <w:r w:rsidRPr="00552EFC">
        <w:rPr>
          <w:rFonts w:ascii="Calibri" w:hAnsi="Calibri" w:cs="Calibri"/>
          <w:i/>
          <w:iCs/>
          <w:noProof/>
          <w:sz w:val="16"/>
          <w:szCs w:val="24"/>
        </w:rPr>
        <w:t>Nurs Crit Care</w:t>
      </w:r>
      <w:r w:rsidRPr="00552EFC">
        <w:rPr>
          <w:rFonts w:ascii="Calibri" w:hAnsi="Calibri" w:cs="Calibri"/>
          <w:noProof/>
          <w:sz w:val="16"/>
          <w:szCs w:val="24"/>
        </w:rPr>
        <w:t xml:space="preserve"> 2015;</w:t>
      </w:r>
      <w:r w:rsidRPr="00552EFC">
        <w:rPr>
          <w:rFonts w:ascii="Calibri" w:hAnsi="Calibri" w:cs="Calibri"/>
          <w:b/>
          <w:bCs/>
          <w:noProof/>
          <w:sz w:val="16"/>
          <w:szCs w:val="24"/>
        </w:rPr>
        <w:t>20</w:t>
      </w:r>
      <w:r w:rsidRPr="00552EFC">
        <w:rPr>
          <w:rFonts w:ascii="Calibri" w:hAnsi="Calibri" w:cs="Calibri"/>
          <w:noProof/>
          <w:sz w:val="16"/>
          <w:szCs w:val="24"/>
        </w:rPr>
        <w:t>:196–203.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57 </w:t>
      </w:r>
      <w:r w:rsidRPr="00552EFC">
        <w:rPr>
          <w:rFonts w:ascii="Calibri" w:hAnsi="Calibri" w:cs="Calibri"/>
          <w:noProof/>
          <w:sz w:val="16"/>
          <w:szCs w:val="24"/>
        </w:rPr>
        <w:tab/>
        <w:t xml:space="preserve">Hill AK, Lind MA, Tucker D, </w:t>
      </w:r>
      <w:r w:rsidRPr="00552EFC">
        <w:rPr>
          <w:rFonts w:ascii="Calibri" w:hAnsi="Calibri" w:cs="Calibri"/>
          <w:i/>
          <w:iCs/>
          <w:noProof/>
          <w:sz w:val="16"/>
          <w:szCs w:val="24"/>
        </w:rPr>
        <w:t>et al.</w:t>
      </w:r>
      <w:r w:rsidRPr="00552EFC">
        <w:rPr>
          <w:rFonts w:ascii="Calibri" w:hAnsi="Calibri" w:cs="Calibri"/>
          <w:noProof/>
          <w:sz w:val="16"/>
          <w:szCs w:val="24"/>
        </w:rPr>
        <w:t xml:space="preserve"> Measurable results: Reducing staff injuries on a specialty psychiatric unit for patients with developmental disabilities. </w:t>
      </w:r>
      <w:r w:rsidRPr="00552EFC">
        <w:rPr>
          <w:rFonts w:ascii="Calibri" w:hAnsi="Calibri" w:cs="Calibri"/>
          <w:i/>
          <w:iCs/>
          <w:noProof/>
          <w:sz w:val="16"/>
          <w:szCs w:val="24"/>
        </w:rPr>
        <w:t>Work</w:t>
      </w:r>
      <w:r w:rsidRPr="00552EFC">
        <w:rPr>
          <w:rFonts w:ascii="Calibri" w:hAnsi="Calibri" w:cs="Calibri"/>
          <w:noProof/>
          <w:sz w:val="16"/>
          <w:szCs w:val="24"/>
        </w:rPr>
        <w:t xml:space="preserve"> 2015;</w:t>
      </w:r>
      <w:r w:rsidRPr="00552EFC">
        <w:rPr>
          <w:rFonts w:ascii="Calibri" w:hAnsi="Calibri" w:cs="Calibri"/>
          <w:b/>
          <w:bCs/>
          <w:noProof/>
          <w:sz w:val="16"/>
          <w:szCs w:val="24"/>
        </w:rPr>
        <w:t>51</w:t>
      </w:r>
      <w:r w:rsidRPr="00552EFC">
        <w:rPr>
          <w:rFonts w:ascii="Calibri" w:hAnsi="Calibri" w:cs="Calibri"/>
          <w:noProof/>
          <w:sz w:val="16"/>
          <w:szCs w:val="24"/>
        </w:rPr>
        <w:t>:99–111.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58 </w:t>
      </w:r>
      <w:r w:rsidRPr="00552EFC">
        <w:rPr>
          <w:rFonts w:ascii="Calibri" w:hAnsi="Calibri" w:cs="Calibri"/>
          <w:noProof/>
          <w:sz w:val="16"/>
          <w:szCs w:val="24"/>
        </w:rPr>
        <w:tab/>
        <w:t xml:space="preserve">Holmes A V., Atwood EC, Whalen B, </w:t>
      </w:r>
      <w:r w:rsidRPr="00552EFC">
        <w:rPr>
          <w:rFonts w:ascii="Calibri" w:hAnsi="Calibri" w:cs="Calibri"/>
          <w:i/>
          <w:iCs/>
          <w:noProof/>
          <w:sz w:val="16"/>
          <w:szCs w:val="24"/>
        </w:rPr>
        <w:t>et al.</w:t>
      </w:r>
      <w:r w:rsidRPr="00552EFC">
        <w:rPr>
          <w:rFonts w:ascii="Calibri" w:hAnsi="Calibri" w:cs="Calibri"/>
          <w:noProof/>
          <w:sz w:val="16"/>
          <w:szCs w:val="24"/>
        </w:rPr>
        <w:t xml:space="preserve"> Rooming-In to Treat Neonatal Abstinence Syndrome: Improved Family-Centered Care at Lower Cost. </w:t>
      </w:r>
      <w:r w:rsidRPr="00552EFC">
        <w:rPr>
          <w:rFonts w:ascii="Calibri" w:hAnsi="Calibri" w:cs="Calibri"/>
          <w:i/>
          <w:iCs/>
          <w:noProof/>
          <w:sz w:val="16"/>
          <w:szCs w:val="24"/>
        </w:rPr>
        <w:t>Pediatrics</w:t>
      </w:r>
      <w:r w:rsidRPr="00552EFC">
        <w:rPr>
          <w:rFonts w:ascii="Calibri" w:hAnsi="Calibri" w:cs="Calibri"/>
          <w:noProof/>
          <w:sz w:val="16"/>
          <w:szCs w:val="24"/>
        </w:rPr>
        <w:t xml:space="preserve"> 2016;</w:t>
      </w:r>
      <w:r w:rsidRPr="00552EFC">
        <w:rPr>
          <w:rFonts w:ascii="Calibri" w:hAnsi="Calibri" w:cs="Calibri"/>
          <w:b/>
          <w:bCs/>
          <w:noProof/>
          <w:sz w:val="16"/>
          <w:szCs w:val="24"/>
        </w:rPr>
        <w:t>137</w:t>
      </w:r>
      <w:r w:rsidRPr="00552EFC">
        <w:rPr>
          <w:rFonts w:ascii="Calibri" w:hAnsi="Calibri" w:cs="Calibri"/>
          <w:noProof/>
          <w:sz w:val="16"/>
          <w:szCs w:val="24"/>
        </w:rPr>
        <w:t>:e20152929–e20152929.</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59 </w:t>
      </w:r>
      <w:r w:rsidRPr="00552EFC">
        <w:rPr>
          <w:rFonts w:ascii="Calibri" w:hAnsi="Calibri" w:cs="Calibri"/>
          <w:noProof/>
          <w:sz w:val="16"/>
          <w:szCs w:val="24"/>
        </w:rPr>
        <w:tab/>
        <w:t xml:space="preserve">Izudi J, Akot A, Kisitu GP, </w:t>
      </w:r>
      <w:r w:rsidRPr="00552EFC">
        <w:rPr>
          <w:rFonts w:ascii="Calibri" w:hAnsi="Calibri" w:cs="Calibri"/>
          <w:i/>
          <w:iCs/>
          <w:noProof/>
          <w:sz w:val="16"/>
          <w:szCs w:val="24"/>
        </w:rPr>
        <w:t>et al.</w:t>
      </w:r>
      <w:r w:rsidRPr="00552EFC">
        <w:rPr>
          <w:rFonts w:ascii="Calibri" w:hAnsi="Calibri" w:cs="Calibri"/>
          <w:noProof/>
          <w:sz w:val="16"/>
          <w:szCs w:val="24"/>
        </w:rPr>
        <w:t xml:space="preserve"> Quality Improvement Interventions for Early HIV Infant Diagnosis in Northeastern Uganda. </w:t>
      </w:r>
      <w:r w:rsidRPr="009A13A8">
        <w:rPr>
          <w:rFonts w:ascii="Calibri" w:hAnsi="Calibri" w:cs="Calibri"/>
          <w:i/>
          <w:iCs/>
          <w:noProof/>
          <w:sz w:val="16"/>
          <w:szCs w:val="24"/>
          <w:lang w:val="da-DK"/>
        </w:rPr>
        <w:t>Biomed Res Int</w:t>
      </w:r>
      <w:r w:rsidRPr="009A13A8">
        <w:rPr>
          <w:rFonts w:ascii="Calibri" w:hAnsi="Calibri" w:cs="Calibri"/>
          <w:noProof/>
          <w:sz w:val="16"/>
          <w:szCs w:val="24"/>
          <w:lang w:val="da-DK"/>
        </w:rPr>
        <w:t xml:space="preserve"> 2016;</w:t>
      </w:r>
      <w:r w:rsidRPr="009A13A8">
        <w:rPr>
          <w:rFonts w:ascii="Calibri" w:hAnsi="Calibri" w:cs="Calibri"/>
          <w:b/>
          <w:bCs/>
          <w:noProof/>
          <w:sz w:val="16"/>
          <w:szCs w:val="24"/>
          <w:lang w:val="da-DK"/>
        </w:rPr>
        <w:t>2016</w:t>
      </w:r>
      <w:r w:rsidRPr="009A13A8">
        <w:rPr>
          <w:rFonts w:ascii="Calibri" w:hAnsi="Calibri" w:cs="Calibri"/>
          <w:noProof/>
          <w:sz w:val="16"/>
          <w:szCs w:val="24"/>
          <w:lang w:val="da-DK"/>
        </w:rPr>
        <w:t>.</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9A13A8">
        <w:rPr>
          <w:rFonts w:ascii="Calibri" w:hAnsi="Calibri" w:cs="Calibri"/>
          <w:noProof/>
          <w:sz w:val="16"/>
          <w:szCs w:val="24"/>
          <w:lang w:val="da-DK"/>
        </w:rPr>
        <w:t xml:space="preserve">60 </w:t>
      </w:r>
      <w:r w:rsidRPr="009A13A8">
        <w:rPr>
          <w:rFonts w:ascii="Calibri" w:hAnsi="Calibri" w:cs="Calibri"/>
          <w:noProof/>
          <w:sz w:val="16"/>
          <w:szCs w:val="24"/>
          <w:lang w:val="da-DK"/>
        </w:rPr>
        <w:tab/>
        <w:t xml:space="preserve">Jobson M, Sandrof M, Valeriote T,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Decreasing Time to Antibiotics in Febrile Patients With Central Lines in the Emergency Department. </w:t>
      </w:r>
      <w:r w:rsidRPr="009A13A8">
        <w:rPr>
          <w:rFonts w:ascii="Calibri" w:hAnsi="Calibri" w:cs="Calibri"/>
          <w:i/>
          <w:iCs/>
          <w:noProof/>
          <w:sz w:val="16"/>
          <w:szCs w:val="24"/>
          <w:lang w:val="da-DK"/>
        </w:rPr>
        <w:t>Pediatrics</w:t>
      </w:r>
      <w:r w:rsidRPr="009A13A8">
        <w:rPr>
          <w:rFonts w:ascii="Calibri" w:hAnsi="Calibri" w:cs="Calibri"/>
          <w:noProof/>
          <w:sz w:val="16"/>
          <w:szCs w:val="24"/>
          <w:lang w:val="da-DK"/>
        </w:rPr>
        <w:t xml:space="preserve"> 2015;</w:t>
      </w:r>
      <w:r w:rsidRPr="009A13A8">
        <w:rPr>
          <w:rFonts w:ascii="Calibri" w:hAnsi="Calibri" w:cs="Calibri"/>
          <w:b/>
          <w:bCs/>
          <w:noProof/>
          <w:sz w:val="16"/>
          <w:szCs w:val="24"/>
          <w:lang w:val="da-DK"/>
        </w:rPr>
        <w:t>135</w:t>
      </w:r>
      <w:r w:rsidRPr="009A13A8">
        <w:rPr>
          <w:rFonts w:ascii="Calibri" w:hAnsi="Calibri" w:cs="Calibri"/>
          <w:noProof/>
          <w:sz w:val="16"/>
          <w:szCs w:val="24"/>
          <w:lang w:val="da-DK"/>
        </w:rPr>
        <w:t>:e187–95.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t xml:space="preserve">61 </w:t>
      </w:r>
      <w:r w:rsidRPr="009A13A8">
        <w:rPr>
          <w:rFonts w:ascii="Calibri" w:hAnsi="Calibri" w:cs="Calibri"/>
          <w:noProof/>
          <w:sz w:val="16"/>
          <w:szCs w:val="24"/>
          <w:lang w:val="da-DK"/>
        </w:rPr>
        <w:tab/>
        <w:t xml:space="preserve">Johnson DP, Lind C, Parker SES,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Toward High-Value Care: A Quality Improvement Initiative to Reduce Unnecessary Repeat Complete Blood Counts and Basic Metabolic Panels on a Pediatric Hospitalist Service. </w:t>
      </w:r>
      <w:r w:rsidRPr="00552EFC">
        <w:rPr>
          <w:rFonts w:ascii="Calibri" w:hAnsi="Calibri" w:cs="Calibri"/>
          <w:i/>
          <w:iCs/>
          <w:noProof/>
          <w:sz w:val="16"/>
          <w:szCs w:val="24"/>
        </w:rPr>
        <w:t>Hosp Pediatr</w:t>
      </w:r>
      <w:r w:rsidRPr="00552EFC">
        <w:rPr>
          <w:rFonts w:ascii="Calibri" w:hAnsi="Calibri" w:cs="Calibri"/>
          <w:noProof/>
          <w:sz w:val="16"/>
          <w:szCs w:val="24"/>
        </w:rPr>
        <w:t xml:space="preserve"> 2016;</w:t>
      </w:r>
      <w:r w:rsidRPr="00552EFC">
        <w:rPr>
          <w:rFonts w:ascii="Calibri" w:hAnsi="Calibri" w:cs="Calibri"/>
          <w:b/>
          <w:bCs/>
          <w:noProof/>
          <w:sz w:val="16"/>
          <w:szCs w:val="24"/>
        </w:rPr>
        <w:t>6</w:t>
      </w:r>
      <w:r w:rsidRPr="00552EFC">
        <w:rPr>
          <w:rFonts w:ascii="Calibri" w:hAnsi="Calibri" w:cs="Calibri"/>
          <w:noProof/>
          <w:sz w:val="16"/>
          <w:szCs w:val="24"/>
        </w:rPr>
        <w:t>:1–8.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62 </w:t>
      </w:r>
      <w:r w:rsidRPr="00552EFC">
        <w:rPr>
          <w:rFonts w:ascii="Calibri" w:hAnsi="Calibri" w:cs="Calibri"/>
          <w:noProof/>
          <w:sz w:val="16"/>
          <w:szCs w:val="24"/>
        </w:rPr>
        <w:tab/>
        <w:t xml:space="preserve">Jones CM, Stewart C, Roszell SS. Beyond best practice implementing a unit-based CLABSI project. </w:t>
      </w:r>
      <w:r w:rsidRPr="00552EFC">
        <w:rPr>
          <w:rFonts w:ascii="Calibri" w:hAnsi="Calibri" w:cs="Calibri"/>
          <w:i/>
          <w:iCs/>
          <w:noProof/>
          <w:sz w:val="16"/>
          <w:szCs w:val="24"/>
        </w:rPr>
        <w:t>J Nurs Care Qual</w:t>
      </w:r>
      <w:r w:rsidRPr="00552EFC">
        <w:rPr>
          <w:rFonts w:ascii="Calibri" w:hAnsi="Calibri" w:cs="Calibri"/>
          <w:noProof/>
          <w:sz w:val="16"/>
          <w:szCs w:val="24"/>
        </w:rPr>
        <w:t xml:space="preserve"> 2015;</w:t>
      </w:r>
      <w:r w:rsidRPr="00552EFC">
        <w:rPr>
          <w:rFonts w:ascii="Calibri" w:hAnsi="Calibri" w:cs="Calibri"/>
          <w:b/>
          <w:bCs/>
          <w:noProof/>
          <w:sz w:val="16"/>
          <w:szCs w:val="24"/>
        </w:rPr>
        <w:t>30</w:t>
      </w:r>
      <w:r w:rsidRPr="00552EFC">
        <w:rPr>
          <w:rFonts w:ascii="Calibri" w:hAnsi="Calibri" w:cs="Calibri"/>
          <w:noProof/>
          <w:sz w:val="16"/>
          <w:szCs w:val="24"/>
        </w:rPr>
        <w:t>:24–30.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63 </w:t>
      </w:r>
      <w:r w:rsidRPr="00552EFC">
        <w:rPr>
          <w:rFonts w:ascii="Calibri" w:hAnsi="Calibri" w:cs="Calibri"/>
          <w:noProof/>
          <w:sz w:val="16"/>
          <w:szCs w:val="24"/>
        </w:rPr>
        <w:tab/>
        <w:t xml:space="preserve">Kaur V, Haider S, Sasapu A, </w:t>
      </w:r>
      <w:r w:rsidRPr="00552EFC">
        <w:rPr>
          <w:rFonts w:ascii="Calibri" w:hAnsi="Calibri" w:cs="Calibri"/>
          <w:i/>
          <w:iCs/>
          <w:noProof/>
          <w:sz w:val="16"/>
          <w:szCs w:val="24"/>
        </w:rPr>
        <w:t>et al.</w:t>
      </w:r>
      <w:r w:rsidRPr="00552EFC">
        <w:rPr>
          <w:rFonts w:ascii="Calibri" w:hAnsi="Calibri" w:cs="Calibri"/>
          <w:noProof/>
          <w:sz w:val="16"/>
          <w:szCs w:val="24"/>
        </w:rPr>
        <w:t xml:space="preserve"> Addressing Opioid-Associated Constipation Using Quality Oncology Practice Initiative Scores and Plan-Do-Study-Act Cycles. </w:t>
      </w:r>
      <w:r w:rsidRPr="00552EFC">
        <w:rPr>
          <w:rFonts w:ascii="Calibri" w:hAnsi="Calibri" w:cs="Calibri"/>
          <w:i/>
          <w:iCs/>
          <w:noProof/>
          <w:sz w:val="16"/>
          <w:szCs w:val="24"/>
        </w:rPr>
        <w:t>J Oncol Pract</w:t>
      </w:r>
      <w:r w:rsidRPr="00552EFC">
        <w:rPr>
          <w:rFonts w:ascii="Calibri" w:hAnsi="Calibri" w:cs="Calibri"/>
          <w:noProof/>
          <w:sz w:val="16"/>
          <w:szCs w:val="24"/>
        </w:rPr>
        <w:t xml:space="preserve"> 2017;</w:t>
      </w:r>
      <w:r w:rsidRPr="00552EFC">
        <w:rPr>
          <w:rFonts w:ascii="Calibri" w:hAnsi="Calibri" w:cs="Calibri"/>
          <w:b/>
          <w:bCs/>
          <w:noProof/>
          <w:sz w:val="16"/>
          <w:szCs w:val="24"/>
        </w:rPr>
        <w:t>13</w:t>
      </w:r>
      <w:r w:rsidRPr="00552EFC">
        <w:rPr>
          <w:rFonts w:ascii="Calibri" w:hAnsi="Calibri" w:cs="Calibri"/>
          <w:noProof/>
          <w:sz w:val="16"/>
          <w:szCs w:val="24"/>
        </w:rPr>
        <w:t>:e91–7.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64 </w:t>
      </w:r>
      <w:r w:rsidRPr="00552EFC">
        <w:rPr>
          <w:rFonts w:ascii="Calibri" w:hAnsi="Calibri" w:cs="Calibri"/>
          <w:noProof/>
          <w:sz w:val="16"/>
          <w:szCs w:val="24"/>
        </w:rPr>
        <w:tab/>
        <w:t xml:space="preserve">Kulik W, Shah A. Role of peer support workers in improving patient experience in Tower Hamlets Specialist Addiction Unit.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:u205967.w2458.</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65 </w:t>
      </w:r>
      <w:r w:rsidRPr="00552EFC">
        <w:rPr>
          <w:rFonts w:ascii="Calibri" w:hAnsi="Calibri" w:cs="Calibri"/>
          <w:noProof/>
          <w:sz w:val="16"/>
          <w:szCs w:val="24"/>
        </w:rPr>
        <w:tab/>
        <w:t xml:space="preserve">Kumar A, Cariappa MP, Marwaha V, </w:t>
      </w:r>
      <w:r w:rsidRPr="00552EFC">
        <w:rPr>
          <w:rFonts w:ascii="Calibri" w:hAnsi="Calibri" w:cs="Calibri"/>
          <w:i/>
          <w:iCs/>
          <w:noProof/>
          <w:sz w:val="16"/>
          <w:szCs w:val="24"/>
        </w:rPr>
        <w:t>et al.</w:t>
      </w:r>
      <w:r w:rsidRPr="00552EFC">
        <w:rPr>
          <w:rFonts w:ascii="Calibri" w:hAnsi="Calibri" w:cs="Calibri"/>
          <w:noProof/>
          <w:sz w:val="16"/>
          <w:szCs w:val="24"/>
        </w:rPr>
        <w:t xml:space="preserve"> Improving medical stores management through automation and effective communication. </w:t>
      </w:r>
      <w:r w:rsidRPr="009A13A8">
        <w:rPr>
          <w:rFonts w:ascii="Calibri" w:hAnsi="Calibri" w:cs="Calibri"/>
          <w:i/>
          <w:iCs/>
          <w:noProof/>
          <w:sz w:val="16"/>
          <w:szCs w:val="24"/>
          <w:lang w:val="da-DK"/>
        </w:rPr>
        <w:t>Med J Armed Forces India</w:t>
      </w:r>
      <w:r w:rsidRPr="009A13A8">
        <w:rPr>
          <w:rFonts w:ascii="Calibri" w:hAnsi="Calibri" w:cs="Calibri"/>
          <w:noProof/>
          <w:sz w:val="16"/>
          <w:szCs w:val="24"/>
          <w:lang w:val="da-DK"/>
        </w:rPr>
        <w:t xml:space="preserve"> 2016;</w:t>
      </w:r>
      <w:r w:rsidRPr="009A13A8">
        <w:rPr>
          <w:rFonts w:ascii="Calibri" w:hAnsi="Calibri" w:cs="Calibri"/>
          <w:b/>
          <w:bCs/>
          <w:noProof/>
          <w:sz w:val="16"/>
          <w:szCs w:val="24"/>
          <w:lang w:val="da-DK"/>
        </w:rPr>
        <w:t>72</w:t>
      </w:r>
      <w:r w:rsidRPr="009A13A8">
        <w:rPr>
          <w:rFonts w:ascii="Calibri" w:hAnsi="Calibri" w:cs="Calibri"/>
          <w:noProof/>
          <w:sz w:val="16"/>
          <w:szCs w:val="24"/>
          <w:lang w:val="da-DK"/>
        </w:rPr>
        <w:t>:61–6.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t xml:space="preserve">66 </w:t>
      </w:r>
      <w:r w:rsidRPr="009A13A8">
        <w:rPr>
          <w:rFonts w:ascii="Calibri" w:hAnsi="Calibri" w:cs="Calibri"/>
          <w:noProof/>
          <w:sz w:val="16"/>
          <w:szCs w:val="24"/>
          <w:lang w:val="da-DK"/>
        </w:rPr>
        <w:tab/>
        <w:t xml:space="preserve">Li CH, Traube LE, Lu DS,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Implementation and Results of a Percutaneous Renal Allograft Biopsy Protocol to Reduce Complication Rate. </w:t>
      </w:r>
      <w:r w:rsidRPr="00552EFC">
        <w:rPr>
          <w:rFonts w:ascii="Calibri" w:hAnsi="Calibri" w:cs="Calibri"/>
          <w:i/>
          <w:iCs/>
          <w:noProof/>
          <w:sz w:val="16"/>
          <w:szCs w:val="24"/>
        </w:rPr>
        <w:t>J Am …</w:t>
      </w:r>
      <w:r w:rsidRPr="00552EFC">
        <w:rPr>
          <w:rFonts w:ascii="Calibri" w:hAnsi="Calibri" w:cs="Calibri"/>
          <w:noProof/>
          <w:sz w:val="16"/>
          <w:szCs w:val="24"/>
        </w:rPr>
        <w:t xml:space="preserve"> 2016;</w:t>
      </w:r>
      <w:r w:rsidRPr="00552EFC">
        <w:rPr>
          <w:rFonts w:ascii="Calibri" w:hAnsi="Calibri" w:cs="Calibri"/>
          <w:b/>
          <w:bCs/>
          <w:noProof/>
          <w:sz w:val="16"/>
          <w:szCs w:val="24"/>
        </w:rPr>
        <w:t>13</w:t>
      </w:r>
      <w:r w:rsidRPr="00552EFC">
        <w:rPr>
          <w:rFonts w:ascii="Calibri" w:hAnsi="Calibri" w:cs="Calibri"/>
          <w:noProof/>
          <w:sz w:val="16"/>
          <w:szCs w:val="24"/>
        </w:rPr>
        <w:t>:549–53.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67 </w:t>
      </w:r>
      <w:r w:rsidRPr="00552EFC">
        <w:rPr>
          <w:rFonts w:ascii="Calibri" w:hAnsi="Calibri" w:cs="Calibri"/>
          <w:noProof/>
          <w:sz w:val="16"/>
          <w:szCs w:val="24"/>
        </w:rPr>
        <w:tab/>
        <w:t xml:space="preserve">Looper K, Winchester K, Robinson D, </w:t>
      </w:r>
      <w:r w:rsidRPr="00552EFC">
        <w:rPr>
          <w:rFonts w:ascii="Calibri" w:hAnsi="Calibri" w:cs="Calibri"/>
          <w:i/>
          <w:iCs/>
          <w:noProof/>
          <w:sz w:val="16"/>
          <w:szCs w:val="24"/>
        </w:rPr>
        <w:t>et al.</w:t>
      </w:r>
      <w:r w:rsidRPr="00552EFC">
        <w:rPr>
          <w:rFonts w:ascii="Calibri" w:hAnsi="Calibri" w:cs="Calibri"/>
          <w:noProof/>
          <w:sz w:val="16"/>
          <w:szCs w:val="24"/>
        </w:rPr>
        <w:t xml:space="preserve"> Best Practices for Chemotherapy Administration in Pediatric Oncology: Quality and Safety Process Improvements (2015). </w:t>
      </w:r>
      <w:r w:rsidRPr="00552EFC">
        <w:rPr>
          <w:rFonts w:ascii="Calibri" w:hAnsi="Calibri" w:cs="Calibri"/>
          <w:i/>
          <w:iCs/>
          <w:noProof/>
          <w:sz w:val="16"/>
          <w:szCs w:val="24"/>
        </w:rPr>
        <w:t>J Pediatr Oncol Nurs</w:t>
      </w:r>
      <w:r w:rsidRPr="00552EFC">
        <w:rPr>
          <w:rFonts w:ascii="Calibri" w:hAnsi="Calibri" w:cs="Calibri"/>
          <w:noProof/>
          <w:sz w:val="16"/>
          <w:szCs w:val="24"/>
        </w:rPr>
        <w:t xml:space="preserve"> 2015;</w:t>
      </w:r>
      <w:r w:rsidRPr="00552EFC">
        <w:rPr>
          <w:rFonts w:ascii="Calibri" w:hAnsi="Calibri" w:cs="Calibri"/>
          <w:b/>
          <w:bCs/>
          <w:noProof/>
          <w:sz w:val="16"/>
          <w:szCs w:val="24"/>
        </w:rPr>
        <w:t>33</w:t>
      </w:r>
      <w:r w:rsidRPr="00552EFC">
        <w:rPr>
          <w:rFonts w:ascii="Calibri" w:hAnsi="Calibri" w:cs="Calibri"/>
          <w:noProof/>
          <w:sz w:val="16"/>
          <w:szCs w:val="24"/>
        </w:rPr>
        <w:t>:165–72.</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68 </w:t>
      </w:r>
      <w:r w:rsidRPr="00552EFC">
        <w:rPr>
          <w:rFonts w:ascii="Calibri" w:hAnsi="Calibri" w:cs="Calibri"/>
          <w:noProof/>
          <w:sz w:val="16"/>
          <w:szCs w:val="24"/>
        </w:rPr>
        <w:tab/>
        <w:t xml:space="preserve">Low TKL, Tay KH, Fang T, </w:t>
      </w:r>
      <w:r w:rsidRPr="00552EFC">
        <w:rPr>
          <w:rFonts w:ascii="Calibri" w:hAnsi="Calibri" w:cs="Calibri"/>
          <w:i/>
          <w:iCs/>
          <w:noProof/>
          <w:sz w:val="16"/>
          <w:szCs w:val="24"/>
        </w:rPr>
        <w:t>et al.</w:t>
      </w:r>
      <w:r w:rsidRPr="00552EFC">
        <w:rPr>
          <w:rFonts w:ascii="Calibri" w:hAnsi="Calibri" w:cs="Calibri"/>
          <w:noProof/>
          <w:sz w:val="16"/>
          <w:szCs w:val="24"/>
        </w:rPr>
        <w:t xml:space="preserve"> Reducing transfers of psychiatric inpatients to emergency rooms of general hospitals in Singapore: a clinical practice improvement project. </w:t>
      </w:r>
      <w:r w:rsidRPr="00552EFC">
        <w:rPr>
          <w:rFonts w:ascii="Calibri" w:hAnsi="Calibri" w:cs="Calibri"/>
          <w:i/>
          <w:iCs/>
          <w:noProof/>
          <w:sz w:val="16"/>
          <w:szCs w:val="24"/>
        </w:rPr>
        <w:t>Int J Psychiatry Clin Pract</w:t>
      </w:r>
      <w:r w:rsidRPr="00552EFC">
        <w:rPr>
          <w:rFonts w:ascii="Calibri" w:hAnsi="Calibri" w:cs="Calibri"/>
          <w:noProof/>
          <w:sz w:val="16"/>
          <w:szCs w:val="24"/>
        </w:rPr>
        <w:t xml:space="preserve"> 2017;</w:t>
      </w:r>
      <w:r w:rsidRPr="00552EFC">
        <w:rPr>
          <w:rFonts w:ascii="Calibri" w:hAnsi="Calibri" w:cs="Calibri"/>
          <w:b/>
          <w:bCs/>
          <w:noProof/>
          <w:sz w:val="16"/>
          <w:szCs w:val="24"/>
        </w:rPr>
        <w:t>21</w:t>
      </w:r>
      <w:r w:rsidRPr="00552EFC">
        <w:rPr>
          <w:rFonts w:ascii="Calibri" w:hAnsi="Calibri" w:cs="Calibri"/>
          <w:noProof/>
          <w:sz w:val="16"/>
          <w:szCs w:val="24"/>
        </w:rPr>
        <w:t>:50–7.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69 </w:t>
      </w:r>
      <w:r w:rsidRPr="00552EFC">
        <w:rPr>
          <w:rFonts w:ascii="Calibri" w:hAnsi="Calibri" w:cs="Calibri"/>
          <w:noProof/>
          <w:sz w:val="16"/>
          <w:szCs w:val="24"/>
        </w:rPr>
        <w:tab/>
        <w:t xml:space="preserve">Maqbool T, Raju S, In E. Importance of patient-centred signage and navigation guide in an orthopaedic and plastics clinic.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:10.1136/bmjquality.u209473.w3887. eCollection 2016.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70 </w:t>
      </w:r>
      <w:r w:rsidRPr="00552EFC">
        <w:rPr>
          <w:rFonts w:ascii="Calibri" w:hAnsi="Calibri" w:cs="Calibri"/>
          <w:noProof/>
          <w:sz w:val="16"/>
          <w:szCs w:val="24"/>
        </w:rPr>
        <w:tab/>
        <w:t xml:space="preserve">Margalit BDN, Losi SM, Tishler RB, </w:t>
      </w:r>
      <w:r w:rsidRPr="00552EFC">
        <w:rPr>
          <w:rFonts w:ascii="Calibri" w:hAnsi="Calibri" w:cs="Calibri"/>
          <w:i/>
          <w:iCs/>
          <w:noProof/>
          <w:sz w:val="16"/>
          <w:szCs w:val="24"/>
        </w:rPr>
        <w:t>et al.</w:t>
      </w:r>
      <w:r w:rsidRPr="00552EFC">
        <w:rPr>
          <w:rFonts w:ascii="Calibri" w:hAnsi="Calibri" w:cs="Calibri"/>
          <w:noProof/>
          <w:sz w:val="16"/>
          <w:szCs w:val="24"/>
        </w:rPr>
        <w:t xml:space="preserve"> Focus on Quality Quality in Action Ensuring Head and Neck Oncology Patients Receive Recommended Pretreatment Dental Evaluations. </w:t>
      </w:r>
      <w:r w:rsidRPr="00552EFC">
        <w:rPr>
          <w:rFonts w:ascii="Calibri" w:hAnsi="Calibri" w:cs="Calibri"/>
          <w:i/>
          <w:iCs/>
          <w:noProof/>
          <w:sz w:val="16"/>
          <w:szCs w:val="24"/>
        </w:rPr>
        <w:t>J Clin Oncol</w:t>
      </w:r>
      <w:r w:rsidRPr="00552EFC">
        <w:rPr>
          <w:rFonts w:ascii="Calibri" w:hAnsi="Calibri" w:cs="Calibri"/>
          <w:noProof/>
          <w:sz w:val="16"/>
          <w:szCs w:val="24"/>
        </w:rPr>
        <w:t xml:space="preserve"> 2015;</w:t>
      </w:r>
      <w:r w:rsidRPr="00552EFC">
        <w:rPr>
          <w:rFonts w:ascii="Calibri" w:hAnsi="Calibri" w:cs="Calibri"/>
          <w:b/>
          <w:bCs/>
          <w:noProof/>
          <w:sz w:val="16"/>
          <w:szCs w:val="24"/>
        </w:rPr>
        <w:t>32</w:t>
      </w:r>
      <w:r w:rsidRPr="00552EFC">
        <w:rPr>
          <w:rFonts w:ascii="Calibri" w:hAnsi="Calibri" w:cs="Calibri"/>
          <w:noProof/>
          <w:sz w:val="16"/>
          <w:szCs w:val="24"/>
        </w:rPr>
        <w:t>:no pagination.</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71 </w:t>
      </w:r>
      <w:r w:rsidRPr="00552EFC">
        <w:rPr>
          <w:rFonts w:ascii="Calibri" w:hAnsi="Calibri" w:cs="Calibri"/>
          <w:noProof/>
          <w:sz w:val="16"/>
          <w:szCs w:val="24"/>
        </w:rPr>
        <w:tab/>
        <w:t xml:space="preserve">May-Miller H, Hayter J, Loewenthal L, </w:t>
      </w:r>
      <w:r w:rsidRPr="00552EFC">
        <w:rPr>
          <w:rFonts w:ascii="Calibri" w:hAnsi="Calibri" w:cs="Calibri"/>
          <w:i/>
          <w:iCs/>
          <w:noProof/>
          <w:sz w:val="16"/>
          <w:szCs w:val="24"/>
        </w:rPr>
        <w:t>et al.</w:t>
      </w:r>
      <w:r w:rsidRPr="00552EFC">
        <w:rPr>
          <w:rFonts w:ascii="Calibri" w:hAnsi="Calibri" w:cs="Calibri"/>
          <w:noProof/>
          <w:sz w:val="16"/>
          <w:szCs w:val="24"/>
        </w:rPr>
        <w:t xml:space="preserve"> Improving the quality of discharge summaries: implementing updated Academy of Medical Royal Colleges standards at a district general hospital.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:u207268.w2918.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72 </w:t>
      </w:r>
      <w:r w:rsidRPr="00552EFC">
        <w:rPr>
          <w:rFonts w:ascii="Calibri" w:hAnsi="Calibri" w:cs="Calibri"/>
          <w:noProof/>
          <w:sz w:val="16"/>
          <w:szCs w:val="24"/>
        </w:rPr>
        <w:tab/>
        <w:t xml:space="preserve">McCormack R. Improving the uptake and comprehensiveness of bedside cognitive testing amongst liaison psychiatrists over an eight-month period.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:1–6.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73 </w:t>
      </w:r>
      <w:r w:rsidRPr="00552EFC">
        <w:rPr>
          <w:rFonts w:ascii="Calibri" w:hAnsi="Calibri" w:cs="Calibri"/>
          <w:noProof/>
          <w:sz w:val="16"/>
          <w:szCs w:val="24"/>
        </w:rPr>
        <w:tab/>
        <w:t xml:space="preserve">Mgonja S, Schoening A. Postpartum Depression Screening at Well-Child Appointments: A Quality Improvement Project. </w:t>
      </w:r>
      <w:r w:rsidRPr="00552EFC">
        <w:rPr>
          <w:rFonts w:ascii="Calibri" w:hAnsi="Calibri" w:cs="Calibri"/>
          <w:i/>
          <w:iCs/>
          <w:noProof/>
          <w:sz w:val="16"/>
          <w:szCs w:val="24"/>
        </w:rPr>
        <w:t>J Pediatr Health Care</w:t>
      </w:r>
      <w:r w:rsidRPr="00552EFC">
        <w:rPr>
          <w:rFonts w:ascii="Calibri" w:hAnsi="Calibri" w:cs="Calibri"/>
          <w:noProof/>
          <w:sz w:val="16"/>
          <w:szCs w:val="24"/>
        </w:rPr>
        <w:t xml:space="preserve"> Published Online First: 2016.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74 </w:t>
      </w:r>
      <w:r w:rsidRPr="00552EFC">
        <w:rPr>
          <w:rFonts w:ascii="Calibri" w:hAnsi="Calibri" w:cs="Calibri"/>
          <w:noProof/>
          <w:sz w:val="16"/>
          <w:szCs w:val="24"/>
        </w:rPr>
        <w:tab/>
        <w:t xml:space="preserve">Minhas A, Kyaw TT, Ong BC. Redesigning case selection methods to improve clinical review of inpatient medical records. </w:t>
      </w:r>
      <w:r w:rsidRPr="00552EFC">
        <w:rPr>
          <w:rFonts w:ascii="Calibri" w:hAnsi="Calibri" w:cs="Calibri"/>
          <w:i/>
          <w:iCs/>
          <w:noProof/>
          <w:sz w:val="16"/>
          <w:szCs w:val="24"/>
        </w:rPr>
        <w:t>Clin Epidemiol Glob Heal</w:t>
      </w:r>
      <w:r w:rsidRPr="00552EFC">
        <w:rPr>
          <w:rFonts w:ascii="Calibri" w:hAnsi="Calibri" w:cs="Calibri"/>
          <w:noProof/>
          <w:sz w:val="16"/>
          <w:szCs w:val="24"/>
        </w:rPr>
        <w:t xml:space="preserve"> 2015;</w:t>
      </w:r>
      <w:r w:rsidRPr="00552EFC">
        <w:rPr>
          <w:rFonts w:ascii="Calibri" w:hAnsi="Calibri" w:cs="Calibri"/>
          <w:b/>
          <w:bCs/>
          <w:noProof/>
          <w:sz w:val="16"/>
          <w:szCs w:val="24"/>
        </w:rPr>
        <w:t>3</w:t>
      </w:r>
      <w:r w:rsidRPr="00552EFC">
        <w:rPr>
          <w:rFonts w:ascii="Calibri" w:hAnsi="Calibri" w:cs="Calibri"/>
          <w:noProof/>
          <w:sz w:val="16"/>
          <w:szCs w:val="24"/>
        </w:rPr>
        <w:t>:66–71.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75 </w:t>
      </w:r>
      <w:r w:rsidRPr="00552EFC">
        <w:rPr>
          <w:rFonts w:ascii="Calibri" w:hAnsi="Calibri" w:cs="Calibri"/>
          <w:noProof/>
          <w:sz w:val="16"/>
          <w:szCs w:val="24"/>
        </w:rPr>
        <w:tab/>
        <w:t xml:space="preserve">Montella JM, Pelegano JF. Improving the Rate of Colposcopy in an Urban Population of Patients With Known Abnormal Pap Smears. </w:t>
      </w:r>
      <w:r w:rsidRPr="00552EFC">
        <w:rPr>
          <w:rFonts w:ascii="Calibri" w:hAnsi="Calibri" w:cs="Calibri"/>
          <w:i/>
          <w:iCs/>
          <w:noProof/>
          <w:sz w:val="16"/>
          <w:szCs w:val="24"/>
        </w:rPr>
        <w:t>Am J Med Qual</w:t>
      </w:r>
      <w:r w:rsidRPr="00552EFC">
        <w:rPr>
          <w:rFonts w:ascii="Calibri" w:hAnsi="Calibri" w:cs="Calibri"/>
          <w:noProof/>
          <w:sz w:val="16"/>
          <w:szCs w:val="24"/>
        </w:rPr>
        <w:t xml:space="preserve"> 2016;</w:t>
      </w:r>
      <w:r w:rsidRPr="00552EFC">
        <w:rPr>
          <w:rFonts w:ascii="Calibri" w:hAnsi="Calibri" w:cs="Calibri"/>
          <w:b/>
          <w:bCs/>
          <w:noProof/>
          <w:sz w:val="16"/>
          <w:szCs w:val="24"/>
        </w:rPr>
        <w:t>31</w:t>
      </w:r>
      <w:r w:rsidRPr="00552EFC">
        <w:rPr>
          <w:rFonts w:ascii="Calibri" w:hAnsi="Calibri" w:cs="Calibri"/>
          <w:noProof/>
          <w:sz w:val="16"/>
          <w:szCs w:val="24"/>
        </w:rPr>
        <w:t>:233–9.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76 </w:t>
      </w:r>
      <w:r w:rsidRPr="00552EFC">
        <w:rPr>
          <w:rFonts w:ascii="Calibri" w:hAnsi="Calibri" w:cs="Calibri"/>
          <w:noProof/>
          <w:sz w:val="16"/>
          <w:szCs w:val="24"/>
        </w:rPr>
        <w:tab/>
        <w:t xml:space="preserve">Mookadam M, Grover M, Pullins C, </w:t>
      </w:r>
      <w:r w:rsidRPr="00552EFC">
        <w:rPr>
          <w:rFonts w:ascii="Calibri" w:hAnsi="Calibri" w:cs="Calibri"/>
          <w:i/>
          <w:iCs/>
          <w:noProof/>
          <w:sz w:val="16"/>
          <w:szCs w:val="24"/>
        </w:rPr>
        <w:t>et al.</w:t>
      </w:r>
      <w:r w:rsidRPr="00552EFC">
        <w:rPr>
          <w:rFonts w:ascii="Calibri" w:hAnsi="Calibri" w:cs="Calibri"/>
          <w:noProof/>
          <w:sz w:val="16"/>
          <w:szCs w:val="24"/>
        </w:rPr>
        <w:t xml:space="preserve"> Simple Interventions Improve the Quality of a Missed Lab Appointment Process.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:u205944.w2432.</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77 </w:t>
      </w:r>
      <w:r w:rsidRPr="00552EFC">
        <w:rPr>
          <w:rFonts w:ascii="Calibri" w:hAnsi="Calibri" w:cs="Calibri"/>
          <w:noProof/>
          <w:sz w:val="16"/>
          <w:szCs w:val="24"/>
        </w:rPr>
        <w:tab/>
        <w:t xml:space="preserve">Murphy L, Wells JS, Lachman P, </w:t>
      </w:r>
      <w:r w:rsidRPr="00552EFC">
        <w:rPr>
          <w:rFonts w:ascii="Calibri" w:hAnsi="Calibri" w:cs="Calibri"/>
          <w:i/>
          <w:iCs/>
          <w:noProof/>
          <w:sz w:val="16"/>
          <w:szCs w:val="24"/>
        </w:rPr>
        <w:t>et al.</w:t>
      </w:r>
      <w:r w:rsidRPr="00552EFC">
        <w:rPr>
          <w:rFonts w:ascii="Calibri" w:hAnsi="Calibri" w:cs="Calibri"/>
          <w:noProof/>
          <w:sz w:val="16"/>
          <w:szCs w:val="24"/>
        </w:rPr>
        <w:t xml:space="preserve"> A Quality Improvement Initiative in Community Mental Health in the Republic of Ireland. 2015;:1–12.</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78 </w:t>
      </w:r>
      <w:r w:rsidRPr="00552EFC">
        <w:rPr>
          <w:rFonts w:ascii="Calibri" w:hAnsi="Calibri" w:cs="Calibri"/>
          <w:noProof/>
          <w:sz w:val="16"/>
          <w:szCs w:val="24"/>
        </w:rPr>
        <w:tab/>
        <w:t xml:space="preserve">Mustafa A, Mahgoub S. Understanding and overcoming barriers to timely discharge from the pediatric units.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:u209098.w3772.</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79 </w:t>
      </w:r>
      <w:r w:rsidRPr="00552EFC">
        <w:rPr>
          <w:rFonts w:ascii="Calibri" w:hAnsi="Calibri" w:cs="Calibri"/>
          <w:noProof/>
          <w:sz w:val="16"/>
          <w:szCs w:val="24"/>
        </w:rPr>
        <w:tab/>
        <w:t xml:space="preserve">Nelson E, Reynolds P. Inpatient Falls: Improving assessment, documentation, and management.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:10.1136/bmjquality.u208575.w3781. eCollection 2015.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80 </w:t>
      </w:r>
      <w:r w:rsidRPr="00552EFC">
        <w:rPr>
          <w:rFonts w:ascii="Calibri" w:hAnsi="Calibri" w:cs="Calibri"/>
          <w:noProof/>
          <w:sz w:val="16"/>
          <w:szCs w:val="24"/>
        </w:rPr>
        <w:tab/>
        <w:t xml:space="preserve">Nuti A. Improving compliance with iron infusion therapy in the treatment of chronic anemia in haemodialysis patients with chronic kidney disease.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:u204642.w2177.</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81 </w:t>
      </w:r>
      <w:r w:rsidRPr="00552EFC">
        <w:rPr>
          <w:rFonts w:ascii="Calibri" w:hAnsi="Calibri" w:cs="Calibri"/>
          <w:noProof/>
          <w:sz w:val="16"/>
          <w:szCs w:val="24"/>
        </w:rPr>
        <w:tab/>
        <w:t xml:space="preserve">Ozekcin LR, Tuite P, Willner K, </w:t>
      </w:r>
      <w:r w:rsidRPr="00552EFC">
        <w:rPr>
          <w:rFonts w:ascii="Calibri" w:hAnsi="Calibri" w:cs="Calibri"/>
          <w:i/>
          <w:iCs/>
          <w:noProof/>
          <w:sz w:val="16"/>
          <w:szCs w:val="24"/>
        </w:rPr>
        <w:t>et al.</w:t>
      </w:r>
      <w:r w:rsidRPr="00552EFC">
        <w:rPr>
          <w:rFonts w:ascii="Calibri" w:hAnsi="Calibri" w:cs="Calibri"/>
          <w:noProof/>
          <w:sz w:val="16"/>
          <w:szCs w:val="24"/>
        </w:rPr>
        <w:t xml:space="preserve"> Simulation education: Early identification of patient physiologic deterioration by acute care nurses. </w:t>
      </w:r>
      <w:r w:rsidRPr="009A13A8">
        <w:rPr>
          <w:rFonts w:ascii="Calibri" w:hAnsi="Calibri" w:cs="Calibri"/>
          <w:i/>
          <w:iCs/>
          <w:noProof/>
          <w:sz w:val="16"/>
          <w:szCs w:val="24"/>
          <w:lang w:val="da-DK"/>
        </w:rPr>
        <w:t>Clin Nurse Spec</w:t>
      </w:r>
      <w:r w:rsidRPr="009A13A8">
        <w:rPr>
          <w:rFonts w:ascii="Calibri" w:hAnsi="Calibri" w:cs="Calibri"/>
          <w:noProof/>
          <w:sz w:val="16"/>
          <w:szCs w:val="24"/>
          <w:lang w:val="da-DK"/>
        </w:rPr>
        <w:t xml:space="preserve"> 2015;</w:t>
      </w:r>
      <w:r w:rsidRPr="009A13A8">
        <w:rPr>
          <w:rFonts w:ascii="Calibri" w:hAnsi="Calibri" w:cs="Calibri"/>
          <w:b/>
          <w:bCs/>
          <w:noProof/>
          <w:sz w:val="16"/>
          <w:szCs w:val="24"/>
          <w:lang w:val="da-DK"/>
        </w:rPr>
        <w:t>29</w:t>
      </w:r>
      <w:r w:rsidRPr="009A13A8">
        <w:rPr>
          <w:rFonts w:ascii="Calibri" w:hAnsi="Calibri" w:cs="Calibri"/>
          <w:noProof/>
          <w:sz w:val="16"/>
          <w:szCs w:val="24"/>
          <w:lang w:val="da-DK"/>
        </w:rPr>
        <w:t>:166–73.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t xml:space="preserve">82 </w:t>
      </w:r>
      <w:r w:rsidRPr="009A13A8">
        <w:rPr>
          <w:rFonts w:ascii="Calibri" w:hAnsi="Calibri" w:cs="Calibri"/>
          <w:noProof/>
          <w:sz w:val="16"/>
          <w:szCs w:val="24"/>
          <w:lang w:val="da-DK"/>
        </w:rPr>
        <w:tab/>
        <w:t xml:space="preserve">Partridge T, Carluke I, Emmerson K,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Improving patient reported outcome measures (PROMs) in total knee replacement by changing implant and preserving the infrapatella fatpad: a quality improvement project.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:10.1136/bmjquality.u204088.w3767. eCollection 2016.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83 </w:t>
      </w:r>
      <w:r w:rsidRPr="00552EFC">
        <w:rPr>
          <w:rFonts w:ascii="Calibri" w:hAnsi="Calibri" w:cs="Calibri"/>
          <w:noProof/>
          <w:sz w:val="16"/>
          <w:szCs w:val="24"/>
        </w:rPr>
        <w:tab/>
        <w:t xml:space="preserve">Peh WM, Jia Loh W, chee phua  ghee, </w:t>
      </w:r>
      <w:r w:rsidRPr="00552EFC">
        <w:rPr>
          <w:rFonts w:ascii="Calibri" w:hAnsi="Calibri" w:cs="Calibri"/>
          <w:i/>
          <w:iCs/>
          <w:noProof/>
          <w:sz w:val="16"/>
          <w:szCs w:val="24"/>
        </w:rPr>
        <w:t>et al.</w:t>
      </w:r>
      <w:r w:rsidRPr="00552EFC">
        <w:rPr>
          <w:rFonts w:ascii="Calibri" w:hAnsi="Calibri" w:cs="Calibri"/>
          <w:noProof/>
          <w:sz w:val="16"/>
          <w:szCs w:val="24"/>
        </w:rPr>
        <w:t xml:space="preserve"> Eliminating guidewire retention during ultrasound guided central venous catheter insertion via an educational program, a modified CVC set, and a drape with reminder stickers.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:u209550.w3941.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84 </w:t>
      </w:r>
      <w:r w:rsidRPr="00552EFC">
        <w:rPr>
          <w:rFonts w:ascii="Calibri" w:hAnsi="Calibri" w:cs="Calibri"/>
          <w:noProof/>
          <w:sz w:val="16"/>
          <w:szCs w:val="24"/>
        </w:rPr>
        <w:tab/>
        <w:t xml:space="preserve">Prager JD, Ruiz AG, Mooney K, </w:t>
      </w:r>
      <w:r w:rsidRPr="00552EFC">
        <w:rPr>
          <w:rFonts w:ascii="Calibri" w:hAnsi="Calibri" w:cs="Calibri"/>
          <w:i/>
          <w:iCs/>
          <w:noProof/>
          <w:sz w:val="16"/>
          <w:szCs w:val="24"/>
        </w:rPr>
        <w:t>et al.</w:t>
      </w:r>
      <w:r w:rsidRPr="00552EFC">
        <w:rPr>
          <w:rFonts w:ascii="Calibri" w:hAnsi="Calibri" w:cs="Calibri"/>
          <w:noProof/>
          <w:sz w:val="16"/>
          <w:szCs w:val="24"/>
        </w:rPr>
        <w:t xml:space="preserve"> Improving operative flow during pediatric airway evaluation a quality-improvement initiative. </w:t>
      </w:r>
      <w:r w:rsidRPr="00552EFC">
        <w:rPr>
          <w:rFonts w:ascii="Calibri" w:hAnsi="Calibri" w:cs="Calibri"/>
          <w:i/>
          <w:iCs/>
          <w:noProof/>
          <w:sz w:val="16"/>
          <w:szCs w:val="24"/>
        </w:rPr>
        <w:t>JAMA Otolaryngol - Head Neck Surg</w:t>
      </w:r>
      <w:r w:rsidRPr="00552EFC">
        <w:rPr>
          <w:rFonts w:ascii="Calibri" w:hAnsi="Calibri" w:cs="Calibri"/>
          <w:noProof/>
          <w:sz w:val="16"/>
          <w:szCs w:val="24"/>
        </w:rPr>
        <w:t xml:space="preserve"> 2015;</w:t>
      </w:r>
      <w:r w:rsidRPr="00552EFC">
        <w:rPr>
          <w:rFonts w:ascii="Calibri" w:hAnsi="Calibri" w:cs="Calibri"/>
          <w:b/>
          <w:bCs/>
          <w:noProof/>
          <w:sz w:val="16"/>
          <w:szCs w:val="24"/>
        </w:rPr>
        <w:t>141</w:t>
      </w:r>
      <w:r w:rsidRPr="00552EFC">
        <w:rPr>
          <w:rFonts w:ascii="Calibri" w:hAnsi="Calibri" w:cs="Calibri"/>
          <w:noProof/>
          <w:sz w:val="16"/>
          <w:szCs w:val="24"/>
        </w:rPr>
        <w:t>:229–35.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85 </w:t>
      </w:r>
      <w:r w:rsidRPr="00552EFC">
        <w:rPr>
          <w:rFonts w:ascii="Calibri" w:hAnsi="Calibri" w:cs="Calibri"/>
          <w:noProof/>
          <w:sz w:val="16"/>
          <w:szCs w:val="24"/>
        </w:rPr>
        <w:tab/>
        <w:t xml:space="preserve">O’Reilly A. Improving ward environments and developing skills for discharge with the implementation of self-catering on a low secure forensic unit.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:u210929.w4509.</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86 </w:t>
      </w:r>
      <w:r w:rsidRPr="00552EFC">
        <w:rPr>
          <w:rFonts w:ascii="Calibri" w:hAnsi="Calibri" w:cs="Calibri"/>
          <w:noProof/>
          <w:sz w:val="16"/>
          <w:szCs w:val="24"/>
        </w:rPr>
        <w:tab/>
        <w:t xml:space="preserve">Reynolds M, Jheeta S, Benn J, </w:t>
      </w:r>
      <w:r w:rsidRPr="00552EFC">
        <w:rPr>
          <w:rFonts w:ascii="Calibri" w:hAnsi="Calibri" w:cs="Calibri"/>
          <w:i/>
          <w:iCs/>
          <w:noProof/>
          <w:sz w:val="16"/>
          <w:szCs w:val="24"/>
        </w:rPr>
        <w:t>et al.</w:t>
      </w:r>
      <w:r w:rsidRPr="00552EFC">
        <w:rPr>
          <w:rFonts w:ascii="Calibri" w:hAnsi="Calibri" w:cs="Calibri"/>
          <w:noProof/>
          <w:sz w:val="16"/>
          <w:szCs w:val="24"/>
        </w:rPr>
        <w:t xml:space="preserve"> Improving feedback on junior doctors? prescribing errors: Mixed-methods evaluation of a quality improvement project. </w:t>
      </w:r>
      <w:r w:rsidRPr="009A13A8">
        <w:rPr>
          <w:rFonts w:ascii="Calibri" w:hAnsi="Calibri" w:cs="Calibri"/>
          <w:i/>
          <w:iCs/>
          <w:noProof/>
          <w:sz w:val="16"/>
          <w:szCs w:val="24"/>
          <w:lang w:val="da-DK"/>
        </w:rPr>
        <w:t>BMJ Qual Saf</w:t>
      </w:r>
      <w:r w:rsidRPr="009A13A8">
        <w:rPr>
          <w:rFonts w:ascii="Calibri" w:hAnsi="Calibri" w:cs="Calibri"/>
          <w:noProof/>
          <w:sz w:val="16"/>
          <w:szCs w:val="24"/>
          <w:lang w:val="da-DK"/>
        </w:rPr>
        <w:t xml:space="preserve"> 2017;</w:t>
      </w:r>
      <w:r w:rsidRPr="009A13A8">
        <w:rPr>
          <w:rFonts w:ascii="Calibri" w:hAnsi="Calibri" w:cs="Calibri"/>
          <w:b/>
          <w:bCs/>
          <w:noProof/>
          <w:sz w:val="16"/>
          <w:szCs w:val="24"/>
          <w:lang w:val="da-DK"/>
        </w:rPr>
        <w:t>26</w:t>
      </w:r>
      <w:r w:rsidRPr="009A13A8">
        <w:rPr>
          <w:rFonts w:ascii="Calibri" w:hAnsi="Calibri" w:cs="Calibri"/>
          <w:noProof/>
          <w:sz w:val="16"/>
          <w:szCs w:val="24"/>
          <w:lang w:val="da-DK"/>
        </w:rPr>
        <w:t>:240–7.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lastRenderedPageBreak/>
        <w:t xml:space="preserve">87 </w:t>
      </w:r>
      <w:r w:rsidRPr="009A13A8">
        <w:rPr>
          <w:rFonts w:ascii="Calibri" w:hAnsi="Calibri" w:cs="Calibri"/>
          <w:noProof/>
          <w:sz w:val="16"/>
          <w:szCs w:val="24"/>
          <w:lang w:val="da-DK"/>
        </w:rPr>
        <w:tab/>
        <w:t xml:space="preserve">Riblet NBV, Schlosser EM, Snide JA,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A clinical care pathway to improve the acute care of patients with glioma. </w:t>
      </w:r>
      <w:r w:rsidRPr="00552EFC">
        <w:rPr>
          <w:rFonts w:ascii="Calibri" w:hAnsi="Calibri" w:cs="Calibri"/>
          <w:i/>
          <w:iCs/>
          <w:noProof/>
          <w:sz w:val="16"/>
          <w:szCs w:val="24"/>
        </w:rPr>
        <w:t>Neuro-Oncology Pract</w:t>
      </w:r>
      <w:r w:rsidRPr="00552EFC">
        <w:rPr>
          <w:rFonts w:ascii="Calibri" w:hAnsi="Calibri" w:cs="Calibri"/>
          <w:noProof/>
          <w:sz w:val="16"/>
          <w:szCs w:val="24"/>
        </w:rPr>
        <w:t xml:space="preserve"> 2016;</w:t>
      </w:r>
      <w:r w:rsidRPr="00552EFC">
        <w:rPr>
          <w:rFonts w:ascii="Calibri" w:hAnsi="Calibri" w:cs="Calibri"/>
          <w:b/>
          <w:bCs/>
          <w:noProof/>
          <w:sz w:val="16"/>
          <w:szCs w:val="24"/>
        </w:rPr>
        <w:t>3</w:t>
      </w:r>
      <w:r w:rsidRPr="00552EFC">
        <w:rPr>
          <w:rFonts w:ascii="Calibri" w:hAnsi="Calibri" w:cs="Calibri"/>
          <w:noProof/>
          <w:sz w:val="16"/>
          <w:szCs w:val="24"/>
        </w:rPr>
        <w:t>:145–53.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88 </w:t>
      </w:r>
      <w:r w:rsidRPr="00552EFC">
        <w:rPr>
          <w:rFonts w:ascii="Calibri" w:hAnsi="Calibri" w:cs="Calibri"/>
          <w:noProof/>
          <w:sz w:val="16"/>
          <w:szCs w:val="24"/>
        </w:rPr>
        <w:tab/>
        <w:t xml:space="preserve">Roberts S, Saithna A, Bethune R. Improving theatre efficiency and utilisation through early identification of trauma patients and enhanced communication between teams.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:u206641.w2670-u206641.w2670.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89 </w:t>
      </w:r>
      <w:r w:rsidRPr="00552EFC">
        <w:rPr>
          <w:rFonts w:ascii="Calibri" w:hAnsi="Calibri" w:cs="Calibri"/>
          <w:noProof/>
          <w:sz w:val="16"/>
          <w:szCs w:val="24"/>
        </w:rPr>
        <w:tab/>
        <w:t xml:space="preserve">Rostami P, Power M, Harrison A, </w:t>
      </w:r>
      <w:r w:rsidRPr="00552EFC">
        <w:rPr>
          <w:rFonts w:ascii="Calibri" w:hAnsi="Calibri" w:cs="Calibri"/>
          <w:i/>
          <w:iCs/>
          <w:noProof/>
          <w:sz w:val="16"/>
          <w:szCs w:val="24"/>
        </w:rPr>
        <w:t>et al.</w:t>
      </w:r>
      <w:r w:rsidRPr="00552EFC">
        <w:rPr>
          <w:rFonts w:ascii="Calibri" w:hAnsi="Calibri" w:cs="Calibri"/>
          <w:noProof/>
          <w:sz w:val="16"/>
          <w:szCs w:val="24"/>
        </w:rPr>
        <w:t xml:space="preserve"> Learning from the design, development and implementation of the Medication Safety Thermometer. </w:t>
      </w:r>
      <w:r w:rsidRPr="00552EFC">
        <w:rPr>
          <w:rFonts w:ascii="Calibri" w:hAnsi="Calibri" w:cs="Calibri"/>
          <w:i/>
          <w:iCs/>
          <w:noProof/>
          <w:sz w:val="16"/>
          <w:szCs w:val="24"/>
        </w:rPr>
        <w:t>Int J Qual Heal Care</w:t>
      </w:r>
      <w:r w:rsidRPr="00552EFC">
        <w:rPr>
          <w:rFonts w:ascii="Calibri" w:hAnsi="Calibri" w:cs="Calibri"/>
          <w:noProof/>
          <w:sz w:val="16"/>
          <w:szCs w:val="24"/>
        </w:rPr>
        <w:t xml:space="preserve"> 2016;:1–9.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90 </w:t>
      </w:r>
      <w:r w:rsidRPr="00552EFC">
        <w:rPr>
          <w:rFonts w:ascii="Calibri" w:hAnsi="Calibri" w:cs="Calibri"/>
          <w:noProof/>
          <w:sz w:val="16"/>
          <w:szCs w:val="24"/>
        </w:rPr>
        <w:tab/>
        <w:t xml:space="preserve">Salman M, Subbe C. Alcohol detoxification in Ysbyty Gwynedd: Two small sips or one big gulp? Two-step screening more reliable for identification of alcohol dependency syndrome at risk of delirium tremens for routine care.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:10.1136/bmjquality.u206149.w2528. eCollection 2015.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91 </w:t>
      </w:r>
      <w:r w:rsidRPr="00552EFC">
        <w:rPr>
          <w:rFonts w:ascii="Calibri" w:hAnsi="Calibri" w:cs="Calibri"/>
          <w:noProof/>
          <w:sz w:val="16"/>
          <w:szCs w:val="24"/>
        </w:rPr>
        <w:tab/>
        <w:t xml:space="preserve">6 and Joanne Hilden 2 Jennifer L. Salstrom MD PhD 1 2 3* Rebecca L. Coughlin MEd 1 4 Kathleen Pool MSN CPNP 1 Melissa Bojan BSN 1 Camille Mediavilla BSN 1 William Schwent MBA 4 Michael Rannie MS 5 Dawn Law MBA 5 Michelle Finnerty BS. Prognosis in children with rhabdomyosarcoma: A report of the intergroup rhabdomyosarcoma studies I and II. </w:t>
      </w:r>
      <w:r w:rsidRPr="00552EFC">
        <w:rPr>
          <w:rFonts w:ascii="Calibri" w:hAnsi="Calibri" w:cs="Calibri"/>
          <w:i/>
          <w:iCs/>
          <w:noProof/>
          <w:sz w:val="16"/>
          <w:szCs w:val="24"/>
        </w:rPr>
        <w:t>J Clin Oncol</w:t>
      </w:r>
      <w:r w:rsidRPr="00552EFC">
        <w:rPr>
          <w:rFonts w:ascii="Calibri" w:hAnsi="Calibri" w:cs="Calibri"/>
          <w:noProof/>
          <w:sz w:val="16"/>
          <w:szCs w:val="24"/>
        </w:rPr>
        <w:t xml:space="preserve"> 1990;</w:t>
      </w:r>
      <w:r w:rsidRPr="00552EFC">
        <w:rPr>
          <w:rFonts w:ascii="Calibri" w:hAnsi="Calibri" w:cs="Calibri"/>
          <w:b/>
          <w:bCs/>
          <w:noProof/>
          <w:sz w:val="16"/>
          <w:szCs w:val="24"/>
        </w:rPr>
        <w:t>8</w:t>
      </w:r>
      <w:r w:rsidRPr="00552EFC">
        <w:rPr>
          <w:rFonts w:ascii="Calibri" w:hAnsi="Calibri" w:cs="Calibri"/>
          <w:noProof/>
          <w:sz w:val="16"/>
          <w:szCs w:val="24"/>
        </w:rPr>
        <w:t>:443–52.</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92 </w:t>
      </w:r>
      <w:r w:rsidRPr="00552EFC">
        <w:rPr>
          <w:rFonts w:ascii="Calibri" w:hAnsi="Calibri" w:cs="Calibri"/>
          <w:noProof/>
          <w:sz w:val="16"/>
          <w:szCs w:val="24"/>
        </w:rPr>
        <w:tab/>
        <w:t xml:space="preserve">Samaan ZM, Brown CM, Morehous J, </w:t>
      </w:r>
      <w:r w:rsidRPr="00552EFC">
        <w:rPr>
          <w:rFonts w:ascii="Calibri" w:hAnsi="Calibri" w:cs="Calibri"/>
          <w:i/>
          <w:iCs/>
          <w:noProof/>
          <w:sz w:val="16"/>
          <w:szCs w:val="24"/>
        </w:rPr>
        <w:t>et al.</w:t>
      </w:r>
      <w:r w:rsidRPr="00552EFC">
        <w:rPr>
          <w:rFonts w:ascii="Calibri" w:hAnsi="Calibri" w:cs="Calibri"/>
          <w:noProof/>
          <w:sz w:val="16"/>
          <w:szCs w:val="24"/>
        </w:rPr>
        <w:t xml:space="preserve"> Implementation of a Preventive Services Bundle in Academic Pediatric Primary Care Centers. </w:t>
      </w:r>
      <w:r w:rsidRPr="00552EFC">
        <w:rPr>
          <w:rFonts w:ascii="Calibri" w:hAnsi="Calibri" w:cs="Calibri"/>
          <w:i/>
          <w:iCs/>
          <w:noProof/>
          <w:sz w:val="16"/>
          <w:szCs w:val="24"/>
        </w:rPr>
        <w:t>Pediatrics</w:t>
      </w:r>
      <w:r w:rsidRPr="00552EFC">
        <w:rPr>
          <w:rFonts w:ascii="Calibri" w:hAnsi="Calibri" w:cs="Calibri"/>
          <w:noProof/>
          <w:sz w:val="16"/>
          <w:szCs w:val="24"/>
        </w:rPr>
        <w:t xml:space="preserve"> 2016;</w:t>
      </w:r>
      <w:r w:rsidRPr="00552EFC">
        <w:rPr>
          <w:rFonts w:ascii="Calibri" w:hAnsi="Calibri" w:cs="Calibri"/>
          <w:b/>
          <w:bCs/>
          <w:noProof/>
          <w:sz w:val="16"/>
          <w:szCs w:val="24"/>
        </w:rPr>
        <w:t>137</w:t>
      </w:r>
      <w:r w:rsidRPr="00552EFC">
        <w:rPr>
          <w:rFonts w:ascii="Calibri" w:hAnsi="Calibri" w:cs="Calibri"/>
          <w:noProof/>
          <w:sz w:val="16"/>
          <w:szCs w:val="24"/>
        </w:rPr>
        <w:t>:e20143136–e20143136.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93 </w:t>
      </w:r>
      <w:r w:rsidRPr="00552EFC">
        <w:rPr>
          <w:rFonts w:ascii="Calibri" w:hAnsi="Calibri" w:cs="Calibri"/>
          <w:noProof/>
          <w:sz w:val="16"/>
          <w:szCs w:val="24"/>
        </w:rPr>
        <w:tab/>
        <w:t xml:space="preserve">Samji K, Kielar A, Connolly M, </w:t>
      </w:r>
      <w:r w:rsidRPr="00552EFC">
        <w:rPr>
          <w:rFonts w:ascii="Calibri" w:hAnsi="Calibri" w:cs="Calibri"/>
          <w:i/>
          <w:iCs/>
          <w:noProof/>
          <w:sz w:val="16"/>
          <w:szCs w:val="24"/>
        </w:rPr>
        <w:t>et al.</w:t>
      </w:r>
      <w:r w:rsidRPr="00552EFC">
        <w:rPr>
          <w:rFonts w:ascii="Calibri" w:hAnsi="Calibri" w:cs="Calibri"/>
          <w:noProof/>
          <w:sz w:val="16"/>
          <w:szCs w:val="24"/>
        </w:rPr>
        <w:t xml:space="preserve"> Quality Improvement Initiative to Increase Consistent Use of Intraluminal Contrast in the Identification of Anastomotic Bowel Leaks on Computed Tomography, Using the Plan-Do-Study-Act Service Approach. </w:t>
      </w:r>
      <w:r w:rsidRPr="00552EFC">
        <w:rPr>
          <w:rFonts w:ascii="Calibri" w:hAnsi="Calibri" w:cs="Calibri"/>
          <w:i/>
          <w:iCs/>
          <w:noProof/>
          <w:sz w:val="16"/>
          <w:szCs w:val="24"/>
        </w:rPr>
        <w:t>Can Assoc Radiol J</w:t>
      </w:r>
      <w:r w:rsidRPr="00552EFC">
        <w:rPr>
          <w:rFonts w:ascii="Calibri" w:hAnsi="Calibri" w:cs="Calibri"/>
          <w:noProof/>
          <w:sz w:val="16"/>
          <w:szCs w:val="24"/>
        </w:rPr>
        <w:t xml:space="preserve"> 2017;</w:t>
      </w:r>
      <w:r w:rsidRPr="00552EFC">
        <w:rPr>
          <w:rFonts w:ascii="Calibri" w:hAnsi="Calibri" w:cs="Calibri"/>
          <w:b/>
          <w:bCs/>
          <w:noProof/>
          <w:sz w:val="16"/>
          <w:szCs w:val="24"/>
        </w:rPr>
        <w:t>68</w:t>
      </w:r>
      <w:r w:rsidRPr="00552EFC">
        <w:rPr>
          <w:rFonts w:ascii="Calibri" w:hAnsi="Calibri" w:cs="Calibri"/>
          <w:noProof/>
          <w:sz w:val="16"/>
          <w:szCs w:val="24"/>
        </w:rPr>
        <w:t>:4–9.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94 </w:t>
      </w:r>
      <w:r w:rsidRPr="00552EFC">
        <w:rPr>
          <w:rFonts w:ascii="Calibri" w:hAnsi="Calibri" w:cs="Calibri"/>
          <w:noProof/>
          <w:sz w:val="16"/>
          <w:szCs w:val="24"/>
        </w:rPr>
        <w:tab/>
        <w:t xml:space="preserve">Savarino JR, Kaplan JL, Winter HS, </w:t>
      </w:r>
      <w:r w:rsidRPr="00552EFC">
        <w:rPr>
          <w:rFonts w:ascii="Calibri" w:hAnsi="Calibri" w:cs="Calibri"/>
          <w:i/>
          <w:iCs/>
          <w:noProof/>
          <w:sz w:val="16"/>
          <w:szCs w:val="24"/>
        </w:rPr>
        <w:t>et al.</w:t>
      </w:r>
      <w:r w:rsidRPr="00552EFC">
        <w:rPr>
          <w:rFonts w:ascii="Calibri" w:hAnsi="Calibri" w:cs="Calibri"/>
          <w:noProof/>
          <w:sz w:val="16"/>
          <w:szCs w:val="24"/>
        </w:rPr>
        <w:t xml:space="preserve"> Improving Clinical Remission Rates in Pediatric Inflammatory Bowel Disease with Previsit Planning.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:u211063.w4361.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95 </w:t>
      </w:r>
      <w:r w:rsidRPr="00552EFC">
        <w:rPr>
          <w:rFonts w:ascii="Calibri" w:hAnsi="Calibri" w:cs="Calibri"/>
          <w:noProof/>
          <w:sz w:val="16"/>
          <w:szCs w:val="24"/>
        </w:rPr>
        <w:tab/>
        <w:t xml:space="preserve">Schorr C, Odden A, Evans L, </w:t>
      </w:r>
      <w:r w:rsidRPr="00552EFC">
        <w:rPr>
          <w:rFonts w:ascii="Calibri" w:hAnsi="Calibri" w:cs="Calibri"/>
          <w:i/>
          <w:iCs/>
          <w:noProof/>
          <w:sz w:val="16"/>
          <w:szCs w:val="24"/>
        </w:rPr>
        <w:t>et al.</w:t>
      </w:r>
      <w:r w:rsidRPr="00552EFC">
        <w:rPr>
          <w:rFonts w:ascii="Calibri" w:hAnsi="Calibri" w:cs="Calibri"/>
          <w:noProof/>
          <w:sz w:val="16"/>
          <w:szCs w:val="24"/>
        </w:rPr>
        <w:t xml:space="preserve"> Implementation of a multicenter performance improvement program for early detection and treatment of severe sepsis in general medical-surgical wards. </w:t>
      </w:r>
      <w:r w:rsidRPr="00552EFC">
        <w:rPr>
          <w:rFonts w:ascii="Calibri" w:hAnsi="Calibri" w:cs="Calibri"/>
          <w:i/>
          <w:iCs/>
          <w:noProof/>
          <w:sz w:val="16"/>
          <w:szCs w:val="24"/>
        </w:rPr>
        <w:t>J Hosp Med</w:t>
      </w:r>
      <w:r w:rsidRPr="00552EFC">
        <w:rPr>
          <w:rFonts w:ascii="Calibri" w:hAnsi="Calibri" w:cs="Calibri"/>
          <w:noProof/>
          <w:sz w:val="16"/>
          <w:szCs w:val="24"/>
        </w:rPr>
        <w:t xml:space="preserve"> 2016;</w:t>
      </w:r>
      <w:r w:rsidRPr="00552EFC">
        <w:rPr>
          <w:rFonts w:ascii="Calibri" w:hAnsi="Calibri" w:cs="Calibri"/>
          <w:b/>
          <w:bCs/>
          <w:noProof/>
          <w:sz w:val="16"/>
          <w:szCs w:val="24"/>
        </w:rPr>
        <w:t>11 Suppl 1</w:t>
      </w:r>
      <w:r w:rsidRPr="00552EFC">
        <w:rPr>
          <w:rFonts w:ascii="Calibri" w:hAnsi="Calibri" w:cs="Calibri"/>
          <w:noProof/>
          <w:sz w:val="16"/>
          <w:szCs w:val="24"/>
        </w:rPr>
        <w:t>:S32–9.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96 </w:t>
      </w:r>
      <w:r w:rsidRPr="00552EFC">
        <w:rPr>
          <w:rFonts w:ascii="Calibri" w:hAnsi="Calibri" w:cs="Calibri"/>
          <w:noProof/>
          <w:sz w:val="16"/>
          <w:szCs w:val="24"/>
        </w:rPr>
        <w:tab/>
        <w:t xml:space="preserve">Shahnazarian V, Karu E, Mehta P. Hepatitis C: improving the quality of screening in a community hospital by implementing an electronic medical record intervention.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:u208549.w3409.</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97 </w:t>
      </w:r>
      <w:r w:rsidRPr="00552EFC">
        <w:rPr>
          <w:rFonts w:ascii="Calibri" w:hAnsi="Calibri" w:cs="Calibri"/>
          <w:noProof/>
          <w:sz w:val="16"/>
          <w:szCs w:val="24"/>
        </w:rPr>
        <w:tab/>
        <w:t xml:space="preserve">Shaikh U, Slee C. Triple Duty: Integrating Graduate Medical Education With Maintenance of Board Certification to Improve Clinician Communication at Hospital Discharge. </w:t>
      </w:r>
      <w:r w:rsidRPr="009A13A8">
        <w:rPr>
          <w:rFonts w:ascii="Calibri" w:hAnsi="Calibri" w:cs="Calibri"/>
          <w:i/>
          <w:iCs/>
          <w:noProof/>
          <w:sz w:val="16"/>
          <w:szCs w:val="24"/>
          <w:lang w:val="da-DK"/>
        </w:rPr>
        <w:t>J Grad Med Educ</w:t>
      </w:r>
      <w:r w:rsidRPr="009A13A8">
        <w:rPr>
          <w:rFonts w:ascii="Calibri" w:hAnsi="Calibri" w:cs="Calibri"/>
          <w:noProof/>
          <w:sz w:val="16"/>
          <w:szCs w:val="24"/>
          <w:lang w:val="da-DK"/>
        </w:rPr>
        <w:t xml:space="preserve"> 2015;</w:t>
      </w:r>
      <w:r w:rsidRPr="009A13A8">
        <w:rPr>
          <w:rFonts w:ascii="Calibri" w:hAnsi="Calibri" w:cs="Calibri"/>
          <w:b/>
          <w:bCs/>
          <w:noProof/>
          <w:sz w:val="16"/>
          <w:szCs w:val="24"/>
          <w:lang w:val="da-DK"/>
        </w:rPr>
        <w:t>7</w:t>
      </w:r>
      <w:r w:rsidRPr="009A13A8">
        <w:rPr>
          <w:rFonts w:ascii="Calibri" w:hAnsi="Calibri" w:cs="Calibri"/>
          <w:noProof/>
          <w:sz w:val="16"/>
          <w:szCs w:val="24"/>
          <w:lang w:val="da-DK"/>
        </w:rPr>
        <w:t>:462–5.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t xml:space="preserve">98 </w:t>
      </w:r>
      <w:r w:rsidRPr="009A13A8">
        <w:rPr>
          <w:rFonts w:ascii="Calibri" w:hAnsi="Calibri" w:cs="Calibri"/>
          <w:noProof/>
          <w:sz w:val="16"/>
          <w:szCs w:val="24"/>
          <w:lang w:val="da-DK"/>
        </w:rPr>
        <w:tab/>
        <w:t xml:space="preserve">Singh I, Fletcher R, Scanlon L,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A quality improvement initiative on the management of osteoporosis in older people with Parkinsonism.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:u210921.w5756.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99 </w:t>
      </w:r>
      <w:r w:rsidRPr="00552EFC">
        <w:rPr>
          <w:rFonts w:ascii="Calibri" w:hAnsi="Calibri" w:cs="Calibri"/>
          <w:noProof/>
          <w:sz w:val="16"/>
          <w:szCs w:val="24"/>
        </w:rPr>
        <w:tab/>
        <w:t xml:space="preserve">Singh I, Okeke J. Reducing inpatient falls in a 100% single room elderly care environment: evaluation of the impact of a systematic nurse training programme on falls risk assessment (FRA).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2016;</w:t>
      </w:r>
      <w:r w:rsidRPr="00552EFC">
        <w:rPr>
          <w:rFonts w:ascii="Calibri" w:hAnsi="Calibri" w:cs="Calibri"/>
          <w:b/>
          <w:bCs/>
          <w:noProof/>
          <w:sz w:val="16"/>
          <w:szCs w:val="24"/>
        </w:rPr>
        <w:t>5</w:t>
      </w:r>
      <w:r w:rsidRPr="00552EFC">
        <w:rPr>
          <w:rFonts w:ascii="Calibri" w:hAnsi="Calibri" w:cs="Calibri"/>
          <w:noProof/>
          <w:sz w:val="16"/>
          <w:szCs w:val="24"/>
        </w:rPr>
        <w:t>:u210921.w4741.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100 </w:t>
      </w:r>
      <w:r w:rsidRPr="00552EFC">
        <w:rPr>
          <w:rFonts w:ascii="Calibri" w:hAnsi="Calibri" w:cs="Calibri"/>
          <w:noProof/>
          <w:sz w:val="16"/>
          <w:szCs w:val="24"/>
        </w:rPr>
        <w:tab/>
        <w:t xml:space="preserve">Stark C, Gent A, Kirkland L. Improving patient flow in pre-operative assessment.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:u201341.w1226.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101 </w:t>
      </w:r>
      <w:r w:rsidRPr="00552EFC">
        <w:rPr>
          <w:rFonts w:ascii="Calibri" w:hAnsi="Calibri" w:cs="Calibri"/>
          <w:noProof/>
          <w:sz w:val="16"/>
          <w:szCs w:val="24"/>
        </w:rPr>
        <w:tab/>
        <w:t xml:space="preserve">Subramanyam R, Mahmoud M, Buck D, </w:t>
      </w:r>
      <w:r w:rsidRPr="00552EFC">
        <w:rPr>
          <w:rFonts w:ascii="Calibri" w:hAnsi="Calibri" w:cs="Calibri"/>
          <w:i/>
          <w:iCs/>
          <w:noProof/>
          <w:sz w:val="16"/>
          <w:szCs w:val="24"/>
        </w:rPr>
        <w:t>et al.</w:t>
      </w:r>
      <w:r w:rsidRPr="00552EFC">
        <w:rPr>
          <w:rFonts w:ascii="Calibri" w:hAnsi="Calibri" w:cs="Calibri"/>
          <w:noProof/>
          <w:sz w:val="16"/>
          <w:szCs w:val="24"/>
        </w:rPr>
        <w:t xml:space="preserve"> Infusion Medication Error Reduction by Two-Person Verification: A Quality Improvement Initiative. </w:t>
      </w:r>
      <w:r w:rsidRPr="00552EFC">
        <w:rPr>
          <w:rFonts w:ascii="Calibri" w:hAnsi="Calibri" w:cs="Calibri"/>
          <w:i/>
          <w:iCs/>
          <w:noProof/>
          <w:sz w:val="16"/>
          <w:szCs w:val="24"/>
        </w:rPr>
        <w:t>Pediatrics</w:t>
      </w:r>
      <w:r w:rsidRPr="00552EFC">
        <w:rPr>
          <w:rFonts w:ascii="Calibri" w:hAnsi="Calibri" w:cs="Calibri"/>
          <w:noProof/>
          <w:sz w:val="16"/>
          <w:szCs w:val="24"/>
        </w:rPr>
        <w:t xml:space="preserve"> 2016;</w:t>
      </w:r>
      <w:r w:rsidRPr="00552EFC">
        <w:rPr>
          <w:rFonts w:ascii="Calibri" w:hAnsi="Calibri" w:cs="Calibri"/>
          <w:b/>
          <w:bCs/>
          <w:noProof/>
          <w:sz w:val="16"/>
          <w:szCs w:val="24"/>
        </w:rPr>
        <w:t>138</w:t>
      </w:r>
      <w:r w:rsidRPr="00552EFC">
        <w:rPr>
          <w:rFonts w:ascii="Calibri" w:hAnsi="Calibri" w:cs="Calibri"/>
          <w:noProof/>
          <w:sz w:val="16"/>
          <w:szCs w:val="24"/>
        </w:rPr>
        <w:t>:e20154413–e20154413.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102 </w:t>
      </w:r>
      <w:r w:rsidRPr="00552EFC">
        <w:rPr>
          <w:rFonts w:ascii="Calibri" w:hAnsi="Calibri" w:cs="Calibri"/>
          <w:noProof/>
          <w:sz w:val="16"/>
          <w:szCs w:val="24"/>
        </w:rPr>
        <w:tab/>
        <w:t xml:space="preserve">Sudhanthar S, Turner J, Thakur K, </w:t>
      </w:r>
      <w:r w:rsidRPr="00552EFC">
        <w:rPr>
          <w:rFonts w:ascii="Calibri" w:hAnsi="Calibri" w:cs="Calibri"/>
          <w:i/>
          <w:iCs/>
          <w:noProof/>
          <w:sz w:val="16"/>
          <w:szCs w:val="24"/>
        </w:rPr>
        <w:t>et al.</w:t>
      </w:r>
      <w:r w:rsidRPr="00552EFC">
        <w:rPr>
          <w:rFonts w:ascii="Calibri" w:hAnsi="Calibri" w:cs="Calibri"/>
          <w:noProof/>
          <w:sz w:val="16"/>
          <w:szCs w:val="24"/>
        </w:rPr>
        <w:t xml:space="preserve"> Improving viable low cost generic medication prescription rate in primary care pediatric practice.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:3–5.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103 </w:t>
      </w:r>
      <w:r w:rsidRPr="00552EFC">
        <w:rPr>
          <w:rFonts w:ascii="Calibri" w:hAnsi="Calibri" w:cs="Calibri"/>
          <w:noProof/>
          <w:sz w:val="16"/>
          <w:szCs w:val="24"/>
        </w:rPr>
        <w:tab/>
        <w:t xml:space="preserve">Sudhanthar S, Thakur K, Sigal Y, </w:t>
      </w:r>
      <w:r w:rsidRPr="00552EFC">
        <w:rPr>
          <w:rFonts w:ascii="Calibri" w:hAnsi="Calibri" w:cs="Calibri"/>
          <w:i/>
          <w:iCs/>
          <w:noProof/>
          <w:sz w:val="16"/>
          <w:szCs w:val="24"/>
        </w:rPr>
        <w:t>et al.</w:t>
      </w:r>
      <w:r w:rsidRPr="00552EFC">
        <w:rPr>
          <w:rFonts w:ascii="Calibri" w:hAnsi="Calibri" w:cs="Calibri"/>
          <w:noProof/>
          <w:sz w:val="16"/>
          <w:szCs w:val="24"/>
        </w:rPr>
        <w:t xml:space="preserve"> Improving validated depression screen among adolescent population in primary care practice using electronic health records (EHR).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:u209517.w3913.</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104 </w:t>
      </w:r>
      <w:r w:rsidRPr="00552EFC">
        <w:rPr>
          <w:rFonts w:ascii="Calibri" w:hAnsi="Calibri" w:cs="Calibri"/>
          <w:noProof/>
          <w:sz w:val="16"/>
          <w:szCs w:val="24"/>
        </w:rPr>
        <w:tab/>
        <w:t xml:space="preserve">Tan RYC, Met-Domestici M, Zhou K, </w:t>
      </w:r>
      <w:r w:rsidRPr="00552EFC">
        <w:rPr>
          <w:rFonts w:ascii="Calibri" w:hAnsi="Calibri" w:cs="Calibri"/>
          <w:i/>
          <w:iCs/>
          <w:noProof/>
          <w:sz w:val="16"/>
          <w:szCs w:val="24"/>
        </w:rPr>
        <w:t>et al.</w:t>
      </w:r>
      <w:r w:rsidRPr="00552EFC">
        <w:rPr>
          <w:rFonts w:ascii="Calibri" w:hAnsi="Calibri" w:cs="Calibri"/>
          <w:noProof/>
          <w:sz w:val="16"/>
          <w:szCs w:val="24"/>
        </w:rPr>
        <w:t xml:space="preserve"> Using Quality Improvement Methods and Time-Driven Activity-Based Costing to Improve Value-Based Cancer Care Delivery at a Cancer Genetics Clinic. </w:t>
      </w:r>
      <w:r w:rsidRPr="00552EFC">
        <w:rPr>
          <w:rFonts w:ascii="Calibri" w:hAnsi="Calibri" w:cs="Calibri"/>
          <w:i/>
          <w:iCs/>
          <w:noProof/>
          <w:sz w:val="16"/>
          <w:szCs w:val="24"/>
        </w:rPr>
        <w:t>J Oncol Pract</w:t>
      </w:r>
      <w:r w:rsidRPr="00552EFC">
        <w:rPr>
          <w:rFonts w:ascii="Calibri" w:hAnsi="Calibri" w:cs="Calibri"/>
          <w:noProof/>
          <w:sz w:val="16"/>
          <w:szCs w:val="24"/>
        </w:rPr>
        <w:t xml:space="preserve"> 2016;</w:t>
      </w:r>
      <w:r w:rsidRPr="00552EFC">
        <w:rPr>
          <w:rFonts w:ascii="Calibri" w:hAnsi="Calibri" w:cs="Calibri"/>
          <w:b/>
          <w:bCs/>
          <w:noProof/>
          <w:sz w:val="16"/>
          <w:szCs w:val="24"/>
        </w:rPr>
        <w:t>12</w:t>
      </w:r>
      <w:r w:rsidRPr="00552EFC">
        <w:rPr>
          <w:rFonts w:ascii="Calibri" w:hAnsi="Calibri" w:cs="Calibri"/>
          <w:noProof/>
          <w:sz w:val="16"/>
          <w:szCs w:val="24"/>
        </w:rPr>
        <w:t>:e320–31.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105 </w:t>
      </w:r>
      <w:r w:rsidRPr="00552EFC">
        <w:rPr>
          <w:rFonts w:ascii="Calibri" w:hAnsi="Calibri" w:cs="Calibri"/>
          <w:noProof/>
          <w:sz w:val="16"/>
          <w:szCs w:val="24"/>
        </w:rPr>
        <w:tab/>
        <w:t xml:space="preserve">Thomas P, Seale JP, Johnson JA, </w:t>
      </w:r>
      <w:r w:rsidRPr="00552EFC">
        <w:rPr>
          <w:rFonts w:ascii="Calibri" w:hAnsi="Calibri" w:cs="Calibri"/>
          <w:i/>
          <w:iCs/>
          <w:noProof/>
          <w:sz w:val="16"/>
          <w:szCs w:val="24"/>
        </w:rPr>
        <w:t>et al.</w:t>
      </w:r>
      <w:r w:rsidRPr="00552EFC">
        <w:rPr>
          <w:rFonts w:ascii="Calibri" w:hAnsi="Calibri" w:cs="Calibri"/>
          <w:noProof/>
          <w:sz w:val="16"/>
          <w:szCs w:val="24"/>
        </w:rPr>
        <w:t xml:space="preserve"> Impact of a Quality Improvement Intervention to Increase Brief Alcohol and Drug Interventions on a Level I Trauma Service. </w:t>
      </w:r>
      <w:r w:rsidRPr="00552EFC">
        <w:rPr>
          <w:rFonts w:ascii="Calibri" w:hAnsi="Calibri" w:cs="Calibri"/>
          <w:i/>
          <w:iCs/>
          <w:noProof/>
          <w:sz w:val="16"/>
          <w:szCs w:val="24"/>
        </w:rPr>
        <w:t>Am Surg</w:t>
      </w:r>
      <w:r w:rsidRPr="00552EFC">
        <w:rPr>
          <w:rFonts w:ascii="Calibri" w:hAnsi="Calibri" w:cs="Calibri"/>
          <w:noProof/>
          <w:sz w:val="16"/>
          <w:szCs w:val="24"/>
        </w:rPr>
        <w:t xml:space="preserve"> 2016;</w:t>
      </w:r>
      <w:r w:rsidRPr="00552EFC">
        <w:rPr>
          <w:rFonts w:ascii="Calibri" w:hAnsi="Calibri" w:cs="Calibri"/>
          <w:b/>
          <w:bCs/>
          <w:noProof/>
          <w:sz w:val="16"/>
          <w:szCs w:val="24"/>
        </w:rPr>
        <w:t>82</w:t>
      </w:r>
      <w:r w:rsidRPr="00552EFC">
        <w:rPr>
          <w:rFonts w:ascii="Calibri" w:hAnsi="Calibri" w:cs="Calibri"/>
          <w:noProof/>
          <w:sz w:val="16"/>
          <w:szCs w:val="24"/>
        </w:rPr>
        <w:t>:468–73.</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552EFC">
        <w:rPr>
          <w:rFonts w:ascii="Calibri" w:hAnsi="Calibri" w:cs="Calibri"/>
          <w:noProof/>
          <w:sz w:val="16"/>
          <w:szCs w:val="24"/>
        </w:rPr>
        <w:t xml:space="preserve">106 </w:t>
      </w:r>
      <w:r w:rsidRPr="00552EFC">
        <w:rPr>
          <w:rFonts w:ascii="Calibri" w:hAnsi="Calibri" w:cs="Calibri"/>
          <w:noProof/>
          <w:sz w:val="16"/>
          <w:szCs w:val="24"/>
        </w:rPr>
        <w:tab/>
        <w:t xml:space="preserve">Thomassen O, Mann C, Mbwana JS, </w:t>
      </w:r>
      <w:r w:rsidRPr="00552EFC">
        <w:rPr>
          <w:rFonts w:ascii="Calibri" w:hAnsi="Calibri" w:cs="Calibri"/>
          <w:i/>
          <w:iCs/>
          <w:noProof/>
          <w:sz w:val="16"/>
          <w:szCs w:val="24"/>
        </w:rPr>
        <w:t>et al.</w:t>
      </w:r>
      <w:r w:rsidRPr="00552EFC">
        <w:rPr>
          <w:rFonts w:ascii="Calibri" w:hAnsi="Calibri" w:cs="Calibri"/>
          <w:noProof/>
          <w:sz w:val="16"/>
          <w:szCs w:val="24"/>
        </w:rPr>
        <w:t xml:space="preserve"> Emergency medicine in Zanzibar: the effect of system changes in the emergency department. </w:t>
      </w:r>
      <w:r w:rsidRPr="009A13A8">
        <w:rPr>
          <w:rFonts w:ascii="Calibri" w:hAnsi="Calibri" w:cs="Calibri"/>
          <w:i/>
          <w:iCs/>
          <w:noProof/>
          <w:sz w:val="16"/>
          <w:szCs w:val="24"/>
          <w:lang w:val="da-DK"/>
        </w:rPr>
        <w:t>Int J Emerg Med</w:t>
      </w:r>
      <w:r w:rsidRPr="009A13A8">
        <w:rPr>
          <w:rFonts w:ascii="Calibri" w:hAnsi="Calibri" w:cs="Calibri"/>
          <w:noProof/>
          <w:sz w:val="16"/>
          <w:szCs w:val="24"/>
          <w:lang w:val="da-DK"/>
        </w:rPr>
        <w:t xml:space="preserve"> 2015;</w:t>
      </w:r>
      <w:r w:rsidRPr="009A13A8">
        <w:rPr>
          <w:rFonts w:ascii="Calibri" w:hAnsi="Calibri" w:cs="Calibri"/>
          <w:b/>
          <w:bCs/>
          <w:noProof/>
          <w:sz w:val="16"/>
          <w:szCs w:val="24"/>
          <w:lang w:val="da-DK"/>
        </w:rPr>
        <w:t>8</w:t>
      </w:r>
      <w:r w:rsidRPr="009A13A8">
        <w:rPr>
          <w:rFonts w:ascii="Calibri" w:hAnsi="Calibri" w:cs="Calibri"/>
          <w:noProof/>
          <w:sz w:val="16"/>
          <w:szCs w:val="24"/>
          <w:lang w:val="da-DK"/>
        </w:rPr>
        <w:t>:22.</w:t>
      </w:r>
    </w:p>
    <w:p w:rsidR="00552EFC" w:rsidRPr="009A13A8" w:rsidRDefault="00552EFC" w:rsidP="00552EFC">
      <w:pPr>
        <w:widowControl w:val="0"/>
        <w:autoSpaceDE w:val="0"/>
        <w:autoSpaceDN w:val="0"/>
        <w:adjustRightInd w:val="0"/>
        <w:spacing w:line="240" w:lineRule="auto"/>
        <w:ind w:left="640" w:hanging="640"/>
        <w:rPr>
          <w:rFonts w:ascii="Calibri" w:hAnsi="Calibri" w:cs="Calibri"/>
          <w:noProof/>
          <w:sz w:val="16"/>
          <w:szCs w:val="24"/>
          <w:lang w:val="da-DK"/>
        </w:rPr>
      </w:pPr>
      <w:r w:rsidRPr="009A13A8">
        <w:rPr>
          <w:rFonts w:ascii="Calibri" w:hAnsi="Calibri" w:cs="Calibri"/>
          <w:noProof/>
          <w:sz w:val="16"/>
          <w:szCs w:val="24"/>
          <w:lang w:val="da-DK"/>
        </w:rPr>
        <w:t xml:space="preserve">107 </w:t>
      </w:r>
      <w:r w:rsidRPr="009A13A8">
        <w:rPr>
          <w:rFonts w:ascii="Calibri" w:hAnsi="Calibri" w:cs="Calibri"/>
          <w:noProof/>
          <w:sz w:val="16"/>
          <w:szCs w:val="24"/>
          <w:lang w:val="da-DK"/>
        </w:rPr>
        <w:tab/>
        <w:t xml:space="preserve">Titsworth WL, Abram J, Guin P,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A prospective time-series quality improvement trial of a standardized analgesia protocol to reduce postoperative pain among neurosurgery patients. </w:t>
      </w:r>
      <w:r w:rsidRPr="009A13A8">
        <w:rPr>
          <w:rFonts w:ascii="Calibri" w:hAnsi="Calibri" w:cs="Calibri"/>
          <w:i/>
          <w:iCs/>
          <w:noProof/>
          <w:sz w:val="16"/>
          <w:szCs w:val="24"/>
          <w:lang w:val="da-DK"/>
        </w:rPr>
        <w:t>J Neurosurg</w:t>
      </w:r>
      <w:r w:rsidRPr="009A13A8">
        <w:rPr>
          <w:rFonts w:ascii="Calibri" w:hAnsi="Calibri" w:cs="Calibri"/>
          <w:noProof/>
          <w:sz w:val="16"/>
          <w:szCs w:val="24"/>
          <w:lang w:val="da-DK"/>
        </w:rPr>
        <w:t xml:space="preserve"> 2016;</w:t>
      </w:r>
      <w:r w:rsidRPr="009A13A8">
        <w:rPr>
          <w:rFonts w:ascii="Calibri" w:hAnsi="Calibri" w:cs="Calibri"/>
          <w:b/>
          <w:bCs/>
          <w:noProof/>
          <w:sz w:val="16"/>
          <w:szCs w:val="24"/>
          <w:lang w:val="da-DK"/>
        </w:rPr>
        <w:t>3</w:t>
      </w:r>
      <w:r w:rsidRPr="009A13A8">
        <w:rPr>
          <w:rFonts w:ascii="Calibri" w:hAnsi="Calibri" w:cs="Calibri"/>
          <w:noProof/>
          <w:sz w:val="16"/>
          <w:szCs w:val="24"/>
          <w:lang w:val="da-DK"/>
        </w:rPr>
        <w:t>:1–10.</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9A13A8">
        <w:rPr>
          <w:rFonts w:ascii="Calibri" w:hAnsi="Calibri" w:cs="Calibri"/>
          <w:noProof/>
          <w:sz w:val="16"/>
          <w:szCs w:val="24"/>
          <w:lang w:val="da-DK"/>
        </w:rPr>
        <w:t xml:space="preserve">108 </w:t>
      </w:r>
      <w:r w:rsidRPr="009A13A8">
        <w:rPr>
          <w:rFonts w:ascii="Calibri" w:hAnsi="Calibri" w:cs="Calibri"/>
          <w:noProof/>
          <w:sz w:val="16"/>
          <w:szCs w:val="24"/>
          <w:lang w:val="da-DK"/>
        </w:rPr>
        <w:tab/>
        <w:t xml:space="preserve">Tripathi S, Arteaga G, Rohlik G, </w:t>
      </w:r>
      <w:r w:rsidRPr="009A13A8">
        <w:rPr>
          <w:rFonts w:ascii="Calibri" w:hAnsi="Calibri" w:cs="Calibri"/>
          <w:i/>
          <w:iCs/>
          <w:noProof/>
          <w:sz w:val="16"/>
          <w:szCs w:val="24"/>
          <w:lang w:val="da-DK"/>
        </w:rPr>
        <w:t>et al.</w:t>
      </w:r>
      <w:r w:rsidRPr="009A13A8">
        <w:rPr>
          <w:rFonts w:ascii="Calibri" w:hAnsi="Calibri" w:cs="Calibri"/>
          <w:noProof/>
          <w:sz w:val="16"/>
          <w:szCs w:val="24"/>
          <w:lang w:val="da-DK"/>
        </w:rPr>
        <w:t xml:space="preserve"> </w:t>
      </w:r>
      <w:r w:rsidRPr="00552EFC">
        <w:rPr>
          <w:rFonts w:ascii="Calibri" w:hAnsi="Calibri" w:cs="Calibri"/>
          <w:noProof/>
          <w:sz w:val="16"/>
          <w:szCs w:val="24"/>
        </w:rPr>
        <w:t xml:space="preserve">Implementation of Patient-Centered Bedside Rounds in the Pediatric Intensive Care Unit. </w:t>
      </w:r>
      <w:r w:rsidRPr="00552EFC">
        <w:rPr>
          <w:rFonts w:ascii="Calibri" w:hAnsi="Calibri" w:cs="Calibri"/>
          <w:i/>
          <w:iCs/>
          <w:noProof/>
          <w:sz w:val="16"/>
          <w:szCs w:val="24"/>
        </w:rPr>
        <w:t>J Nurs Care Qual</w:t>
      </w:r>
      <w:r w:rsidRPr="00552EFC">
        <w:rPr>
          <w:rFonts w:ascii="Calibri" w:hAnsi="Calibri" w:cs="Calibri"/>
          <w:noProof/>
          <w:sz w:val="16"/>
          <w:szCs w:val="24"/>
        </w:rPr>
        <w:t xml:space="preserve"> 2015;</w:t>
      </w:r>
      <w:r w:rsidRPr="00552EFC">
        <w:rPr>
          <w:rFonts w:ascii="Calibri" w:hAnsi="Calibri" w:cs="Calibri"/>
          <w:b/>
          <w:bCs/>
          <w:noProof/>
          <w:sz w:val="16"/>
          <w:szCs w:val="24"/>
        </w:rPr>
        <w:t>30</w:t>
      </w:r>
      <w:r w:rsidRPr="00552EFC">
        <w:rPr>
          <w:rFonts w:ascii="Calibri" w:hAnsi="Calibri" w:cs="Calibri"/>
          <w:noProof/>
          <w:sz w:val="16"/>
          <w:szCs w:val="24"/>
        </w:rPr>
        <w:t>:160–6.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109 </w:t>
      </w:r>
      <w:r w:rsidRPr="00552EFC">
        <w:rPr>
          <w:rFonts w:ascii="Calibri" w:hAnsi="Calibri" w:cs="Calibri"/>
          <w:noProof/>
          <w:sz w:val="16"/>
          <w:szCs w:val="24"/>
        </w:rPr>
        <w:tab/>
        <w:t xml:space="preserve">Ugarte M. Waiting time reduction in intravitreal clinics by optimization of appointment scheduling: balancing demand and supply.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:10.1136/bmjquality.u208924.w3618. eCollection 2015.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110 </w:t>
      </w:r>
      <w:r w:rsidRPr="00552EFC">
        <w:rPr>
          <w:rFonts w:ascii="Calibri" w:hAnsi="Calibri" w:cs="Calibri"/>
          <w:noProof/>
          <w:sz w:val="16"/>
          <w:szCs w:val="24"/>
        </w:rPr>
        <w:tab/>
        <w:t>Vetter MJ, Gnp-bc ANP. The Influence of Clinical Decision Support on Diagnostic Accuracy in Nurse Practitioners. 2012;:1–9.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111 </w:t>
      </w:r>
      <w:r w:rsidRPr="00552EFC">
        <w:rPr>
          <w:rFonts w:ascii="Calibri" w:hAnsi="Calibri" w:cs="Calibri"/>
          <w:noProof/>
          <w:sz w:val="16"/>
          <w:szCs w:val="24"/>
        </w:rPr>
        <w:tab/>
        <w:t xml:space="preserve">Wale M, Kibsey P, Young L, </w:t>
      </w:r>
      <w:r w:rsidRPr="00552EFC">
        <w:rPr>
          <w:rFonts w:ascii="Calibri" w:hAnsi="Calibri" w:cs="Calibri"/>
          <w:i/>
          <w:iCs/>
          <w:noProof/>
          <w:sz w:val="16"/>
          <w:szCs w:val="24"/>
        </w:rPr>
        <w:t>et al.</w:t>
      </w:r>
      <w:r w:rsidRPr="00552EFC">
        <w:rPr>
          <w:rFonts w:ascii="Calibri" w:hAnsi="Calibri" w:cs="Calibri"/>
          <w:noProof/>
          <w:sz w:val="16"/>
          <w:szCs w:val="24"/>
        </w:rPr>
        <w:t xml:space="preserve"> New approaches to infection prevention and control: Implementing a risk-based model regionally. </w:t>
      </w:r>
      <w:r w:rsidRPr="00552EFC">
        <w:rPr>
          <w:rFonts w:ascii="Calibri" w:hAnsi="Calibri" w:cs="Calibri"/>
          <w:i/>
          <w:iCs/>
          <w:noProof/>
          <w:sz w:val="16"/>
          <w:szCs w:val="24"/>
        </w:rPr>
        <w:t>Int J Qual Heal Care</w:t>
      </w:r>
      <w:r w:rsidRPr="00552EFC">
        <w:rPr>
          <w:rFonts w:ascii="Calibri" w:hAnsi="Calibri" w:cs="Calibri"/>
          <w:noProof/>
          <w:sz w:val="16"/>
          <w:szCs w:val="24"/>
        </w:rPr>
        <w:t xml:space="preserve"> 2016;</w:t>
      </w:r>
      <w:r w:rsidRPr="00552EFC">
        <w:rPr>
          <w:rFonts w:ascii="Calibri" w:hAnsi="Calibri" w:cs="Calibri"/>
          <w:b/>
          <w:bCs/>
          <w:noProof/>
          <w:sz w:val="16"/>
          <w:szCs w:val="24"/>
        </w:rPr>
        <w:t>28</w:t>
      </w:r>
      <w:r w:rsidRPr="00552EFC">
        <w:rPr>
          <w:rFonts w:ascii="Calibri" w:hAnsi="Calibri" w:cs="Calibri"/>
          <w:noProof/>
          <w:sz w:val="16"/>
          <w:szCs w:val="24"/>
        </w:rPr>
        <w:t>:405–11.</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112 </w:t>
      </w:r>
      <w:r w:rsidRPr="00552EFC">
        <w:rPr>
          <w:rFonts w:ascii="Calibri" w:hAnsi="Calibri" w:cs="Calibri"/>
          <w:noProof/>
          <w:sz w:val="16"/>
          <w:szCs w:val="24"/>
        </w:rPr>
        <w:tab/>
        <w:t xml:space="preserve">Walton H, Munro W. Improving the quality of handover by addressing handover culture and introducing a new, multi-disciplinary, team-based handover meeting.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:u206069.w2989.</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113 </w:t>
      </w:r>
      <w:r w:rsidRPr="00552EFC">
        <w:rPr>
          <w:rFonts w:ascii="Calibri" w:hAnsi="Calibri" w:cs="Calibri"/>
          <w:noProof/>
          <w:sz w:val="16"/>
          <w:szCs w:val="24"/>
        </w:rPr>
        <w:tab/>
        <w:t xml:space="preserve">Ward J, Spencer R, Soo E, </w:t>
      </w:r>
      <w:r w:rsidRPr="00552EFC">
        <w:rPr>
          <w:rFonts w:ascii="Calibri" w:hAnsi="Calibri" w:cs="Calibri"/>
          <w:i/>
          <w:iCs/>
          <w:noProof/>
          <w:sz w:val="16"/>
          <w:szCs w:val="24"/>
        </w:rPr>
        <w:t>et al.</w:t>
      </w:r>
      <w:r w:rsidRPr="00552EFC">
        <w:rPr>
          <w:rFonts w:ascii="Calibri" w:hAnsi="Calibri" w:cs="Calibri"/>
          <w:noProof/>
          <w:sz w:val="16"/>
          <w:szCs w:val="24"/>
        </w:rPr>
        <w:t xml:space="preserve"> Standardising the organisation of clinical equipment on surgical wards at North Bristol NHS Trust: a quality improvement initiative. </w:t>
      </w:r>
      <w:r w:rsidRPr="00552EFC">
        <w:rPr>
          <w:rFonts w:ascii="Calibri" w:hAnsi="Calibri" w:cs="Calibri"/>
          <w:i/>
          <w:iCs/>
          <w:noProof/>
          <w:sz w:val="16"/>
          <w:szCs w:val="24"/>
        </w:rPr>
        <w:t>BMJ Qual Improv reports</w:t>
      </w:r>
      <w:r w:rsidRPr="00552EFC">
        <w:rPr>
          <w:rFonts w:ascii="Calibri" w:hAnsi="Calibri" w:cs="Calibri"/>
          <w:noProof/>
          <w:sz w:val="16"/>
          <w:szCs w:val="24"/>
        </w:rPr>
        <w:t xml:space="preserve"> 2015;</w:t>
      </w:r>
      <w:r w:rsidRPr="00552EFC">
        <w:rPr>
          <w:rFonts w:ascii="Calibri" w:hAnsi="Calibri" w:cs="Calibri"/>
          <w:b/>
          <w:bCs/>
          <w:noProof/>
          <w:sz w:val="16"/>
          <w:szCs w:val="24"/>
        </w:rPr>
        <w:t>4</w:t>
      </w:r>
      <w:r w:rsidRPr="00552EFC">
        <w:rPr>
          <w:rFonts w:ascii="Calibri" w:hAnsi="Calibri" w:cs="Calibri"/>
          <w:noProof/>
          <w:sz w:val="16"/>
          <w:szCs w:val="24"/>
        </w:rPr>
        <w:t>:10.1136/bmjquality.u208308.w3441. eCollection 2015.</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114 </w:t>
      </w:r>
      <w:r w:rsidRPr="00552EFC">
        <w:rPr>
          <w:rFonts w:ascii="Calibri" w:hAnsi="Calibri" w:cs="Calibri"/>
          <w:noProof/>
          <w:sz w:val="16"/>
          <w:szCs w:val="24"/>
        </w:rPr>
        <w:tab/>
        <w:t xml:space="preserve">Wiemann CM, Hergenroeder AC, Bartley KA, </w:t>
      </w:r>
      <w:r w:rsidRPr="00552EFC">
        <w:rPr>
          <w:rFonts w:ascii="Calibri" w:hAnsi="Calibri" w:cs="Calibri"/>
          <w:i/>
          <w:iCs/>
          <w:noProof/>
          <w:sz w:val="16"/>
          <w:szCs w:val="24"/>
        </w:rPr>
        <w:t>et al.</w:t>
      </w:r>
      <w:r w:rsidRPr="00552EFC">
        <w:rPr>
          <w:rFonts w:ascii="Calibri" w:hAnsi="Calibri" w:cs="Calibri"/>
          <w:noProof/>
          <w:sz w:val="16"/>
          <w:szCs w:val="24"/>
        </w:rPr>
        <w:t xml:space="preserve"> Integrating an EMR-based Transition Planning Tool for CYSHCN at a Children’s Hospital: A Quality Improvement Project to Increase Provider Use and Satisfaction. </w:t>
      </w:r>
      <w:r w:rsidRPr="00552EFC">
        <w:rPr>
          <w:rFonts w:ascii="Calibri" w:hAnsi="Calibri" w:cs="Calibri"/>
          <w:i/>
          <w:iCs/>
          <w:noProof/>
          <w:sz w:val="16"/>
          <w:szCs w:val="24"/>
        </w:rPr>
        <w:t>J Pediatr Nurs</w:t>
      </w:r>
      <w:r w:rsidRPr="00552EFC">
        <w:rPr>
          <w:rFonts w:ascii="Calibri" w:hAnsi="Calibri" w:cs="Calibri"/>
          <w:noProof/>
          <w:sz w:val="16"/>
          <w:szCs w:val="24"/>
        </w:rPr>
        <w:t xml:space="preserve"> 2015;</w:t>
      </w:r>
      <w:r w:rsidRPr="00552EFC">
        <w:rPr>
          <w:rFonts w:ascii="Calibri" w:hAnsi="Calibri" w:cs="Calibri"/>
          <w:b/>
          <w:bCs/>
          <w:noProof/>
          <w:sz w:val="16"/>
          <w:szCs w:val="24"/>
        </w:rPr>
        <w:t>30</w:t>
      </w:r>
      <w:r w:rsidRPr="00552EFC">
        <w:rPr>
          <w:rFonts w:ascii="Calibri" w:hAnsi="Calibri" w:cs="Calibri"/>
          <w:noProof/>
          <w:sz w:val="16"/>
          <w:szCs w:val="24"/>
        </w:rPr>
        <w:t>:776–87.</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115 </w:t>
      </w:r>
      <w:r w:rsidRPr="00552EFC">
        <w:rPr>
          <w:rFonts w:ascii="Calibri" w:hAnsi="Calibri" w:cs="Calibri"/>
          <w:noProof/>
          <w:sz w:val="16"/>
          <w:szCs w:val="24"/>
        </w:rPr>
        <w:tab/>
        <w:t xml:space="preserve">Wittkugel E, Varughese A. Development of a nurse-assisted preanesthesia evaluation program for pediatric outpatient anesthesia. </w:t>
      </w:r>
      <w:r w:rsidRPr="00552EFC">
        <w:rPr>
          <w:rFonts w:ascii="Calibri" w:hAnsi="Calibri" w:cs="Calibri"/>
          <w:i/>
          <w:iCs/>
          <w:noProof/>
          <w:sz w:val="16"/>
          <w:szCs w:val="24"/>
        </w:rPr>
        <w:t>Paediatr Anaesth</w:t>
      </w:r>
      <w:r w:rsidRPr="00552EFC">
        <w:rPr>
          <w:rFonts w:ascii="Calibri" w:hAnsi="Calibri" w:cs="Calibri"/>
          <w:noProof/>
          <w:sz w:val="16"/>
          <w:szCs w:val="24"/>
        </w:rPr>
        <w:t xml:space="preserve"> 2015;</w:t>
      </w:r>
      <w:r w:rsidRPr="00552EFC">
        <w:rPr>
          <w:rFonts w:ascii="Calibri" w:hAnsi="Calibri" w:cs="Calibri"/>
          <w:b/>
          <w:bCs/>
          <w:noProof/>
          <w:sz w:val="16"/>
          <w:szCs w:val="24"/>
        </w:rPr>
        <w:t>25</w:t>
      </w:r>
      <w:r w:rsidRPr="00552EFC">
        <w:rPr>
          <w:rFonts w:ascii="Calibri" w:hAnsi="Calibri" w:cs="Calibri"/>
          <w:noProof/>
          <w:sz w:val="16"/>
          <w:szCs w:val="24"/>
        </w:rPr>
        <w:t>:719–26.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116 </w:t>
      </w:r>
      <w:r w:rsidRPr="00552EFC">
        <w:rPr>
          <w:rFonts w:ascii="Calibri" w:hAnsi="Calibri" w:cs="Calibri"/>
          <w:noProof/>
          <w:sz w:val="16"/>
          <w:szCs w:val="24"/>
        </w:rPr>
        <w:tab/>
        <w:t xml:space="preserve">Wrenn G, Kasiah F, Syed I. Using a self-service kiosk to identify behavioural health needs in a primary care clinic serving an urban, underserved population. </w:t>
      </w:r>
      <w:r w:rsidRPr="00552EFC">
        <w:rPr>
          <w:rFonts w:ascii="Calibri" w:hAnsi="Calibri" w:cs="Calibri"/>
          <w:i/>
          <w:iCs/>
          <w:noProof/>
          <w:sz w:val="16"/>
          <w:szCs w:val="24"/>
        </w:rPr>
        <w:t>J Innov Heal Informatics</w:t>
      </w:r>
      <w:r w:rsidRPr="00552EFC">
        <w:rPr>
          <w:rFonts w:ascii="Calibri" w:hAnsi="Calibri" w:cs="Calibri"/>
          <w:noProof/>
          <w:sz w:val="16"/>
          <w:szCs w:val="24"/>
        </w:rPr>
        <w:t xml:space="preserve"> 2015;</w:t>
      </w:r>
      <w:r w:rsidRPr="00552EFC">
        <w:rPr>
          <w:rFonts w:ascii="Calibri" w:hAnsi="Calibri" w:cs="Calibri"/>
          <w:b/>
          <w:bCs/>
          <w:noProof/>
          <w:sz w:val="16"/>
          <w:szCs w:val="24"/>
        </w:rPr>
        <w:t>22</w:t>
      </w:r>
      <w:r w:rsidRPr="00552EFC">
        <w:rPr>
          <w:rFonts w:ascii="Calibri" w:hAnsi="Calibri" w:cs="Calibri"/>
          <w:noProof/>
          <w:sz w:val="16"/>
          <w:szCs w:val="24"/>
        </w:rPr>
        <w:t>:323–8.</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117 </w:t>
      </w:r>
      <w:r w:rsidRPr="00552EFC">
        <w:rPr>
          <w:rFonts w:ascii="Calibri" w:hAnsi="Calibri" w:cs="Calibri"/>
          <w:noProof/>
          <w:sz w:val="16"/>
          <w:szCs w:val="24"/>
        </w:rPr>
        <w:tab/>
        <w:t xml:space="preserve">Wu S, Tyler A, Logsdon T, </w:t>
      </w:r>
      <w:r w:rsidRPr="00552EFC">
        <w:rPr>
          <w:rFonts w:ascii="Calibri" w:hAnsi="Calibri" w:cs="Calibri"/>
          <w:i/>
          <w:iCs/>
          <w:noProof/>
          <w:sz w:val="16"/>
          <w:szCs w:val="24"/>
        </w:rPr>
        <w:t>et al.</w:t>
      </w:r>
      <w:r w:rsidRPr="00552EFC">
        <w:rPr>
          <w:rFonts w:ascii="Calibri" w:hAnsi="Calibri" w:cs="Calibri"/>
          <w:noProof/>
          <w:sz w:val="16"/>
          <w:szCs w:val="24"/>
        </w:rPr>
        <w:t xml:space="preserve"> A Quality Improvement Collaborative to Improve the Discharge Process for Hospitalized Children. </w:t>
      </w:r>
      <w:r w:rsidRPr="00552EFC">
        <w:rPr>
          <w:rFonts w:ascii="Calibri" w:hAnsi="Calibri" w:cs="Calibri"/>
          <w:i/>
          <w:iCs/>
          <w:noProof/>
          <w:sz w:val="16"/>
          <w:szCs w:val="24"/>
        </w:rPr>
        <w:t>Pediatrics</w:t>
      </w:r>
      <w:r w:rsidRPr="00552EFC">
        <w:rPr>
          <w:rFonts w:ascii="Calibri" w:hAnsi="Calibri" w:cs="Calibri"/>
          <w:noProof/>
          <w:sz w:val="16"/>
          <w:szCs w:val="24"/>
        </w:rPr>
        <w:t xml:space="preserve"> 2016;</w:t>
      </w:r>
      <w:r w:rsidRPr="00552EFC">
        <w:rPr>
          <w:rFonts w:ascii="Calibri" w:hAnsi="Calibri" w:cs="Calibri"/>
          <w:b/>
          <w:bCs/>
          <w:noProof/>
          <w:sz w:val="16"/>
          <w:szCs w:val="24"/>
        </w:rPr>
        <w:t>138</w:t>
      </w:r>
      <w:r w:rsidRPr="00552EFC">
        <w:rPr>
          <w:rFonts w:ascii="Calibri" w:hAnsi="Calibri" w:cs="Calibri"/>
          <w:noProof/>
          <w:sz w:val="16"/>
          <w:szCs w:val="24"/>
        </w:rPr>
        <w:t>:e20143604–e20143604.</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lastRenderedPageBreak/>
        <w:t xml:space="preserve">118 </w:t>
      </w:r>
      <w:r w:rsidRPr="00552EFC">
        <w:rPr>
          <w:rFonts w:ascii="Calibri" w:hAnsi="Calibri" w:cs="Calibri"/>
          <w:noProof/>
          <w:sz w:val="16"/>
          <w:szCs w:val="24"/>
        </w:rPr>
        <w:tab/>
        <w:t xml:space="preserve">Yager P, Collins C, Blais C, </w:t>
      </w:r>
      <w:r w:rsidRPr="00552EFC">
        <w:rPr>
          <w:rFonts w:ascii="Calibri" w:hAnsi="Calibri" w:cs="Calibri"/>
          <w:i/>
          <w:iCs/>
          <w:noProof/>
          <w:sz w:val="16"/>
          <w:szCs w:val="24"/>
        </w:rPr>
        <w:t>et al.</w:t>
      </w:r>
      <w:r w:rsidRPr="00552EFC">
        <w:rPr>
          <w:rFonts w:ascii="Calibri" w:hAnsi="Calibri" w:cs="Calibri"/>
          <w:noProof/>
          <w:sz w:val="16"/>
          <w:szCs w:val="24"/>
        </w:rPr>
        <w:t xml:space="preserve"> Quality improvement utilizing in-situ simulation for a dual-hospital pediatric code response team. </w:t>
      </w:r>
      <w:r w:rsidRPr="00552EFC">
        <w:rPr>
          <w:rFonts w:ascii="Calibri" w:hAnsi="Calibri" w:cs="Calibri"/>
          <w:i/>
          <w:iCs/>
          <w:noProof/>
          <w:sz w:val="16"/>
          <w:szCs w:val="24"/>
        </w:rPr>
        <w:t>Int J Pediatr Otorhinolaryngol</w:t>
      </w:r>
      <w:r w:rsidRPr="00552EFC">
        <w:rPr>
          <w:rFonts w:ascii="Calibri" w:hAnsi="Calibri" w:cs="Calibri"/>
          <w:noProof/>
          <w:sz w:val="16"/>
          <w:szCs w:val="24"/>
        </w:rPr>
        <w:t xml:space="preserve"> 2016;</w:t>
      </w:r>
      <w:r w:rsidRPr="00552EFC">
        <w:rPr>
          <w:rFonts w:ascii="Calibri" w:hAnsi="Calibri" w:cs="Calibri"/>
          <w:b/>
          <w:bCs/>
          <w:noProof/>
          <w:sz w:val="16"/>
          <w:szCs w:val="24"/>
        </w:rPr>
        <w:t>88</w:t>
      </w:r>
      <w:r w:rsidRPr="00552EFC">
        <w:rPr>
          <w:rFonts w:ascii="Calibri" w:hAnsi="Calibri" w:cs="Calibri"/>
          <w:noProof/>
          <w:sz w:val="16"/>
          <w:szCs w:val="24"/>
        </w:rPr>
        <w:t>:42–6.</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szCs w:val="24"/>
        </w:rPr>
      </w:pPr>
      <w:r w:rsidRPr="00552EFC">
        <w:rPr>
          <w:rFonts w:ascii="Calibri" w:hAnsi="Calibri" w:cs="Calibri"/>
          <w:noProof/>
          <w:sz w:val="16"/>
          <w:szCs w:val="24"/>
        </w:rPr>
        <w:t xml:space="preserve">119 </w:t>
      </w:r>
      <w:r w:rsidRPr="00552EFC">
        <w:rPr>
          <w:rFonts w:ascii="Calibri" w:hAnsi="Calibri" w:cs="Calibri"/>
          <w:noProof/>
          <w:sz w:val="16"/>
          <w:szCs w:val="24"/>
        </w:rPr>
        <w:tab/>
        <w:t xml:space="preserve">Yelland J, Biro MA, Dawson W, </w:t>
      </w:r>
      <w:r w:rsidRPr="00552EFC">
        <w:rPr>
          <w:rFonts w:ascii="Calibri" w:hAnsi="Calibri" w:cs="Calibri"/>
          <w:i/>
          <w:iCs/>
          <w:noProof/>
          <w:sz w:val="16"/>
          <w:szCs w:val="24"/>
        </w:rPr>
        <w:t>et al.</w:t>
      </w:r>
      <w:r w:rsidRPr="00552EFC">
        <w:rPr>
          <w:rFonts w:ascii="Calibri" w:hAnsi="Calibri" w:cs="Calibri"/>
          <w:noProof/>
          <w:sz w:val="16"/>
          <w:szCs w:val="24"/>
        </w:rPr>
        <w:t xml:space="preserve"> Bridging the language gap: A co-designed quality improvement project to engage professional interpreters for women duing labour. </w:t>
      </w:r>
      <w:r w:rsidRPr="00552EFC">
        <w:rPr>
          <w:rFonts w:ascii="Calibri" w:hAnsi="Calibri" w:cs="Calibri"/>
          <w:i/>
          <w:iCs/>
          <w:noProof/>
          <w:sz w:val="16"/>
          <w:szCs w:val="24"/>
        </w:rPr>
        <w:t>Aust Heal Rev</w:t>
      </w:r>
      <w:r w:rsidRPr="00552EFC">
        <w:rPr>
          <w:rFonts w:ascii="Calibri" w:hAnsi="Calibri" w:cs="Calibri"/>
          <w:noProof/>
          <w:sz w:val="16"/>
          <w:szCs w:val="24"/>
        </w:rPr>
        <w:t xml:space="preserve"> 2017;</w:t>
      </w:r>
      <w:r w:rsidRPr="00552EFC">
        <w:rPr>
          <w:rFonts w:ascii="Calibri" w:hAnsi="Calibri" w:cs="Calibri"/>
          <w:b/>
          <w:bCs/>
          <w:noProof/>
          <w:sz w:val="16"/>
          <w:szCs w:val="24"/>
        </w:rPr>
        <w:t>41</w:t>
      </w:r>
      <w:r w:rsidRPr="00552EFC">
        <w:rPr>
          <w:rFonts w:ascii="Calibri" w:hAnsi="Calibri" w:cs="Calibri"/>
          <w:noProof/>
          <w:sz w:val="16"/>
          <w:szCs w:val="24"/>
        </w:rPr>
        <w:t>:499–504.</w:t>
      </w:r>
    </w:p>
    <w:p w:rsidR="00552EFC" w:rsidRPr="00552EFC" w:rsidRDefault="00552EFC" w:rsidP="00552EFC">
      <w:pPr>
        <w:widowControl w:val="0"/>
        <w:autoSpaceDE w:val="0"/>
        <w:autoSpaceDN w:val="0"/>
        <w:adjustRightInd w:val="0"/>
        <w:spacing w:line="240" w:lineRule="auto"/>
        <w:ind w:left="640" w:hanging="640"/>
        <w:rPr>
          <w:rFonts w:ascii="Calibri" w:hAnsi="Calibri" w:cs="Calibri"/>
          <w:noProof/>
          <w:sz w:val="16"/>
        </w:rPr>
      </w:pPr>
      <w:r w:rsidRPr="00552EFC">
        <w:rPr>
          <w:rFonts w:ascii="Calibri" w:hAnsi="Calibri" w:cs="Calibri"/>
          <w:noProof/>
          <w:sz w:val="16"/>
          <w:szCs w:val="24"/>
        </w:rPr>
        <w:t xml:space="preserve">120 </w:t>
      </w:r>
      <w:r w:rsidRPr="00552EFC">
        <w:rPr>
          <w:rFonts w:ascii="Calibri" w:hAnsi="Calibri" w:cs="Calibri"/>
          <w:noProof/>
          <w:sz w:val="16"/>
          <w:szCs w:val="24"/>
        </w:rPr>
        <w:tab/>
        <w:t xml:space="preserve">Zuccarelli B, Coffman KA. Reducing after-hours prescription refill requests. </w:t>
      </w:r>
      <w:r w:rsidRPr="00552EFC">
        <w:rPr>
          <w:rFonts w:ascii="Calibri" w:hAnsi="Calibri" w:cs="Calibri"/>
          <w:i/>
          <w:iCs/>
          <w:noProof/>
          <w:sz w:val="16"/>
          <w:szCs w:val="24"/>
        </w:rPr>
        <w:t>Neurol Clin Pract</w:t>
      </w:r>
      <w:r w:rsidRPr="00552EFC">
        <w:rPr>
          <w:rFonts w:ascii="Calibri" w:hAnsi="Calibri" w:cs="Calibri"/>
          <w:noProof/>
          <w:sz w:val="16"/>
          <w:szCs w:val="24"/>
        </w:rPr>
        <w:t xml:space="preserve"> 2016;</w:t>
      </w:r>
      <w:r w:rsidRPr="00552EFC">
        <w:rPr>
          <w:rFonts w:ascii="Calibri" w:hAnsi="Calibri" w:cs="Calibri"/>
          <w:b/>
          <w:bCs/>
          <w:noProof/>
          <w:sz w:val="16"/>
          <w:szCs w:val="24"/>
        </w:rPr>
        <w:t>6</w:t>
      </w:r>
      <w:r w:rsidRPr="00552EFC">
        <w:rPr>
          <w:rFonts w:ascii="Calibri" w:hAnsi="Calibri" w:cs="Calibri"/>
          <w:noProof/>
          <w:sz w:val="16"/>
          <w:szCs w:val="24"/>
        </w:rPr>
        <w:t>:429–32.</w:t>
      </w:r>
    </w:p>
    <w:p w:rsidR="00645D41" w:rsidRPr="00FE61FE" w:rsidRDefault="00915F6B" w:rsidP="00605098">
      <w:pPr>
        <w:rPr>
          <w:sz w:val="16"/>
          <w:szCs w:val="16"/>
        </w:rPr>
      </w:pPr>
      <w:r w:rsidRPr="00FE61FE">
        <w:rPr>
          <w:sz w:val="16"/>
          <w:szCs w:val="16"/>
        </w:rPr>
        <w:fldChar w:fldCharType="end"/>
      </w:r>
    </w:p>
    <w:p w:rsidR="00240010" w:rsidRPr="00FE61FE" w:rsidRDefault="00240010" w:rsidP="00E324A4">
      <w:pPr>
        <w:rPr>
          <w:sz w:val="16"/>
          <w:szCs w:val="16"/>
        </w:rPr>
      </w:pPr>
    </w:p>
    <w:sectPr w:rsidR="00240010" w:rsidRPr="00FE61FE" w:rsidSect="00240010">
      <w:pgSz w:w="16838" w:h="11906" w:orient="landscape"/>
      <w:pgMar w:top="0" w:right="170" w:bottom="0"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47"/>
  </w:docVars>
  <w:rsids>
    <w:rsidRoot w:val="00707808"/>
    <w:rsid w:val="00020E87"/>
    <w:rsid w:val="000B7C99"/>
    <w:rsid w:val="000C5CA8"/>
    <w:rsid w:val="001451CF"/>
    <w:rsid w:val="00184853"/>
    <w:rsid w:val="001C54B0"/>
    <w:rsid w:val="00212120"/>
    <w:rsid w:val="00240010"/>
    <w:rsid w:val="00354125"/>
    <w:rsid w:val="00395121"/>
    <w:rsid w:val="003F0B40"/>
    <w:rsid w:val="004C60AE"/>
    <w:rsid w:val="004F3749"/>
    <w:rsid w:val="0050089F"/>
    <w:rsid w:val="00552EFC"/>
    <w:rsid w:val="00566BD9"/>
    <w:rsid w:val="00605098"/>
    <w:rsid w:val="00645D41"/>
    <w:rsid w:val="00650D19"/>
    <w:rsid w:val="0066479B"/>
    <w:rsid w:val="00680333"/>
    <w:rsid w:val="00707808"/>
    <w:rsid w:val="00726B7E"/>
    <w:rsid w:val="00912358"/>
    <w:rsid w:val="00915F6B"/>
    <w:rsid w:val="00925FF9"/>
    <w:rsid w:val="009A13A8"/>
    <w:rsid w:val="009B1E63"/>
    <w:rsid w:val="009C1942"/>
    <w:rsid w:val="009E2835"/>
    <w:rsid w:val="009E2F5A"/>
    <w:rsid w:val="00A912A6"/>
    <w:rsid w:val="00B03EA5"/>
    <w:rsid w:val="00B8294A"/>
    <w:rsid w:val="00BC1A16"/>
    <w:rsid w:val="00BE7B49"/>
    <w:rsid w:val="00C66A41"/>
    <w:rsid w:val="00CC0B09"/>
    <w:rsid w:val="00CD4777"/>
    <w:rsid w:val="00D244B0"/>
    <w:rsid w:val="00D30D9F"/>
    <w:rsid w:val="00DC1936"/>
    <w:rsid w:val="00E324A4"/>
    <w:rsid w:val="00FE61FE"/>
  </w:rsids>
  <m:mathPr>
    <m:mathFont m:val="Cambria Math"/>
    <m:brkBin m:val="before"/>
    <m:brkBinSub m:val="--"/>
    <m:smallFrac m:val="0"/>
    <m:dispDef/>
    <m:lMargin m:val="0"/>
    <m:rMargin m:val="0"/>
    <m:defJc m:val="centerGroup"/>
    <m:wrapIndent m:val="1440"/>
    <m:intLim m:val="subSup"/>
    <m:naryLim m:val="undOvr"/>
  </m:mathPr>
  <w:themeFontLang w:val="da-DK"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03EA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45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726B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03EA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45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726B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683885">
      <w:bodyDiv w:val="1"/>
      <w:marLeft w:val="0"/>
      <w:marRight w:val="0"/>
      <w:marTop w:val="0"/>
      <w:marBottom w:val="0"/>
      <w:divBdr>
        <w:top w:val="none" w:sz="0" w:space="0" w:color="auto"/>
        <w:left w:val="none" w:sz="0" w:space="0" w:color="auto"/>
        <w:bottom w:val="none" w:sz="0" w:space="0" w:color="auto"/>
        <w:right w:val="none" w:sz="0" w:space="0" w:color="auto"/>
      </w:divBdr>
      <w:divsChild>
        <w:div w:id="598104062">
          <w:marLeft w:val="0"/>
          <w:marRight w:val="0"/>
          <w:marTop w:val="0"/>
          <w:marBottom w:val="0"/>
          <w:divBdr>
            <w:top w:val="none" w:sz="0" w:space="0" w:color="auto"/>
            <w:left w:val="none" w:sz="0" w:space="0" w:color="auto"/>
            <w:bottom w:val="none" w:sz="0" w:space="0" w:color="auto"/>
            <w:right w:val="none" w:sz="0" w:space="0" w:color="auto"/>
          </w:divBdr>
          <w:divsChild>
            <w:div w:id="1081562272">
              <w:marLeft w:val="0"/>
              <w:marRight w:val="0"/>
              <w:marTop w:val="0"/>
              <w:marBottom w:val="0"/>
              <w:divBdr>
                <w:top w:val="none" w:sz="0" w:space="0" w:color="auto"/>
                <w:left w:val="none" w:sz="0" w:space="0" w:color="auto"/>
                <w:bottom w:val="none" w:sz="0" w:space="0" w:color="auto"/>
                <w:right w:val="none" w:sz="0" w:space="0" w:color="auto"/>
              </w:divBdr>
            </w:div>
          </w:divsChild>
        </w:div>
        <w:div w:id="1861434060">
          <w:marLeft w:val="0"/>
          <w:marRight w:val="0"/>
          <w:marTop w:val="0"/>
          <w:marBottom w:val="0"/>
          <w:divBdr>
            <w:top w:val="none" w:sz="0" w:space="0" w:color="auto"/>
            <w:left w:val="none" w:sz="0" w:space="0" w:color="auto"/>
            <w:bottom w:val="none" w:sz="0" w:space="0" w:color="auto"/>
            <w:right w:val="none" w:sz="0" w:space="0" w:color="auto"/>
          </w:divBdr>
          <w:divsChild>
            <w:div w:id="1598824286">
              <w:marLeft w:val="0"/>
              <w:marRight w:val="0"/>
              <w:marTop w:val="0"/>
              <w:marBottom w:val="0"/>
              <w:divBdr>
                <w:top w:val="none" w:sz="0" w:space="0" w:color="auto"/>
                <w:left w:val="none" w:sz="0" w:space="0" w:color="auto"/>
                <w:bottom w:val="none" w:sz="0" w:space="0" w:color="auto"/>
                <w:right w:val="none" w:sz="0" w:space="0" w:color="auto"/>
              </w:divBdr>
            </w:div>
          </w:divsChild>
        </w:div>
        <w:div w:id="654377686">
          <w:marLeft w:val="0"/>
          <w:marRight w:val="0"/>
          <w:marTop w:val="0"/>
          <w:marBottom w:val="0"/>
          <w:divBdr>
            <w:top w:val="none" w:sz="0" w:space="0" w:color="auto"/>
            <w:left w:val="none" w:sz="0" w:space="0" w:color="auto"/>
            <w:bottom w:val="none" w:sz="0" w:space="0" w:color="auto"/>
            <w:right w:val="none" w:sz="0" w:space="0" w:color="auto"/>
          </w:divBdr>
          <w:divsChild>
            <w:div w:id="1136875600">
              <w:marLeft w:val="0"/>
              <w:marRight w:val="0"/>
              <w:marTop w:val="0"/>
              <w:marBottom w:val="0"/>
              <w:divBdr>
                <w:top w:val="none" w:sz="0" w:space="0" w:color="auto"/>
                <w:left w:val="none" w:sz="0" w:space="0" w:color="auto"/>
                <w:bottom w:val="none" w:sz="0" w:space="0" w:color="auto"/>
                <w:right w:val="none" w:sz="0" w:space="0" w:color="auto"/>
              </w:divBdr>
            </w:div>
          </w:divsChild>
        </w:div>
        <w:div w:id="1584803730">
          <w:marLeft w:val="0"/>
          <w:marRight w:val="0"/>
          <w:marTop w:val="0"/>
          <w:marBottom w:val="0"/>
          <w:divBdr>
            <w:top w:val="none" w:sz="0" w:space="0" w:color="auto"/>
            <w:left w:val="none" w:sz="0" w:space="0" w:color="auto"/>
            <w:bottom w:val="none" w:sz="0" w:space="0" w:color="auto"/>
            <w:right w:val="none" w:sz="0" w:space="0" w:color="auto"/>
          </w:divBdr>
          <w:divsChild>
            <w:div w:id="1255748367">
              <w:marLeft w:val="0"/>
              <w:marRight w:val="0"/>
              <w:marTop w:val="0"/>
              <w:marBottom w:val="0"/>
              <w:divBdr>
                <w:top w:val="none" w:sz="0" w:space="0" w:color="auto"/>
                <w:left w:val="none" w:sz="0" w:space="0" w:color="auto"/>
                <w:bottom w:val="none" w:sz="0" w:space="0" w:color="auto"/>
                <w:right w:val="none" w:sz="0" w:space="0" w:color="auto"/>
              </w:divBdr>
            </w:div>
          </w:divsChild>
        </w:div>
        <w:div w:id="857692490">
          <w:marLeft w:val="0"/>
          <w:marRight w:val="0"/>
          <w:marTop w:val="0"/>
          <w:marBottom w:val="0"/>
          <w:divBdr>
            <w:top w:val="none" w:sz="0" w:space="0" w:color="auto"/>
            <w:left w:val="none" w:sz="0" w:space="0" w:color="auto"/>
            <w:bottom w:val="none" w:sz="0" w:space="0" w:color="auto"/>
            <w:right w:val="none" w:sz="0" w:space="0" w:color="auto"/>
          </w:divBdr>
          <w:divsChild>
            <w:div w:id="59134423">
              <w:marLeft w:val="0"/>
              <w:marRight w:val="0"/>
              <w:marTop w:val="0"/>
              <w:marBottom w:val="0"/>
              <w:divBdr>
                <w:top w:val="none" w:sz="0" w:space="0" w:color="auto"/>
                <w:left w:val="none" w:sz="0" w:space="0" w:color="auto"/>
                <w:bottom w:val="none" w:sz="0" w:space="0" w:color="auto"/>
                <w:right w:val="none" w:sz="0" w:space="0" w:color="auto"/>
              </w:divBdr>
            </w:div>
          </w:divsChild>
        </w:div>
        <w:div w:id="692654331">
          <w:marLeft w:val="0"/>
          <w:marRight w:val="0"/>
          <w:marTop w:val="0"/>
          <w:marBottom w:val="0"/>
          <w:divBdr>
            <w:top w:val="none" w:sz="0" w:space="0" w:color="auto"/>
            <w:left w:val="none" w:sz="0" w:space="0" w:color="auto"/>
            <w:bottom w:val="none" w:sz="0" w:space="0" w:color="auto"/>
            <w:right w:val="none" w:sz="0" w:space="0" w:color="auto"/>
          </w:divBdr>
          <w:divsChild>
            <w:div w:id="164900051">
              <w:marLeft w:val="0"/>
              <w:marRight w:val="0"/>
              <w:marTop w:val="0"/>
              <w:marBottom w:val="0"/>
              <w:divBdr>
                <w:top w:val="none" w:sz="0" w:space="0" w:color="auto"/>
                <w:left w:val="none" w:sz="0" w:space="0" w:color="auto"/>
                <w:bottom w:val="none" w:sz="0" w:space="0" w:color="auto"/>
                <w:right w:val="none" w:sz="0" w:space="0" w:color="auto"/>
              </w:divBdr>
            </w:div>
          </w:divsChild>
        </w:div>
        <w:div w:id="793717179">
          <w:marLeft w:val="0"/>
          <w:marRight w:val="0"/>
          <w:marTop w:val="0"/>
          <w:marBottom w:val="0"/>
          <w:divBdr>
            <w:top w:val="none" w:sz="0" w:space="0" w:color="auto"/>
            <w:left w:val="none" w:sz="0" w:space="0" w:color="auto"/>
            <w:bottom w:val="none" w:sz="0" w:space="0" w:color="auto"/>
            <w:right w:val="none" w:sz="0" w:space="0" w:color="auto"/>
          </w:divBdr>
          <w:divsChild>
            <w:div w:id="1782844468">
              <w:marLeft w:val="0"/>
              <w:marRight w:val="0"/>
              <w:marTop w:val="0"/>
              <w:marBottom w:val="0"/>
              <w:divBdr>
                <w:top w:val="none" w:sz="0" w:space="0" w:color="auto"/>
                <w:left w:val="none" w:sz="0" w:space="0" w:color="auto"/>
                <w:bottom w:val="none" w:sz="0" w:space="0" w:color="auto"/>
                <w:right w:val="none" w:sz="0" w:space="0" w:color="auto"/>
              </w:divBdr>
            </w:div>
          </w:divsChild>
        </w:div>
        <w:div w:id="577247326">
          <w:marLeft w:val="0"/>
          <w:marRight w:val="0"/>
          <w:marTop w:val="0"/>
          <w:marBottom w:val="0"/>
          <w:divBdr>
            <w:top w:val="none" w:sz="0" w:space="0" w:color="auto"/>
            <w:left w:val="none" w:sz="0" w:space="0" w:color="auto"/>
            <w:bottom w:val="none" w:sz="0" w:space="0" w:color="auto"/>
            <w:right w:val="none" w:sz="0" w:space="0" w:color="auto"/>
          </w:divBdr>
          <w:divsChild>
            <w:div w:id="1972243968">
              <w:marLeft w:val="0"/>
              <w:marRight w:val="0"/>
              <w:marTop w:val="0"/>
              <w:marBottom w:val="0"/>
              <w:divBdr>
                <w:top w:val="none" w:sz="0" w:space="0" w:color="auto"/>
                <w:left w:val="none" w:sz="0" w:space="0" w:color="auto"/>
                <w:bottom w:val="none" w:sz="0" w:space="0" w:color="auto"/>
                <w:right w:val="none" w:sz="0" w:space="0" w:color="auto"/>
              </w:divBdr>
            </w:div>
          </w:divsChild>
        </w:div>
        <w:div w:id="2083411342">
          <w:marLeft w:val="0"/>
          <w:marRight w:val="0"/>
          <w:marTop w:val="0"/>
          <w:marBottom w:val="0"/>
          <w:divBdr>
            <w:top w:val="none" w:sz="0" w:space="0" w:color="auto"/>
            <w:left w:val="none" w:sz="0" w:space="0" w:color="auto"/>
            <w:bottom w:val="none" w:sz="0" w:space="0" w:color="auto"/>
            <w:right w:val="none" w:sz="0" w:space="0" w:color="auto"/>
          </w:divBdr>
          <w:divsChild>
            <w:div w:id="1610697409">
              <w:marLeft w:val="0"/>
              <w:marRight w:val="0"/>
              <w:marTop w:val="0"/>
              <w:marBottom w:val="0"/>
              <w:divBdr>
                <w:top w:val="none" w:sz="0" w:space="0" w:color="auto"/>
                <w:left w:val="none" w:sz="0" w:space="0" w:color="auto"/>
                <w:bottom w:val="none" w:sz="0" w:space="0" w:color="auto"/>
                <w:right w:val="none" w:sz="0" w:space="0" w:color="auto"/>
              </w:divBdr>
            </w:div>
          </w:divsChild>
        </w:div>
        <w:div w:id="371074065">
          <w:marLeft w:val="0"/>
          <w:marRight w:val="0"/>
          <w:marTop w:val="0"/>
          <w:marBottom w:val="0"/>
          <w:divBdr>
            <w:top w:val="none" w:sz="0" w:space="0" w:color="auto"/>
            <w:left w:val="none" w:sz="0" w:space="0" w:color="auto"/>
            <w:bottom w:val="none" w:sz="0" w:space="0" w:color="auto"/>
            <w:right w:val="none" w:sz="0" w:space="0" w:color="auto"/>
          </w:divBdr>
          <w:divsChild>
            <w:div w:id="1551527864">
              <w:marLeft w:val="0"/>
              <w:marRight w:val="0"/>
              <w:marTop w:val="0"/>
              <w:marBottom w:val="0"/>
              <w:divBdr>
                <w:top w:val="none" w:sz="0" w:space="0" w:color="auto"/>
                <w:left w:val="none" w:sz="0" w:space="0" w:color="auto"/>
                <w:bottom w:val="none" w:sz="0" w:space="0" w:color="auto"/>
                <w:right w:val="none" w:sz="0" w:space="0" w:color="auto"/>
              </w:divBdr>
            </w:div>
          </w:divsChild>
        </w:div>
        <w:div w:id="16396319">
          <w:marLeft w:val="0"/>
          <w:marRight w:val="0"/>
          <w:marTop w:val="0"/>
          <w:marBottom w:val="0"/>
          <w:divBdr>
            <w:top w:val="none" w:sz="0" w:space="0" w:color="auto"/>
            <w:left w:val="none" w:sz="0" w:space="0" w:color="auto"/>
            <w:bottom w:val="none" w:sz="0" w:space="0" w:color="auto"/>
            <w:right w:val="none" w:sz="0" w:space="0" w:color="auto"/>
          </w:divBdr>
          <w:divsChild>
            <w:div w:id="662510804">
              <w:marLeft w:val="0"/>
              <w:marRight w:val="0"/>
              <w:marTop w:val="0"/>
              <w:marBottom w:val="0"/>
              <w:divBdr>
                <w:top w:val="none" w:sz="0" w:space="0" w:color="auto"/>
                <w:left w:val="none" w:sz="0" w:space="0" w:color="auto"/>
                <w:bottom w:val="none" w:sz="0" w:space="0" w:color="auto"/>
                <w:right w:val="none" w:sz="0" w:space="0" w:color="auto"/>
              </w:divBdr>
            </w:div>
          </w:divsChild>
        </w:div>
        <w:div w:id="575551697">
          <w:marLeft w:val="0"/>
          <w:marRight w:val="0"/>
          <w:marTop w:val="0"/>
          <w:marBottom w:val="0"/>
          <w:divBdr>
            <w:top w:val="none" w:sz="0" w:space="0" w:color="auto"/>
            <w:left w:val="none" w:sz="0" w:space="0" w:color="auto"/>
            <w:bottom w:val="none" w:sz="0" w:space="0" w:color="auto"/>
            <w:right w:val="none" w:sz="0" w:space="0" w:color="auto"/>
          </w:divBdr>
          <w:divsChild>
            <w:div w:id="796072823">
              <w:marLeft w:val="0"/>
              <w:marRight w:val="0"/>
              <w:marTop w:val="0"/>
              <w:marBottom w:val="0"/>
              <w:divBdr>
                <w:top w:val="none" w:sz="0" w:space="0" w:color="auto"/>
                <w:left w:val="none" w:sz="0" w:space="0" w:color="auto"/>
                <w:bottom w:val="none" w:sz="0" w:space="0" w:color="auto"/>
                <w:right w:val="none" w:sz="0" w:space="0" w:color="auto"/>
              </w:divBdr>
            </w:div>
          </w:divsChild>
        </w:div>
        <w:div w:id="1368600383">
          <w:marLeft w:val="0"/>
          <w:marRight w:val="0"/>
          <w:marTop w:val="0"/>
          <w:marBottom w:val="0"/>
          <w:divBdr>
            <w:top w:val="none" w:sz="0" w:space="0" w:color="auto"/>
            <w:left w:val="none" w:sz="0" w:space="0" w:color="auto"/>
            <w:bottom w:val="none" w:sz="0" w:space="0" w:color="auto"/>
            <w:right w:val="none" w:sz="0" w:space="0" w:color="auto"/>
          </w:divBdr>
          <w:divsChild>
            <w:div w:id="1388528256">
              <w:marLeft w:val="0"/>
              <w:marRight w:val="0"/>
              <w:marTop w:val="0"/>
              <w:marBottom w:val="0"/>
              <w:divBdr>
                <w:top w:val="none" w:sz="0" w:space="0" w:color="auto"/>
                <w:left w:val="none" w:sz="0" w:space="0" w:color="auto"/>
                <w:bottom w:val="none" w:sz="0" w:space="0" w:color="auto"/>
                <w:right w:val="none" w:sz="0" w:space="0" w:color="auto"/>
              </w:divBdr>
            </w:div>
          </w:divsChild>
        </w:div>
        <w:div w:id="1684045708">
          <w:marLeft w:val="0"/>
          <w:marRight w:val="0"/>
          <w:marTop w:val="0"/>
          <w:marBottom w:val="0"/>
          <w:divBdr>
            <w:top w:val="none" w:sz="0" w:space="0" w:color="auto"/>
            <w:left w:val="none" w:sz="0" w:space="0" w:color="auto"/>
            <w:bottom w:val="none" w:sz="0" w:space="0" w:color="auto"/>
            <w:right w:val="none" w:sz="0" w:space="0" w:color="auto"/>
          </w:divBdr>
          <w:divsChild>
            <w:div w:id="428504418">
              <w:marLeft w:val="0"/>
              <w:marRight w:val="0"/>
              <w:marTop w:val="0"/>
              <w:marBottom w:val="0"/>
              <w:divBdr>
                <w:top w:val="none" w:sz="0" w:space="0" w:color="auto"/>
                <w:left w:val="none" w:sz="0" w:space="0" w:color="auto"/>
                <w:bottom w:val="none" w:sz="0" w:space="0" w:color="auto"/>
                <w:right w:val="none" w:sz="0" w:space="0" w:color="auto"/>
              </w:divBdr>
            </w:div>
          </w:divsChild>
        </w:div>
        <w:div w:id="312292840">
          <w:marLeft w:val="0"/>
          <w:marRight w:val="0"/>
          <w:marTop w:val="0"/>
          <w:marBottom w:val="0"/>
          <w:divBdr>
            <w:top w:val="none" w:sz="0" w:space="0" w:color="auto"/>
            <w:left w:val="none" w:sz="0" w:space="0" w:color="auto"/>
            <w:bottom w:val="none" w:sz="0" w:space="0" w:color="auto"/>
            <w:right w:val="none" w:sz="0" w:space="0" w:color="auto"/>
          </w:divBdr>
          <w:divsChild>
            <w:div w:id="1106777150">
              <w:marLeft w:val="0"/>
              <w:marRight w:val="0"/>
              <w:marTop w:val="0"/>
              <w:marBottom w:val="0"/>
              <w:divBdr>
                <w:top w:val="none" w:sz="0" w:space="0" w:color="auto"/>
                <w:left w:val="none" w:sz="0" w:space="0" w:color="auto"/>
                <w:bottom w:val="none" w:sz="0" w:space="0" w:color="auto"/>
                <w:right w:val="none" w:sz="0" w:space="0" w:color="auto"/>
              </w:divBdr>
            </w:div>
          </w:divsChild>
        </w:div>
        <w:div w:id="800808979">
          <w:marLeft w:val="0"/>
          <w:marRight w:val="0"/>
          <w:marTop w:val="0"/>
          <w:marBottom w:val="0"/>
          <w:divBdr>
            <w:top w:val="none" w:sz="0" w:space="0" w:color="auto"/>
            <w:left w:val="none" w:sz="0" w:space="0" w:color="auto"/>
            <w:bottom w:val="none" w:sz="0" w:space="0" w:color="auto"/>
            <w:right w:val="none" w:sz="0" w:space="0" w:color="auto"/>
          </w:divBdr>
          <w:divsChild>
            <w:div w:id="347172439">
              <w:marLeft w:val="0"/>
              <w:marRight w:val="0"/>
              <w:marTop w:val="0"/>
              <w:marBottom w:val="0"/>
              <w:divBdr>
                <w:top w:val="none" w:sz="0" w:space="0" w:color="auto"/>
                <w:left w:val="none" w:sz="0" w:space="0" w:color="auto"/>
                <w:bottom w:val="none" w:sz="0" w:space="0" w:color="auto"/>
                <w:right w:val="none" w:sz="0" w:space="0" w:color="auto"/>
              </w:divBdr>
            </w:div>
          </w:divsChild>
        </w:div>
        <w:div w:id="835463130">
          <w:marLeft w:val="0"/>
          <w:marRight w:val="0"/>
          <w:marTop w:val="0"/>
          <w:marBottom w:val="0"/>
          <w:divBdr>
            <w:top w:val="none" w:sz="0" w:space="0" w:color="auto"/>
            <w:left w:val="none" w:sz="0" w:space="0" w:color="auto"/>
            <w:bottom w:val="none" w:sz="0" w:space="0" w:color="auto"/>
            <w:right w:val="none" w:sz="0" w:space="0" w:color="auto"/>
          </w:divBdr>
          <w:divsChild>
            <w:div w:id="1736733038">
              <w:marLeft w:val="0"/>
              <w:marRight w:val="0"/>
              <w:marTop w:val="0"/>
              <w:marBottom w:val="0"/>
              <w:divBdr>
                <w:top w:val="none" w:sz="0" w:space="0" w:color="auto"/>
                <w:left w:val="none" w:sz="0" w:space="0" w:color="auto"/>
                <w:bottom w:val="none" w:sz="0" w:space="0" w:color="auto"/>
                <w:right w:val="none" w:sz="0" w:space="0" w:color="auto"/>
              </w:divBdr>
            </w:div>
          </w:divsChild>
        </w:div>
        <w:div w:id="2139109118">
          <w:marLeft w:val="0"/>
          <w:marRight w:val="0"/>
          <w:marTop w:val="0"/>
          <w:marBottom w:val="0"/>
          <w:divBdr>
            <w:top w:val="none" w:sz="0" w:space="0" w:color="auto"/>
            <w:left w:val="none" w:sz="0" w:space="0" w:color="auto"/>
            <w:bottom w:val="none" w:sz="0" w:space="0" w:color="auto"/>
            <w:right w:val="none" w:sz="0" w:space="0" w:color="auto"/>
          </w:divBdr>
          <w:divsChild>
            <w:div w:id="1510372370">
              <w:marLeft w:val="0"/>
              <w:marRight w:val="0"/>
              <w:marTop w:val="0"/>
              <w:marBottom w:val="0"/>
              <w:divBdr>
                <w:top w:val="none" w:sz="0" w:space="0" w:color="auto"/>
                <w:left w:val="none" w:sz="0" w:space="0" w:color="auto"/>
                <w:bottom w:val="none" w:sz="0" w:space="0" w:color="auto"/>
                <w:right w:val="none" w:sz="0" w:space="0" w:color="auto"/>
              </w:divBdr>
            </w:div>
          </w:divsChild>
        </w:div>
        <w:div w:id="1674605698">
          <w:marLeft w:val="0"/>
          <w:marRight w:val="0"/>
          <w:marTop w:val="0"/>
          <w:marBottom w:val="0"/>
          <w:divBdr>
            <w:top w:val="none" w:sz="0" w:space="0" w:color="auto"/>
            <w:left w:val="none" w:sz="0" w:space="0" w:color="auto"/>
            <w:bottom w:val="none" w:sz="0" w:space="0" w:color="auto"/>
            <w:right w:val="none" w:sz="0" w:space="0" w:color="auto"/>
          </w:divBdr>
          <w:divsChild>
            <w:div w:id="1467817688">
              <w:marLeft w:val="0"/>
              <w:marRight w:val="0"/>
              <w:marTop w:val="0"/>
              <w:marBottom w:val="0"/>
              <w:divBdr>
                <w:top w:val="none" w:sz="0" w:space="0" w:color="auto"/>
                <w:left w:val="none" w:sz="0" w:space="0" w:color="auto"/>
                <w:bottom w:val="none" w:sz="0" w:space="0" w:color="auto"/>
                <w:right w:val="none" w:sz="0" w:space="0" w:color="auto"/>
              </w:divBdr>
            </w:div>
          </w:divsChild>
        </w:div>
        <w:div w:id="373189895">
          <w:marLeft w:val="0"/>
          <w:marRight w:val="0"/>
          <w:marTop w:val="0"/>
          <w:marBottom w:val="0"/>
          <w:divBdr>
            <w:top w:val="none" w:sz="0" w:space="0" w:color="auto"/>
            <w:left w:val="none" w:sz="0" w:space="0" w:color="auto"/>
            <w:bottom w:val="none" w:sz="0" w:space="0" w:color="auto"/>
            <w:right w:val="none" w:sz="0" w:space="0" w:color="auto"/>
          </w:divBdr>
          <w:divsChild>
            <w:div w:id="993333193">
              <w:marLeft w:val="0"/>
              <w:marRight w:val="0"/>
              <w:marTop w:val="0"/>
              <w:marBottom w:val="0"/>
              <w:divBdr>
                <w:top w:val="none" w:sz="0" w:space="0" w:color="auto"/>
                <w:left w:val="none" w:sz="0" w:space="0" w:color="auto"/>
                <w:bottom w:val="none" w:sz="0" w:space="0" w:color="auto"/>
                <w:right w:val="none" w:sz="0" w:space="0" w:color="auto"/>
              </w:divBdr>
            </w:div>
          </w:divsChild>
        </w:div>
        <w:div w:id="2140026510">
          <w:marLeft w:val="0"/>
          <w:marRight w:val="0"/>
          <w:marTop w:val="0"/>
          <w:marBottom w:val="0"/>
          <w:divBdr>
            <w:top w:val="none" w:sz="0" w:space="0" w:color="auto"/>
            <w:left w:val="none" w:sz="0" w:space="0" w:color="auto"/>
            <w:bottom w:val="none" w:sz="0" w:space="0" w:color="auto"/>
            <w:right w:val="none" w:sz="0" w:space="0" w:color="auto"/>
          </w:divBdr>
          <w:divsChild>
            <w:div w:id="1424187042">
              <w:marLeft w:val="0"/>
              <w:marRight w:val="0"/>
              <w:marTop w:val="0"/>
              <w:marBottom w:val="0"/>
              <w:divBdr>
                <w:top w:val="none" w:sz="0" w:space="0" w:color="auto"/>
                <w:left w:val="none" w:sz="0" w:space="0" w:color="auto"/>
                <w:bottom w:val="none" w:sz="0" w:space="0" w:color="auto"/>
                <w:right w:val="none" w:sz="0" w:space="0" w:color="auto"/>
              </w:divBdr>
            </w:div>
          </w:divsChild>
        </w:div>
        <w:div w:id="1920869514">
          <w:marLeft w:val="0"/>
          <w:marRight w:val="0"/>
          <w:marTop w:val="0"/>
          <w:marBottom w:val="0"/>
          <w:divBdr>
            <w:top w:val="none" w:sz="0" w:space="0" w:color="auto"/>
            <w:left w:val="none" w:sz="0" w:space="0" w:color="auto"/>
            <w:bottom w:val="none" w:sz="0" w:space="0" w:color="auto"/>
            <w:right w:val="none" w:sz="0" w:space="0" w:color="auto"/>
          </w:divBdr>
          <w:divsChild>
            <w:div w:id="3629656">
              <w:marLeft w:val="0"/>
              <w:marRight w:val="0"/>
              <w:marTop w:val="0"/>
              <w:marBottom w:val="0"/>
              <w:divBdr>
                <w:top w:val="none" w:sz="0" w:space="0" w:color="auto"/>
                <w:left w:val="none" w:sz="0" w:space="0" w:color="auto"/>
                <w:bottom w:val="none" w:sz="0" w:space="0" w:color="auto"/>
                <w:right w:val="none" w:sz="0" w:space="0" w:color="auto"/>
              </w:divBdr>
            </w:div>
          </w:divsChild>
        </w:div>
        <w:div w:id="943878126">
          <w:marLeft w:val="0"/>
          <w:marRight w:val="0"/>
          <w:marTop w:val="0"/>
          <w:marBottom w:val="0"/>
          <w:divBdr>
            <w:top w:val="none" w:sz="0" w:space="0" w:color="auto"/>
            <w:left w:val="none" w:sz="0" w:space="0" w:color="auto"/>
            <w:bottom w:val="none" w:sz="0" w:space="0" w:color="auto"/>
            <w:right w:val="none" w:sz="0" w:space="0" w:color="auto"/>
          </w:divBdr>
          <w:divsChild>
            <w:div w:id="1199507862">
              <w:marLeft w:val="0"/>
              <w:marRight w:val="0"/>
              <w:marTop w:val="0"/>
              <w:marBottom w:val="0"/>
              <w:divBdr>
                <w:top w:val="none" w:sz="0" w:space="0" w:color="auto"/>
                <w:left w:val="none" w:sz="0" w:space="0" w:color="auto"/>
                <w:bottom w:val="none" w:sz="0" w:space="0" w:color="auto"/>
                <w:right w:val="none" w:sz="0" w:space="0" w:color="auto"/>
              </w:divBdr>
            </w:div>
          </w:divsChild>
        </w:div>
        <w:div w:id="635914011">
          <w:marLeft w:val="0"/>
          <w:marRight w:val="0"/>
          <w:marTop w:val="0"/>
          <w:marBottom w:val="0"/>
          <w:divBdr>
            <w:top w:val="none" w:sz="0" w:space="0" w:color="auto"/>
            <w:left w:val="none" w:sz="0" w:space="0" w:color="auto"/>
            <w:bottom w:val="none" w:sz="0" w:space="0" w:color="auto"/>
            <w:right w:val="none" w:sz="0" w:space="0" w:color="auto"/>
          </w:divBdr>
          <w:divsChild>
            <w:div w:id="606431801">
              <w:marLeft w:val="0"/>
              <w:marRight w:val="0"/>
              <w:marTop w:val="0"/>
              <w:marBottom w:val="0"/>
              <w:divBdr>
                <w:top w:val="none" w:sz="0" w:space="0" w:color="auto"/>
                <w:left w:val="none" w:sz="0" w:space="0" w:color="auto"/>
                <w:bottom w:val="none" w:sz="0" w:space="0" w:color="auto"/>
                <w:right w:val="none" w:sz="0" w:space="0" w:color="auto"/>
              </w:divBdr>
            </w:div>
          </w:divsChild>
        </w:div>
        <w:div w:id="1852984265">
          <w:marLeft w:val="0"/>
          <w:marRight w:val="0"/>
          <w:marTop w:val="0"/>
          <w:marBottom w:val="0"/>
          <w:divBdr>
            <w:top w:val="none" w:sz="0" w:space="0" w:color="auto"/>
            <w:left w:val="none" w:sz="0" w:space="0" w:color="auto"/>
            <w:bottom w:val="none" w:sz="0" w:space="0" w:color="auto"/>
            <w:right w:val="none" w:sz="0" w:space="0" w:color="auto"/>
          </w:divBdr>
          <w:divsChild>
            <w:div w:id="1765226903">
              <w:marLeft w:val="0"/>
              <w:marRight w:val="0"/>
              <w:marTop w:val="0"/>
              <w:marBottom w:val="0"/>
              <w:divBdr>
                <w:top w:val="none" w:sz="0" w:space="0" w:color="auto"/>
                <w:left w:val="none" w:sz="0" w:space="0" w:color="auto"/>
                <w:bottom w:val="none" w:sz="0" w:space="0" w:color="auto"/>
                <w:right w:val="none" w:sz="0" w:space="0" w:color="auto"/>
              </w:divBdr>
            </w:div>
          </w:divsChild>
        </w:div>
        <w:div w:id="760372244">
          <w:marLeft w:val="0"/>
          <w:marRight w:val="0"/>
          <w:marTop w:val="0"/>
          <w:marBottom w:val="0"/>
          <w:divBdr>
            <w:top w:val="none" w:sz="0" w:space="0" w:color="auto"/>
            <w:left w:val="none" w:sz="0" w:space="0" w:color="auto"/>
            <w:bottom w:val="none" w:sz="0" w:space="0" w:color="auto"/>
            <w:right w:val="none" w:sz="0" w:space="0" w:color="auto"/>
          </w:divBdr>
          <w:divsChild>
            <w:div w:id="164176789">
              <w:marLeft w:val="0"/>
              <w:marRight w:val="0"/>
              <w:marTop w:val="0"/>
              <w:marBottom w:val="0"/>
              <w:divBdr>
                <w:top w:val="none" w:sz="0" w:space="0" w:color="auto"/>
                <w:left w:val="none" w:sz="0" w:space="0" w:color="auto"/>
                <w:bottom w:val="none" w:sz="0" w:space="0" w:color="auto"/>
                <w:right w:val="none" w:sz="0" w:space="0" w:color="auto"/>
              </w:divBdr>
            </w:div>
          </w:divsChild>
        </w:div>
        <w:div w:id="123427805">
          <w:marLeft w:val="0"/>
          <w:marRight w:val="0"/>
          <w:marTop w:val="0"/>
          <w:marBottom w:val="0"/>
          <w:divBdr>
            <w:top w:val="none" w:sz="0" w:space="0" w:color="auto"/>
            <w:left w:val="none" w:sz="0" w:space="0" w:color="auto"/>
            <w:bottom w:val="none" w:sz="0" w:space="0" w:color="auto"/>
            <w:right w:val="none" w:sz="0" w:space="0" w:color="auto"/>
          </w:divBdr>
          <w:divsChild>
            <w:div w:id="513303482">
              <w:marLeft w:val="0"/>
              <w:marRight w:val="0"/>
              <w:marTop w:val="0"/>
              <w:marBottom w:val="0"/>
              <w:divBdr>
                <w:top w:val="none" w:sz="0" w:space="0" w:color="auto"/>
                <w:left w:val="none" w:sz="0" w:space="0" w:color="auto"/>
                <w:bottom w:val="none" w:sz="0" w:space="0" w:color="auto"/>
                <w:right w:val="none" w:sz="0" w:space="0" w:color="auto"/>
              </w:divBdr>
            </w:div>
          </w:divsChild>
        </w:div>
        <w:div w:id="672341342">
          <w:marLeft w:val="0"/>
          <w:marRight w:val="0"/>
          <w:marTop w:val="0"/>
          <w:marBottom w:val="0"/>
          <w:divBdr>
            <w:top w:val="none" w:sz="0" w:space="0" w:color="auto"/>
            <w:left w:val="none" w:sz="0" w:space="0" w:color="auto"/>
            <w:bottom w:val="none" w:sz="0" w:space="0" w:color="auto"/>
            <w:right w:val="none" w:sz="0" w:space="0" w:color="auto"/>
          </w:divBdr>
          <w:divsChild>
            <w:div w:id="1426653679">
              <w:marLeft w:val="0"/>
              <w:marRight w:val="0"/>
              <w:marTop w:val="0"/>
              <w:marBottom w:val="0"/>
              <w:divBdr>
                <w:top w:val="none" w:sz="0" w:space="0" w:color="auto"/>
                <w:left w:val="none" w:sz="0" w:space="0" w:color="auto"/>
                <w:bottom w:val="none" w:sz="0" w:space="0" w:color="auto"/>
                <w:right w:val="none" w:sz="0" w:space="0" w:color="auto"/>
              </w:divBdr>
            </w:div>
          </w:divsChild>
        </w:div>
        <w:div w:id="1074739425">
          <w:marLeft w:val="0"/>
          <w:marRight w:val="0"/>
          <w:marTop w:val="0"/>
          <w:marBottom w:val="0"/>
          <w:divBdr>
            <w:top w:val="none" w:sz="0" w:space="0" w:color="auto"/>
            <w:left w:val="none" w:sz="0" w:space="0" w:color="auto"/>
            <w:bottom w:val="none" w:sz="0" w:space="0" w:color="auto"/>
            <w:right w:val="none" w:sz="0" w:space="0" w:color="auto"/>
          </w:divBdr>
          <w:divsChild>
            <w:div w:id="842669400">
              <w:marLeft w:val="0"/>
              <w:marRight w:val="0"/>
              <w:marTop w:val="0"/>
              <w:marBottom w:val="0"/>
              <w:divBdr>
                <w:top w:val="none" w:sz="0" w:space="0" w:color="auto"/>
                <w:left w:val="none" w:sz="0" w:space="0" w:color="auto"/>
                <w:bottom w:val="none" w:sz="0" w:space="0" w:color="auto"/>
                <w:right w:val="none" w:sz="0" w:space="0" w:color="auto"/>
              </w:divBdr>
            </w:div>
          </w:divsChild>
        </w:div>
        <w:div w:id="978533766">
          <w:marLeft w:val="0"/>
          <w:marRight w:val="0"/>
          <w:marTop w:val="0"/>
          <w:marBottom w:val="0"/>
          <w:divBdr>
            <w:top w:val="none" w:sz="0" w:space="0" w:color="auto"/>
            <w:left w:val="none" w:sz="0" w:space="0" w:color="auto"/>
            <w:bottom w:val="none" w:sz="0" w:space="0" w:color="auto"/>
            <w:right w:val="none" w:sz="0" w:space="0" w:color="auto"/>
          </w:divBdr>
          <w:divsChild>
            <w:div w:id="529417326">
              <w:marLeft w:val="0"/>
              <w:marRight w:val="0"/>
              <w:marTop w:val="0"/>
              <w:marBottom w:val="0"/>
              <w:divBdr>
                <w:top w:val="none" w:sz="0" w:space="0" w:color="auto"/>
                <w:left w:val="none" w:sz="0" w:space="0" w:color="auto"/>
                <w:bottom w:val="none" w:sz="0" w:space="0" w:color="auto"/>
                <w:right w:val="none" w:sz="0" w:space="0" w:color="auto"/>
              </w:divBdr>
            </w:div>
          </w:divsChild>
        </w:div>
        <w:div w:id="2075615628">
          <w:marLeft w:val="0"/>
          <w:marRight w:val="0"/>
          <w:marTop w:val="0"/>
          <w:marBottom w:val="0"/>
          <w:divBdr>
            <w:top w:val="none" w:sz="0" w:space="0" w:color="auto"/>
            <w:left w:val="none" w:sz="0" w:space="0" w:color="auto"/>
            <w:bottom w:val="none" w:sz="0" w:space="0" w:color="auto"/>
            <w:right w:val="none" w:sz="0" w:space="0" w:color="auto"/>
          </w:divBdr>
          <w:divsChild>
            <w:div w:id="1318537448">
              <w:marLeft w:val="0"/>
              <w:marRight w:val="0"/>
              <w:marTop w:val="0"/>
              <w:marBottom w:val="0"/>
              <w:divBdr>
                <w:top w:val="none" w:sz="0" w:space="0" w:color="auto"/>
                <w:left w:val="none" w:sz="0" w:space="0" w:color="auto"/>
                <w:bottom w:val="none" w:sz="0" w:space="0" w:color="auto"/>
                <w:right w:val="none" w:sz="0" w:space="0" w:color="auto"/>
              </w:divBdr>
            </w:div>
          </w:divsChild>
        </w:div>
        <w:div w:id="676887151">
          <w:marLeft w:val="0"/>
          <w:marRight w:val="0"/>
          <w:marTop w:val="0"/>
          <w:marBottom w:val="0"/>
          <w:divBdr>
            <w:top w:val="none" w:sz="0" w:space="0" w:color="auto"/>
            <w:left w:val="none" w:sz="0" w:space="0" w:color="auto"/>
            <w:bottom w:val="none" w:sz="0" w:space="0" w:color="auto"/>
            <w:right w:val="none" w:sz="0" w:space="0" w:color="auto"/>
          </w:divBdr>
          <w:divsChild>
            <w:div w:id="1656489819">
              <w:marLeft w:val="0"/>
              <w:marRight w:val="0"/>
              <w:marTop w:val="0"/>
              <w:marBottom w:val="0"/>
              <w:divBdr>
                <w:top w:val="none" w:sz="0" w:space="0" w:color="auto"/>
                <w:left w:val="none" w:sz="0" w:space="0" w:color="auto"/>
                <w:bottom w:val="none" w:sz="0" w:space="0" w:color="auto"/>
                <w:right w:val="none" w:sz="0" w:space="0" w:color="auto"/>
              </w:divBdr>
            </w:div>
          </w:divsChild>
        </w:div>
        <w:div w:id="1441491671">
          <w:marLeft w:val="0"/>
          <w:marRight w:val="0"/>
          <w:marTop w:val="0"/>
          <w:marBottom w:val="0"/>
          <w:divBdr>
            <w:top w:val="none" w:sz="0" w:space="0" w:color="auto"/>
            <w:left w:val="none" w:sz="0" w:space="0" w:color="auto"/>
            <w:bottom w:val="none" w:sz="0" w:space="0" w:color="auto"/>
            <w:right w:val="none" w:sz="0" w:space="0" w:color="auto"/>
          </w:divBdr>
          <w:divsChild>
            <w:div w:id="572130507">
              <w:marLeft w:val="0"/>
              <w:marRight w:val="0"/>
              <w:marTop w:val="0"/>
              <w:marBottom w:val="0"/>
              <w:divBdr>
                <w:top w:val="none" w:sz="0" w:space="0" w:color="auto"/>
                <w:left w:val="none" w:sz="0" w:space="0" w:color="auto"/>
                <w:bottom w:val="none" w:sz="0" w:space="0" w:color="auto"/>
                <w:right w:val="none" w:sz="0" w:space="0" w:color="auto"/>
              </w:divBdr>
            </w:div>
          </w:divsChild>
        </w:div>
        <w:div w:id="1727682238">
          <w:marLeft w:val="0"/>
          <w:marRight w:val="0"/>
          <w:marTop w:val="0"/>
          <w:marBottom w:val="0"/>
          <w:divBdr>
            <w:top w:val="none" w:sz="0" w:space="0" w:color="auto"/>
            <w:left w:val="none" w:sz="0" w:space="0" w:color="auto"/>
            <w:bottom w:val="none" w:sz="0" w:space="0" w:color="auto"/>
            <w:right w:val="none" w:sz="0" w:space="0" w:color="auto"/>
          </w:divBdr>
          <w:divsChild>
            <w:div w:id="1503541488">
              <w:marLeft w:val="0"/>
              <w:marRight w:val="0"/>
              <w:marTop w:val="0"/>
              <w:marBottom w:val="0"/>
              <w:divBdr>
                <w:top w:val="none" w:sz="0" w:space="0" w:color="auto"/>
                <w:left w:val="none" w:sz="0" w:space="0" w:color="auto"/>
                <w:bottom w:val="none" w:sz="0" w:space="0" w:color="auto"/>
                <w:right w:val="none" w:sz="0" w:space="0" w:color="auto"/>
              </w:divBdr>
            </w:div>
          </w:divsChild>
        </w:div>
        <w:div w:id="1356686069">
          <w:marLeft w:val="0"/>
          <w:marRight w:val="0"/>
          <w:marTop w:val="0"/>
          <w:marBottom w:val="0"/>
          <w:divBdr>
            <w:top w:val="none" w:sz="0" w:space="0" w:color="auto"/>
            <w:left w:val="none" w:sz="0" w:space="0" w:color="auto"/>
            <w:bottom w:val="none" w:sz="0" w:space="0" w:color="auto"/>
            <w:right w:val="none" w:sz="0" w:space="0" w:color="auto"/>
          </w:divBdr>
          <w:divsChild>
            <w:div w:id="1682775775">
              <w:marLeft w:val="0"/>
              <w:marRight w:val="0"/>
              <w:marTop w:val="0"/>
              <w:marBottom w:val="0"/>
              <w:divBdr>
                <w:top w:val="none" w:sz="0" w:space="0" w:color="auto"/>
                <w:left w:val="none" w:sz="0" w:space="0" w:color="auto"/>
                <w:bottom w:val="none" w:sz="0" w:space="0" w:color="auto"/>
                <w:right w:val="none" w:sz="0" w:space="0" w:color="auto"/>
              </w:divBdr>
            </w:div>
          </w:divsChild>
        </w:div>
        <w:div w:id="917204767">
          <w:marLeft w:val="0"/>
          <w:marRight w:val="0"/>
          <w:marTop w:val="0"/>
          <w:marBottom w:val="0"/>
          <w:divBdr>
            <w:top w:val="none" w:sz="0" w:space="0" w:color="auto"/>
            <w:left w:val="none" w:sz="0" w:space="0" w:color="auto"/>
            <w:bottom w:val="none" w:sz="0" w:space="0" w:color="auto"/>
            <w:right w:val="none" w:sz="0" w:space="0" w:color="auto"/>
          </w:divBdr>
          <w:divsChild>
            <w:div w:id="1935432368">
              <w:marLeft w:val="0"/>
              <w:marRight w:val="0"/>
              <w:marTop w:val="0"/>
              <w:marBottom w:val="0"/>
              <w:divBdr>
                <w:top w:val="none" w:sz="0" w:space="0" w:color="auto"/>
                <w:left w:val="none" w:sz="0" w:space="0" w:color="auto"/>
                <w:bottom w:val="none" w:sz="0" w:space="0" w:color="auto"/>
                <w:right w:val="none" w:sz="0" w:space="0" w:color="auto"/>
              </w:divBdr>
            </w:div>
          </w:divsChild>
        </w:div>
        <w:div w:id="1670209080">
          <w:marLeft w:val="0"/>
          <w:marRight w:val="0"/>
          <w:marTop w:val="0"/>
          <w:marBottom w:val="0"/>
          <w:divBdr>
            <w:top w:val="none" w:sz="0" w:space="0" w:color="auto"/>
            <w:left w:val="none" w:sz="0" w:space="0" w:color="auto"/>
            <w:bottom w:val="none" w:sz="0" w:space="0" w:color="auto"/>
            <w:right w:val="none" w:sz="0" w:space="0" w:color="auto"/>
          </w:divBdr>
          <w:divsChild>
            <w:div w:id="715857050">
              <w:marLeft w:val="0"/>
              <w:marRight w:val="0"/>
              <w:marTop w:val="0"/>
              <w:marBottom w:val="0"/>
              <w:divBdr>
                <w:top w:val="none" w:sz="0" w:space="0" w:color="auto"/>
                <w:left w:val="none" w:sz="0" w:space="0" w:color="auto"/>
                <w:bottom w:val="none" w:sz="0" w:space="0" w:color="auto"/>
                <w:right w:val="none" w:sz="0" w:space="0" w:color="auto"/>
              </w:divBdr>
            </w:div>
          </w:divsChild>
        </w:div>
        <w:div w:id="810635084">
          <w:marLeft w:val="0"/>
          <w:marRight w:val="0"/>
          <w:marTop w:val="0"/>
          <w:marBottom w:val="0"/>
          <w:divBdr>
            <w:top w:val="none" w:sz="0" w:space="0" w:color="auto"/>
            <w:left w:val="none" w:sz="0" w:space="0" w:color="auto"/>
            <w:bottom w:val="none" w:sz="0" w:space="0" w:color="auto"/>
            <w:right w:val="none" w:sz="0" w:space="0" w:color="auto"/>
          </w:divBdr>
          <w:divsChild>
            <w:div w:id="1030182792">
              <w:marLeft w:val="0"/>
              <w:marRight w:val="0"/>
              <w:marTop w:val="0"/>
              <w:marBottom w:val="0"/>
              <w:divBdr>
                <w:top w:val="none" w:sz="0" w:space="0" w:color="auto"/>
                <w:left w:val="none" w:sz="0" w:space="0" w:color="auto"/>
                <w:bottom w:val="none" w:sz="0" w:space="0" w:color="auto"/>
                <w:right w:val="none" w:sz="0" w:space="0" w:color="auto"/>
              </w:divBdr>
            </w:div>
          </w:divsChild>
        </w:div>
        <w:div w:id="2035425457">
          <w:marLeft w:val="0"/>
          <w:marRight w:val="0"/>
          <w:marTop w:val="0"/>
          <w:marBottom w:val="0"/>
          <w:divBdr>
            <w:top w:val="none" w:sz="0" w:space="0" w:color="auto"/>
            <w:left w:val="none" w:sz="0" w:space="0" w:color="auto"/>
            <w:bottom w:val="none" w:sz="0" w:space="0" w:color="auto"/>
            <w:right w:val="none" w:sz="0" w:space="0" w:color="auto"/>
          </w:divBdr>
          <w:divsChild>
            <w:div w:id="1011447579">
              <w:marLeft w:val="0"/>
              <w:marRight w:val="0"/>
              <w:marTop w:val="0"/>
              <w:marBottom w:val="0"/>
              <w:divBdr>
                <w:top w:val="none" w:sz="0" w:space="0" w:color="auto"/>
                <w:left w:val="none" w:sz="0" w:space="0" w:color="auto"/>
                <w:bottom w:val="none" w:sz="0" w:space="0" w:color="auto"/>
                <w:right w:val="none" w:sz="0" w:space="0" w:color="auto"/>
              </w:divBdr>
            </w:div>
          </w:divsChild>
        </w:div>
        <w:div w:id="2059239309">
          <w:marLeft w:val="0"/>
          <w:marRight w:val="0"/>
          <w:marTop w:val="0"/>
          <w:marBottom w:val="0"/>
          <w:divBdr>
            <w:top w:val="none" w:sz="0" w:space="0" w:color="auto"/>
            <w:left w:val="none" w:sz="0" w:space="0" w:color="auto"/>
            <w:bottom w:val="none" w:sz="0" w:space="0" w:color="auto"/>
            <w:right w:val="none" w:sz="0" w:space="0" w:color="auto"/>
          </w:divBdr>
          <w:divsChild>
            <w:div w:id="1078593366">
              <w:marLeft w:val="0"/>
              <w:marRight w:val="0"/>
              <w:marTop w:val="0"/>
              <w:marBottom w:val="0"/>
              <w:divBdr>
                <w:top w:val="none" w:sz="0" w:space="0" w:color="auto"/>
                <w:left w:val="none" w:sz="0" w:space="0" w:color="auto"/>
                <w:bottom w:val="none" w:sz="0" w:space="0" w:color="auto"/>
                <w:right w:val="none" w:sz="0" w:space="0" w:color="auto"/>
              </w:divBdr>
            </w:div>
          </w:divsChild>
        </w:div>
        <w:div w:id="394742028">
          <w:marLeft w:val="0"/>
          <w:marRight w:val="0"/>
          <w:marTop w:val="0"/>
          <w:marBottom w:val="0"/>
          <w:divBdr>
            <w:top w:val="none" w:sz="0" w:space="0" w:color="auto"/>
            <w:left w:val="none" w:sz="0" w:space="0" w:color="auto"/>
            <w:bottom w:val="none" w:sz="0" w:space="0" w:color="auto"/>
            <w:right w:val="none" w:sz="0" w:space="0" w:color="auto"/>
          </w:divBdr>
          <w:divsChild>
            <w:div w:id="1630015143">
              <w:marLeft w:val="0"/>
              <w:marRight w:val="0"/>
              <w:marTop w:val="0"/>
              <w:marBottom w:val="0"/>
              <w:divBdr>
                <w:top w:val="none" w:sz="0" w:space="0" w:color="auto"/>
                <w:left w:val="none" w:sz="0" w:space="0" w:color="auto"/>
                <w:bottom w:val="none" w:sz="0" w:space="0" w:color="auto"/>
                <w:right w:val="none" w:sz="0" w:space="0" w:color="auto"/>
              </w:divBdr>
            </w:div>
          </w:divsChild>
        </w:div>
        <w:div w:id="513619181">
          <w:marLeft w:val="0"/>
          <w:marRight w:val="0"/>
          <w:marTop w:val="0"/>
          <w:marBottom w:val="0"/>
          <w:divBdr>
            <w:top w:val="none" w:sz="0" w:space="0" w:color="auto"/>
            <w:left w:val="none" w:sz="0" w:space="0" w:color="auto"/>
            <w:bottom w:val="none" w:sz="0" w:space="0" w:color="auto"/>
            <w:right w:val="none" w:sz="0" w:space="0" w:color="auto"/>
          </w:divBdr>
          <w:divsChild>
            <w:div w:id="1553417598">
              <w:marLeft w:val="0"/>
              <w:marRight w:val="0"/>
              <w:marTop w:val="0"/>
              <w:marBottom w:val="0"/>
              <w:divBdr>
                <w:top w:val="none" w:sz="0" w:space="0" w:color="auto"/>
                <w:left w:val="none" w:sz="0" w:space="0" w:color="auto"/>
                <w:bottom w:val="none" w:sz="0" w:space="0" w:color="auto"/>
                <w:right w:val="none" w:sz="0" w:space="0" w:color="auto"/>
              </w:divBdr>
            </w:div>
          </w:divsChild>
        </w:div>
        <w:div w:id="814567848">
          <w:marLeft w:val="0"/>
          <w:marRight w:val="0"/>
          <w:marTop w:val="0"/>
          <w:marBottom w:val="0"/>
          <w:divBdr>
            <w:top w:val="none" w:sz="0" w:space="0" w:color="auto"/>
            <w:left w:val="none" w:sz="0" w:space="0" w:color="auto"/>
            <w:bottom w:val="none" w:sz="0" w:space="0" w:color="auto"/>
            <w:right w:val="none" w:sz="0" w:space="0" w:color="auto"/>
          </w:divBdr>
          <w:divsChild>
            <w:div w:id="2131127071">
              <w:marLeft w:val="0"/>
              <w:marRight w:val="0"/>
              <w:marTop w:val="0"/>
              <w:marBottom w:val="0"/>
              <w:divBdr>
                <w:top w:val="none" w:sz="0" w:space="0" w:color="auto"/>
                <w:left w:val="none" w:sz="0" w:space="0" w:color="auto"/>
                <w:bottom w:val="none" w:sz="0" w:space="0" w:color="auto"/>
                <w:right w:val="none" w:sz="0" w:space="0" w:color="auto"/>
              </w:divBdr>
            </w:div>
          </w:divsChild>
        </w:div>
        <w:div w:id="772557456">
          <w:marLeft w:val="0"/>
          <w:marRight w:val="0"/>
          <w:marTop w:val="0"/>
          <w:marBottom w:val="0"/>
          <w:divBdr>
            <w:top w:val="none" w:sz="0" w:space="0" w:color="auto"/>
            <w:left w:val="none" w:sz="0" w:space="0" w:color="auto"/>
            <w:bottom w:val="none" w:sz="0" w:space="0" w:color="auto"/>
            <w:right w:val="none" w:sz="0" w:space="0" w:color="auto"/>
          </w:divBdr>
          <w:divsChild>
            <w:div w:id="963852186">
              <w:marLeft w:val="0"/>
              <w:marRight w:val="0"/>
              <w:marTop w:val="0"/>
              <w:marBottom w:val="0"/>
              <w:divBdr>
                <w:top w:val="none" w:sz="0" w:space="0" w:color="auto"/>
                <w:left w:val="none" w:sz="0" w:space="0" w:color="auto"/>
                <w:bottom w:val="none" w:sz="0" w:space="0" w:color="auto"/>
                <w:right w:val="none" w:sz="0" w:space="0" w:color="auto"/>
              </w:divBdr>
            </w:div>
          </w:divsChild>
        </w:div>
        <w:div w:id="1631133208">
          <w:marLeft w:val="0"/>
          <w:marRight w:val="0"/>
          <w:marTop w:val="0"/>
          <w:marBottom w:val="0"/>
          <w:divBdr>
            <w:top w:val="none" w:sz="0" w:space="0" w:color="auto"/>
            <w:left w:val="none" w:sz="0" w:space="0" w:color="auto"/>
            <w:bottom w:val="none" w:sz="0" w:space="0" w:color="auto"/>
            <w:right w:val="none" w:sz="0" w:space="0" w:color="auto"/>
          </w:divBdr>
          <w:divsChild>
            <w:div w:id="33430642">
              <w:marLeft w:val="0"/>
              <w:marRight w:val="0"/>
              <w:marTop w:val="0"/>
              <w:marBottom w:val="0"/>
              <w:divBdr>
                <w:top w:val="none" w:sz="0" w:space="0" w:color="auto"/>
                <w:left w:val="none" w:sz="0" w:space="0" w:color="auto"/>
                <w:bottom w:val="none" w:sz="0" w:space="0" w:color="auto"/>
                <w:right w:val="none" w:sz="0" w:space="0" w:color="auto"/>
              </w:divBdr>
            </w:div>
          </w:divsChild>
        </w:div>
        <w:div w:id="446395818">
          <w:marLeft w:val="0"/>
          <w:marRight w:val="0"/>
          <w:marTop w:val="0"/>
          <w:marBottom w:val="0"/>
          <w:divBdr>
            <w:top w:val="none" w:sz="0" w:space="0" w:color="auto"/>
            <w:left w:val="none" w:sz="0" w:space="0" w:color="auto"/>
            <w:bottom w:val="none" w:sz="0" w:space="0" w:color="auto"/>
            <w:right w:val="none" w:sz="0" w:space="0" w:color="auto"/>
          </w:divBdr>
          <w:divsChild>
            <w:div w:id="526214532">
              <w:marLeft w:val="0"/>
              <w:marRight w:val="0"/>
              <w:marTop w:val="0"/>
              <w:marBottom w:val="0"/>
              <w:divBdr>
                <w:top w:val="none" w:sz="0" w:space="0" w:color="auto"/>
                <w:left w:val="none" w:sz="0" w:space="0" w:color="auto"/>
                <w:bottom w:val="none" w:sz="0" w:space="0" w:color="auto"/>
                <w:right w:val="none" w:sz="0" w:space="0" w:color="auto"/>
              </w:divBdr>
            </w:div>
          </w:divsChild>
        </w:div>
        <w:div w:id="1768034575">
          <w:marLeft w:val="0"/>
          <w:marRight w:val="0"/>
          <w:marTop w:val="0"/>
          <w:marBottom w:val="0"/>
          <w:divBdr>
            <w:top w:val="none" w:sz="0" w:space="0" w:color="auto"/>
            <w:left w:val="none" w:sz="0" w:space="0" w:color="auto"/>
            <w:bottom w:val="none" w:sz="0" w:space="0" w:color="auto"/>
            <w:right w:val="none" w:sz="0" w:space="0" w:color="auto"/>
          </w:divBdr>
          <w:divsChild>
            <w:div w:id="750321800">
              <w:marLeft w:val="0"/>
              <w:marRight w:val="0"/>
              <w:marTop w:val="0"/>
              <w:marBottom w:val="0"/>
              <w:divBdr>
                <w:top w:val="none" w:sz="0" w:space="0" w:color="auto"/>
                <w:left w:val="none" w:sz="0" w:space="0" w:color="auto"/>
                <w:bottom w:val="none" w:sz="0" w:space="0" w:color="auto"/>
                <w:right w:val="none" w:sz="0" w:space="0" w:color="auto"/>
              </w:divBdr>
            </w:div>
          </w:divsChild>
        </w:div>
        <w:div w:id="37122261">
          <w:marLeft w:val="0"/>
          <w:marRight w:val="0"/>
          <w:marTop w:val="0"/>
          <w:marBottom w:val="0"/>
          <w:divBdr>
            <w:top w:val="none" w:sz="0" w:space="0" w:color="auto"/>
            <w:left w:val="none" w:sz="0" w:space="0" w:color="auto"/>
            <w:bottom w:val="none" w:sz="0" w:space="0" w:color="auto"/>
            <w:right w:val="none" w:sz="0" w:space="0" w:color="auto"/>
          </w:divBdr>
          <w:divsChild>
            <w:div w:id="13869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40341">
      <w:bodyDiv w:val="1"/>
      <w:marLeft w:val="0"/>
      <w:marRight w:val="0"/>
      <w:marTop w:val="0"/>
      <w:marBottom w:val="0"/>
      <w:divBdr>
        <w:top w:val="none" w:sz="0" w:space="0" w:color="auto"/>
        <w:left w:val="none" w:sz="0" w:space="0" w:color="auto"/>
        <w:bottom w:val="none" w:sz="0" w:space="0" w:color="auto"/>
        <w:right w:val="none" w:sz="0" w:space="0" w:color="auto"/>
      </w:divBdr>
      <w:divsChild>
        <w:div w:id="1733967266">
          <w:marLeft w:val="0"/>
          <w:marRight w:val="0"/>
          <w:marTop w:val="0"/>
          <w:marBottom w:val="0"/>
          <w:divBdr>
            <w:top w:val="none" w:sz="0" w:space="0" w:color="auto"/>
            <w:left w:val="none" w:sz="0" w:space="0" w:color="auto"/>
            <w:bottom w:val="none" w:sz="0" w:space="0" w:color="auto"/>
            <w:right w:val="none" w:sz="0" w:space="0" w:color="auto"/>
          </w:divBdr>
          <w:divsChild>
            <w:div w:id="1651061399">
              <w:marLeft w:val="0"/>
              <w:marRight w:val="0"/>
              <w:marTop w:val="0"/>
              <w:marBottom w:val="0"/>
              <w:divBdr>
                <w:top w:val="none" w:sz="0" w:space="0" w:color="auto"/>
                <w:left w:val="none" w:sz="0" w:space="0" w:color="auto"/>
                <w:bottom w:val="none" w:sz="0" w:space="0" w:color="auto"/>
                <w:right w:val="none" w:sz="0" w:space="0" w:color="auto"/>
              </w:divBdr>
            </w:div>
          </w:divsChild>
        </w:div>
        <w:div w:id="1004168896">
          <w:marLeft w:val="0"/>
          <w:marRight w:val="0"/>
          <w:marTop w:val="0"/>
          <w:marBottom w:val="0"/>
          <w:divBdr>
            <w:top w:val="none" w:sz="0" w:space="0" w:color="auto"/>
            <w:left w:val="none" w:sz="0" w:space="0" w:color="auto"/>
            <w:bottom w:val="none" w:sz="0" w:space="0" w:color="auto"/>
            <w:right w:val="none" w:sz="0" w:space="0" w:color="auto"/>
          </w:divBdr>
          <w:divsChild>
            <w:div w:id="405104785">
              <w:marLeft w:val="0"/>
              <w:marRight w:val="0"/>
              <w:marTop w:val="0"/>
              <w:marBottom w:val="0"/>
              <w:divBdr>
                <w:top w:val="none" w:sz="0" w:space="0" w:color="auto"/>
                <w:left w:val="none" w:sz="0" w:space="0" w:color="auto"/>
                <w:bottom w:val="none" w:sz="0" w:space="0" w:color="auto"/>
                <w:right w:val="none" w:sz="0" w:space="0" w:color="auto"/>
              </w:divBdr>
            </w:div>
          </w:divsChild>
        </w:div>
        <w:div w:id="1058364579">
          <w:marLeft w:val="0"/>
          <w:marRight w:val="0"/>
          <w:marTop w:val="0"/>
          <w:marBottom w:val="0"/>
          <w:divBdr>
            <w:top w:val="none" w:sz="0" w:space="0" w:color="auto"/>
            <w:left w:val="none" w:sz="0" w:space="0" w:color="auto"/>
            <w:bottom w:val="none" w:sz="0" w:space="0" w:color="auto"/>
            <w:right w:val="none" w:sz="0" w:space="0" w:color="auto"/>
          </w:divBdr>
          <w:divsChild>
            <w:div w:id="1865167717">
              <w:marLeft w:val="0"/>
              <w:marRight w:val="0"/>
              <w:marTop w:val="0"/>
              <w:marBottom w:val="0"/>
              <w:divBdr>
                <w:top w:val="none" w:sz="0" w:space="0" w:color="auto"/>
                <w:left w:val="none" w:sz="0" w:space="0" w:color="auto"/>
                <w:bottom w:val="none" w:sz="0" w:space="0" w:color="auto"/>
                <w:right w:val="none" w:sz="0" w:space="0" w:color="auto"/>
              </w:divBdr>
            </w:div>
          </w:divsChild>
        </w:div>
        <w:div w:id="1736465823">
          <w:marLeft w:val="0"/>
          <w:marRight w:val="0"/>
          <w:marTop w:val="0"/>
          <w:marBottom w:val="0"/>
          <w:divBdr>
            <w:top w:val="none" w:sz="0" w:space="0" w:color="auto"/>
            <w:left w:val="none" w:sz="0" w:space="0" w:color="auto"/>
            <w:bottom w:val="none" w:sz="0" w:space="0" w:color="auto"/>
            <w:right w:val="none" w:sz="0" w:space="0" w:color="auto"/>
          </w:divBdr>
          <w:divsChild>
            <w:div w:id="1961838660">
              <w:marLeft w:val="0"/>
              <w:marRight w:val="0"/>
              <w:marTop w:val="0"/>
              <w:marBottom w:val="0"/>
              <w:divBdr>
                <w:top w:val="none" w:sz="0" w:space="0" w:color="auto"/>
                <w:left w:val="none" w:sz="0" w:space="0" w:color="auto"/>
                <w:bottom w:val="none" w:sz="0" w:space="0" w:color="auto"/>
                <w:right w:val="none" w:sz="0" w:space="0" w:color="auto"/>
              </w:divBdr>
            </w:div>
          </w:divsChild>
        </w:div>
        <w:div w:id="1931963706">
          <w:marLeft w:val="0"/>
          <w:marRight w:val="0"/>
          <w:marTop w:val="0"/>
          <w:marBottom w:val="0"/>
          <w:divBdr>
            <w:top w:val="none" w:sz="0" w:space="0" w:color="auto"/>
            <w:left w:val="none" w:sz="0" w:space="0" w:color="auto"/>
            <w:bottom w:val="none" w:sz="0" w:space="0" w:color="auto"/>
            <w:right w:val="none" w:sz="0" w:space="0" w:color="auto"/>
          </w:divBdr>
          <w:divsChild>
            <w:div w:id="1394741215">
              <w:marLeft w:val="0"/>
              <w:marRight w:val="0"/>
              <w:marTop w:val="0"/>
              <w:marBottom w:val="0"/>
              <w:divBdr>
                <w:top w:val="none" w:sz="0" w:space="0" w:color="auto"/>
                <w:left w:val="none" w:sz="0" w:space="0" w:color="auto"/>
                <w:bottom w:val="none" w:sz="0" w:space="0" w:color="auto"/>
                <w:right w:val="none" w:sz="0" w:space="0" w:color="auto"/>
              </w:divBdr>
            </w:div>
          </w:divsChild>
        </w:div>
        <w:div w:id="900674642">
          <w:marLeft w:val="0"/>
          <w:marRight w:val="0"/>
          <w:marTop w:val="0"/>
          <w:marBottom w:val="0"/>
          <w:divBdr>
            <w:top w:val="none" w:sz="0" w:space="0" w:color="auto"/>
            <w:left w:val="none" w:sz="0" w:space="0" w:color="auto"/>
            <w:bottom w:val="none" w:sz="0" w:space="0" w:color="auto"/>
            <w:right w:val="none" w:sz="0" w:space="0" w:color="auto"/>
          </w:divBdr>
          <w:divsChild>
            <w:div w:id="30963972">
              <w:marLeft w:val="0"/>
              <w:marRight w:val="0"/>
              <w:marTop w:val="0"/>
              <w:marBottom w:val="0"/>
              <w:divBdr>
                <w:top w:val="none" w:sz="0" w:space="0" w:color="auto"/>
                <w:left w:val="none" w:sz="0" w:space="0" w:color="auto"/>
                <w:bottom w:val="none" w:sz="0" w:space="0" w:color="auto"/>
                <w:right w:val="none" w:sz="0" w:space="0" w:color="auto"/>
              </w:divBdr>
            </w:div>
          </w:divsChild>
        </w:div>
        <w:div w:id="1281648688">
          <w:marLeft w:val="0"/>
          <w:marRight w:val="0"/>
          <w:marTop w:val="0"/>
          <w:marBottom w:val="0"/>
          <w:divBdr>
            <w:top w:val="none" w:sz="0" w:space="0" w:color="auto"/>
            <w:left w:val="none" w:sz="0" w:space="0" w:color="auto"/>
            <w:bottom w:val="none" w:sz="0" w:space="0" w:color="auto"/>
            <w:right w:val="none" w:sz="0" w:space="0" w:color="auto"/>
          </w:divBdr>
          <w:divsChild>
            <w:div w:id="1410930458">
              <w:marLeft w:val="0"/>
              <w:marRight w:val="0"/>
              <w:marTop w:val="0"/>
              <w:marBottom w:val="0"/>
              <w:divBdr>
                <w:top w:val="none" w:sz="0" w:space="0" w:color="auto"/>
                <w:left w:val="none" w:sz="0" w:space="0" w:color="auto"/>
                <w:bottom w:val="none" w:sz="0" w:space="0" w:color="auto"/>
                <w:right w:val="none" w:sz="0" w:space="0" w:color="auto"/>
              </w:divBdr>
            </w:div>
          </w:divsChild>
        </w:div>
        <w:div w:id="364646694">
          <w:marLeft w:val="0"/>
          <w:marRight w:val="0"/>
          <w:marTop w:val="0"/>
          <w:marBottom w:val="0"/>
          <w:divBdr>
            <w:top w:val="none" w:sz="0" w:space="0" w:color="auto"/>
            <w:left w:val="none" w:sz="0" w:space="0" w:color="auto"/>
            <w:bottom w:val="none" w:sz="0" w:space="0" w:color="auto"/>
            <w:right w:val="none" w:sz="0" w:space="0" w:color="auto"/>
          </w:divBdr>
          <w:divsChild>
            <w:div w:id="527648133">
              <w:marLeft w:val="0"/>
              <w:marRight w:val="0"/>
              <w:marTop w:val="0"/>
              <w:marBottom w:val="0"/>
              <w:divBdr>
                <w:top w:val="none" w:sz="0" w:space="0" w:color="auto"/>
                <w:left w:val="none" w:sz="0" w:space="0" w:color="auto"/>
                <w:bottom w:val="none" w:sz="0" w:space="0" w:color="auto"/>
                <w:right w:val="none" w:sz="0" w:space="0" w:color="auto"/>
              </w:divBdr>
            </w:div>
          </w:divsChild>
        </w:div>
        <w:div w:id="1572042671">
          <w:marLeft w:val="0"/>
          <w:marRight w:val="0"/>
          <w:marTop w:val="0"/>
          <w:marBottom w:val="0"/>
          <w:divBdr>
            <w:top w:val="none" w:sz="0" w:space="0" w:color="auto"/>
            <w:left w:val="none" w:sz="0" w:space="0" w:color="auto"/>
            <w:bottom w:val="none" w:sz="0" w:space="0" w:color="auto"/>
            <w:right w:val="none" w:sz="0" w:space="0" w:color="auto"/>
          </w:divBdr>
          <w:divsChild>
            <w:div w:id="2001031646">
              <w:marLeft w:val="0"/>
              <w:marRight w:val="0"/>
              <w:marTop w:val="0"/>
              <w:marBottom w:val="0"/>
              <w:divBdr>
                <w:top w:val="none" w:sz="0" w:space="0" w:color="auto"/>
                <w:left w:val="none" w:sz="0" w:space="0" w:color="auto"/>
                <w:bottom w:val="none" w:sz="0" w:space="0" w:color="auto"/>
                <w:right w:val="none" w:sz="0" w:space="0" w:color="auto"/>
              </w:divBdr>
            </w:div>
          </w:divsChild>
        </w:div>
        <w:div w:id="707223352">
          <w:marLeft w:val="0"/>
          <w:marRight w:val="0"/>
          <w:marTop w:val="0"/>
          <w:marBottom w:val="0"/>
          <w:divBdr>
            <w:top w:val="none" w:sz="0" w:space="0" w:color="auto"/>
            <w:left w:val="none" w:sz="0" w:space="0" w:color="auto"/>
            <w:bottom w:val="none" w:sz="0" w:space="0" w:color="auto"/>
            <w:right w:val="none" w:sz="0" w:space="0" w:color="auto"/>
          </w:divBdr>
          <w:divsChild>
            <w:div w:id="696269692">
              <w:marLeft w:val="0"/>
              <w:marRight w:val="0"/>
              <w:marTop w:val="0"/>
              <w:marBottom w:val="0"/>
              <w:divBdr>
                <w:top w:val="none" w:sz="0" w:space="0" w:color="auto"/>
                <w:left w:val="none" w:sz="0" w:space="0" w:color="auto"/>
                <w:bottom w:val="none" w:sz="0" w:space="0" w:color="auto"/>
                <w:right w:val="none" w:sz="0" w:space="0" w:color="auto"/>
              </w:divBdr>
            </w:div>
          </w:divsChild>
        </w:div>
        <w:div w:id="345713450">
          <w:marLeft w:val="0"/>
          <w:marRight w:val="0"/>
          <w:marTop w:val="0"/>
          <w:marBottom w:val="0"/>
          <w:divBdr>
            <w:top w:val="none" w:sz="0" w:space="0" w:color="auto"/>
            <w:left w:val="none" w:sz="0" w:space="0" w:color="auto"/>
            <w:bottom w:val="none" w:sz="0" w:space="0" w:color="auto"/>
            <w:right w:val="none" w:sz="0" w:space="0" w:color="auto"/>
          </w:divBdr>
          <w:divsChild>
            <w:div w:id="382213373">
              <w:marLeft w:val="0"/>
              <w:marRight w:val="0"/>
              <w:marTop w:val="0"/>
              <w:marBottom w:val="0"/>
              <w:divBdr>
                <w:top w:val="none" w:sz="0" w:space="0" w:color="auto"/>
                <w:left w:val="none" w:sz="0" w:space="0" w:color="auto"/>
                <w:bottom w:val="none" w:sz="0" w:space="0" w:color="auto"/>
                <w:right w:val="none" w:sz="0" w:space="0" w:color="auto"/>
              </w:divBdr>
            </w:div>
          </w:divsChild>
        </w:div>
        <w:div w:id="1282682918">
          <w:marLeft w:val="0"/>
          <w:marRight w:val="0"/>
          <w:marTop w:val="0"/>
          <w:marBottom w:val="0"/>
          <w:divBdr>
            <w:top w:val="none" w:sz="0" w:space="0" w:color="auto"/>
            <w:left w:val="none" w:sz="0" w:space="0" w:color="auto"/>
            <w:bottom w:val="none" w:sz="0" w:space="0" w:color="auto"/>
            <w:right w:val="none" w:sz="0" w:space="0" w:color="auto"/>
          </w:divBdr>
          <w:divsChild>
            <w:div w:id="2034988599">
              <w:marLeft w:val="0"/>
              <w:marRight w:val="0"/>
              <w:marTop w:val="0"/>
              <w:marBottom w:val="0"/>
              <w:divBdr>
                <w:top w:val="none" w:sz="0" w:space="0" w:color="auto"/>
                <w:left w:val="none" w:sz="0" w:space="0" w:color="auto"/>
                <w:bottom w:val="none" w:sz="0" w:space="0" w:color="auto"/>
                <w:right w:val="none" w:sz="0" w:space="0" w:color="auto"/>
              </w:divBdr>
            </w:div>
          </w:divsChild>
        </w:div>
        <w:div w:id="1406683246">
          <w:marLeft w:val="0"/>
          <w:marRight w:val="0"/>
          <w:marTop w:val="0"/>
          <w:marBottom w:val="0"/>
          <w:divBdr>
            <w:top w:val="none" w:sz="0" w:space="0" w:color="auto"/>
            <w:left w:val="none" w:sz="0" w:space="0" w:color="auto"/>
            <w:bottom w:val="none" w:sz="0" w:space="0" w:color="auto"/>
            <w:right w:val="none" w:sz="0" w:space="0" w:color="auto"/>
          </w:divBdr>
          <w:divsChild>
            <w:div w:id="681201151">
              <w:marLeft w:val="0"/>
              <w:marRight w:val="0"/>
              <w:marTop w:val="0"/>
              <w:marBottom w:val="0"/>
              <w:divBdr>
                <w:top w:val="none" w:sz="0" w:space="0" w:color="auto"/>
                <w:left w:val="none" w:sz="0" w:space="0" w:color="auto"/>
                <w:bottom w:val="none" w:sz="0" w:space="0" w:color="auto"/>
                <w:right w:val="none" w:sz="0" w:space="0" w:color="auto"/>
              </w:divBdr>
            </w:div>
          </w:divsChild>
        </w:div>
        <w:div w:id="835073983">
          <w:marLeft w:val="0"/>
          <w:marRight w:val="0"/>
          <w:marTop w:val="0"/>
          <w:marBottom w:val="0"/>
          <w:divBdr>
            <w:top w:val="none" w:sz="0" w:space="0" w:color="auto"/>
            <w:left w:val="none" w:sz="0" w:space="0" w:color="auto"/>
            <w:bottom w:val="none" w:sz="0" w:space="0" w:color="auto"/>
            <w:right w:val="none" w:sz="0" w:space="0" w:color="auto"/>
          </w:divBdr>
          <w:divsChild>
            <w:div w:id="1191798265">
              <w:marLeft w:val="0"/>
              <w:marRight w:val="0"/>
              <w:marTop w:val="0"/>
              <w:marBottom w:val="0"/>
              <w:divBdr>
                <w:top w:val="none" w:sz="0" w:space="0" w:color="auto"/>
                <w:left w:val="none" w:sz="0" w:space="0" w:color="auto"/>
                <w:bottom w:val="none" w:sz="0" w:space="0" w:color="auto"/>
                <w:right w:val="none" w:sz="0" w:space="0" w:color="auto"/>
              </w:divBdr>
            </w:div>
          </w:divsChild>
        </w:div>
        <w:div w:id="1374190578">
          <w:marLeft w:val="0"/>
          <w:marRight w:val="0"/>
          <w:marTop w:val="0"/>
          <w:marBottom w:val="0"/>
          <w:divBdr>
            <w:top w:val="none" w:sz="0" w:space="0" w:color="auto"/>
            <w:left w:val="none" w:sz="0" w:space="0" w:color="auto"/>
            <w:bottom w:val="none" w:sz="0" w:space="0" w:color="auto"/>
            <w:right w:val="none" w:sz="0" w:space="0" w:color="auto"/>
          </w:divBdr>
          <w:divsChild>
            <w:div w:id="1096168157">
              <w:marLeft w:val="0"/>
              <w:marRight w:val="0"/>
              <w:marTop w:val="0"/>
              <w:marBottom w:val="0"/>
              <w:divBdr>
                <w:top w:val="none" w:sz="0" w:space="0" w:color="auto"/>
                <w:left w:val="none" w:sz="0" w:space="0" w:color="auto"/>
                <w:bottom w:val="none" w:sz="0" w:space="0" w:color="auto"/>
                <w:right w:val="none" w:sz="0" w:space="0" w:color="auto"/>
              </w:divBdr>
            </w:div>
          </w:divsChild>
        </w:div>
        <w:div w:id="1168641133">
          <w:marLeft w:val="0"/>
          <w:marRight w:val="0"/>
          <w:marTop w:val="0"/>
          <w:marBottom w:val="0"/>
          <w:divBdr>
            <w:top w:val="none" w:sz="0" w:space="0" w:color="auto"/>
            <w:left w:val="none" w:sz="0" w:space="0" w:color="auto"/>
            <w:bottom w:val="none" w:sz="0" w:space="0" w:color="auto"/>
            <w:right w:val="none" w:sz="0" w:space="0" w:color="auto"/>
          </w:divBdr>
          <w:divsChild>
            <w:div w:id="225802370">
              <w:marLeft w:val="0"/>
              <w:marRight w:val="0"/>
              <w:marTop w:val="0"/>
              <w:marBottom w:val="0"/>
              <w:divBdr>
                <w:top w:val="none" w:sz="0" w:space="0" w:color="auto"/>
                <w:left w:val="none" w:sz="0" w:space="0" w:color="auto"/>
                <w:bottom w:val="none" w:sz="0" w:space="0" w:color="auto"/>
                <w:right w:val="none" w:sz="0" w:space="0" w:color="auto"/>
              </w:divBdr>
            </w:div>
          </w:divsChild>
        </w:div>
        <w:div w:id="1428963832">
          <w:marLeft w:val="0"/>
          <w:marRight w:val="0"/>
          <w:marTop w:val="0"/>
          <w:marBottom w:val="0"/>
          <w:divBdr>
            <w:top w:val="none" w:sz="0" w:space="0" w:color="auto"/>
            <w:left w:val="none" w:sz="0" w:space="0" w:color="auto"/>
            <w:bottom w:val="none" w:sz="0" w:space="0" w:color="auto"/>
            <w:right w:val="none" w:sz="0" w:space="0" w:color="auto"/>
          </w:divBdr>
          <w:divsChild>
            <w:div w:id="1187134944">
              <w:marLeft w:val="0"/>
              <w:marRight w:val="0"/>
              <w:marTop w:val="0"/>
              <w:marBottom w:val="0"/>
              <w:divBdr>
                <w:top w:val="none" w:sz="0" w:space="0" w:color="auto"/>
                <w:left w:val="none" w:sz="0" w:space="0" w:color="auto"/>
                <w:bottom w:val="none" w:sz="0" w:space="0" w:color="auto"/>
                <w:right w:val="none" w:sz="0" w:space="0" w:color="auto"/>
              </w:divBdr>
            </w:div>
          </w:divsChild>
        </w:div>
        <w:div w:id="254097517">
          <w:marLeft w:val="0"/>
          <w:marRight w:val="0"/>
          <w:marTop w:val="0"/>
          <w:marBottom w:val="0"/>
          <w:divBdr>
            <w:top w:val="none" w:sz="0" w:space="0" w:color="auto"/>
            <w:left w:val="none" w:sz="0" w:space="0" w:color="auto"/>
            <w:bottom w:val="none" w:sz="0" w:space="0" w:color="auto"/>
            <w:right w:val="none" w:sz="0" w:space="0" w:color="auto"/>
          </w:divBdr>
          <w:divsChild>
            <w:div w:id="1396201592">
              <w:marLeft w:val="0"/>
              <w:marRight w:val="0"/>
              <w:marTop w:val="0"/>
              <w:marBottom w:val="0"/>
              <w:divBdr>
                <w:top w:val="none" w:sz="0" w:space="0" w:color="auto"/>
                <w:left w:val="none" w:sz="0" w:space="0" w:color="auto"/>
                <w:bottom w:val="none" w:sz="0" w:space="0" w:color="auto"/>
                <w:right w:val="none" w:sz="0" w:space="0" w:color="auto"/>
              </w:divBdr>
            </w:div>
          </w:divsChild>
        </w:div>
        <w:div w:id="1425229841">
          <w:marLeft w:val="0"/>
          <w:marRight w:val="0"/>
          <w:marTop w:val="0"/>
          <w:marBottom w:val="0"/>
          <w:divBdr>
            <w:top w:val="none" w:sz="0" w:space="0" w:color="auto"/>
            <w:left w:val="none" w:sz="0" w:space="0" w:color="auto"/>
            <w:bottom w:val="none" w:sz="0" w:space="0" w:color="auto"/>
            <w:right w:val="none" w:sz="0" w:space="0" w:color="auto"/>
          </w:divBdr>
          <w:divsChild>
            <w:div w:id="1005665240">
              <w:marLeft w:val="0"/>
              <w:marRight w:val="0"/>
              <w:marTop w:val="0"/>
              <w:marBottom w:val="0"/>
              <w:divBdr>
                <w:top w:val="none" w:sz="0" w:space="0" w:color="auto"/>
                <w:left w:val="none" w:sz="0" w:space="0" w:color="auto"/>
                <w:bottom w:val="none" w:sz="0" w:space="0" w:color="auto"/>
                <w:right w:val="none" w:sz="0" w:space="0" w:color="auto"/>
              </w:divBdr>
            </w:div>
          </w:divsChild>
        </w:div>
        <w:div w:id="1104496185">
          <w:marLeft w:val="0"/>
          <w:marRight w:val="0"/>
          <w:marTop w:val="0"/>
          <w:marBottom w:val="0"/>
          <w:divBdr>
            <w:top w:val="none" w:sz="0" w:space="0" w:color="auto"/>
            <w:left w:val="none" w:sz="0" w:space="0" w:color="auto"/>
            <w:bottom w:val="none" w:sz="0" w:space="0" w:color="auto"/>
            <w:right w:val="none" w:sz="0" w:space="0" w:color="auto"/>
          </w:divBdr>
          <w:divsChild>
            <w:div w:id="1265924219">
              <w:marLeft w:val="0"/>
              <w:marRight w:val="0"/>
              <w:marTop w:val="0"/>
              <w:marBottom w:val="0"/>
              <w:divBdr>
                <w:top w:val="none" w:sz="0" w:space="0" w:color="auto"/>
                <w:left w:val="none" w:sz="0" w:space="0" w:color="auto"/>
                <w:bottom w:val="none" w:sz="0" w:space="0" w:color="auto"/>
                <w:right w:val="none" w:sz="0" w:space="0" w:color="auto"/>
              </w:divBdr>
            </w:div>
          </w:divsChild>
        </w:div>
        <w:div w:id="337463795">
          <w:marLeft w:val="0"/>
          <w:marRight w:val="0"/>
          <w:marTop w:val="0"/>
          <w:marBottom w:val="0"/>
          <w:divBdr>
            <w:top w:val="none" w:sz="0" w:space="0" w:color="auto"/>
            <w:left w:val="none" w:sz="0" w:space="0" w:color="auto"/>
            <w:bottom w:val="none" w:sz="0" w:space="0" w:color="auto"/>
            <w:right w:val="none" w:sz="0" w:space="0" w:color="auto"/>
          </w:divBdr>
          <w:divsChild>
            <w:div w:id="279341701">
              <w:marLeft w:val="0"/>
              <w:marRight w:val="0"/>
              <w:marTop w:val="0"/>
              <w:marBottom w:val="0"/>
              <w:divBdr>
                <w:top w:val="none" w:sz="0" w:space="0" w:color="auto"/>
                <w:left w:val="none" w:sz="0" w:space="0" w:color="auto"/>
                <w:bottom w:val="none" w:sz="0" w:space="0" w:color="auto"/>
                <w:right w:val="none" w:sz="0" w:space="0" w:color="auto"/>
              </w:divBdr>
            </w:div>
          </w:divsChild>
        </w:div>
        <w:div w:id="1457023837">
          <w:marLeft w:val="0"/>
          <w:marRight w:val="0"/>
          <w:marTop w:val="0"/>
          <w:marBottom w:val="0"/>
          <w:divBdr>
            <w:top w:val="none" w:sz="0" w:space="0" w:color="auto"/>
            <w:left w:val="none" w:sz="0" w:space="0" w:color="auto"/>
            <w:bottom w:val="none" w:sz="0" w:space="0" w:color="auto"/>
            <w:right w:val="none" w:sz="0" w:space="0" w:color="auto"/>
          </w:divBdr>
          <w:divsChild>
            <w:div w:id="275062391">
              <w:marLeft w:val="0"/>
              <w:marRight w:val="0"/>
              <w:marTop w:val="0"/>
              <w:marBottom w:val="0"/>
              <w:divBdr>
                <w:top w:val="none" w:sz="0" w:space="0" w:color="auto"/>
                <w:left w:val="none" w:sz="0" w:space="0" w:color="auto"/>
                <w:bottom w:val="none" w:sz="0" w:space="0" w:color="auto"/>
                <w:right w:val="none" w:sz="0" w:space="0" w:color="auto"/>
              </w:divBdr>
            </w:div>
          </w:divsChild>
        </w:div>
        <w:div w:id="30498589">
          <w:marLeft w:val="0"/>
          <w:marRight w:val="0"/>
          <w:marTop w:val="0"/>
          <w:marBottom w:val="0"/>
          <w:divBdr>
            <w:top w:val="none" w:sz="0" w:space="0" w:color="auto"/>
            <w:left w:val="none" w:sz="0" w:space="0" w:color="auto"/>
            <w:bottom w:val="none" w:sz="0" w:space="0" w:color="auto"/>
            <w:right w:val="none" w:sz="0" w:space="0" w:color="auto"/>
          </w:divBdr>
          <w:divsChild>
            <w:div w:id="1847672052">
              <w:marLeft w:val="0"/>
              <w:marRight w:val="0"/>
              <w:marTop w:val="0"/>
              <w:marBottom w:val="0"/>
              <w:divBdr>
                <w:top w:val="none" w:sz="0" w:space="0" w:color="auto"/>
                <w:left w:val="none" w:sz="0" w:space="0" w:color="auto"/>
                <w:bottom w:val="none" w:sz="0" w:space="0" w:color="auto"/>
                <w:right w:val="none" w:sz="0" w:space="0" w:color="auto"/>
              </w:divBdr>
            </w:div>
          </w:divsChild>
        </w:div>
        <w:div w:id="321784864">
          <w:marLeft w:val="0"/>
          <w:marRight w:val="0"/>
          <w:marTop w:val="0"/>
          <w:marBottom w:val="0"/>
          <w:divBdr>
            <w:top w:val="none" w:sz="0" w:space="0" w:color="auto"/>
            <w:left w:val="none" w:sz="0" w:space="0" w:color="auto"/>
            <w:bottom w:val="none" w:sz="0" w:space="0" w:color="auto"/>
            <w:right w:val="none" w:sz="0" w:space="0" w:color="auto"/>
          </w:divBdr>
          <w:divsChild>
            <w:div w:id="87894977">
              <w:marLeft w:val="0"/>
              <w:marRight w:val="0"/>
              <w:marTop w:val="0"/>
              <w:marBottom w:val="0"/>
              <w:divBdr>
                <w:top w:val="none" w:sz="0" w:space="0" w:color="auto"/>
                <w:left w:val="none" w:sz="0" w:space="0" w:color="auto"/>
                <w:bottom w:val="none" w:sz="0" w:space="0" w:color="auto"/>
                <w:right w:val="none" w:sz="0" w:space="0" w:color="auto"/>
              </w:divBdr>
            </w:div>
          </w:divsChild>
        </w:div>
        <w:div w:id="923491236">
          <w:marLeft w:val="0"/>
          <w:marRight w:val="0"/>
          <w:marTop w:val="0"/>
          <w:marBottom w:val="0"/>
          <w:divBdr>
            <w:top w:val="none" w:sz="0" w:space="0" w:color="auto"/>
            <w:left w:val="none" w:sz="0" w:space="0" w:color="auto"/>
            <w:bottom w:val="none" w:sz="0" w:space="0" w:color="auto"/>
            <w:right w:val="none" w:sz="0" w:space="0" w:color="auto"/>
          </w:divBdr>
          <w:divsChild>
            <w:div w:id="728725927">
              <w:marLeft w:val="0"/>
              <w:marRight w:val="0"/>
              <w:marTop w:val="0"/>
              <w:marBottom w:val="0"/>
              <w:divBdr>
                <w:top w:val="none" w:sz="0" w:space="0" w:color="auto"/>
                <w:left w:val="none" w:sz="0" w:space="0" w:color="auto"/>
                <w:bottom w:val="none" w:sz="0" w:space="0" w:color="auto"/>
                <w:right w:val="none" w:sz="0" w:space="0" w:color="auto"/>
              </w:divBdr>
            </w:div>
          </w:divsChild>
        </w:div>
        <w:div w:id="1752770697">
          <w:marLeft w:val="0"/>
          <w:marRight w:val="0"/>
          <w:marTop w:val="0"/>
          <w:marBottom w:val="0"/>
          <w:divBdr>
            <w:top w:val="none" w:sz="0" w:space="0" w:color="auto"/>
            <w:left w:val="none" w:sz="0" w:space="0" w:color="auto"/>
            <w:bottom w:val="none" w:sz="0" w:space="0" w:color="auto"/>
            <w:right w:val="none" w:sz="0" w:space="0" w:color="auto"/>
          </w:divBdr>
          <w:divsChild>
            <w:div w:id="1166359856">
              <w:marLeft w:val="0"/>
              <w:marRight w:val="0"/>
              <w:marTop w:val="0"/>
              <w:marBottom w:val="0"/>
              <w:divBdr>
                <w:top w:val="none" w:sz="0" w:space="0" w:color="auto"/>
                <w:left w:val="none" w:sz="0" w:space="0" w:color="auto"/>
                <w:bottom w:val="none" w:sz="0" w:space="0" w:color="auto"/>
                <w:right w:val="none" w:sz="0" w:space="0" w:color="auto"/>
              </w:divBdr>
            </w:div>
          </w:divsChild>
        </w:div>
        <w:div w:id="766846201">
          <w:marLeft w:val="0"/>
          <w:marRight w:val="0"/>
          <w:marTop w:val="0"/>
          <w:marBottom w:val="0"/>
          <w:divBdr>
            <w:top w:val="none" w:sz="0" w:space="0" w:color="auto"/>
            <w:left w:val="none" w:sz="0" w:space="0" w:color="auto"/>
            <w:bottom w:val="none" w:sz="0" w:space="0" w:color="auto"/>
            <w:right w:val="none" w:sz="0" w:space="0" w:color="auto"/>
          </w:divBdr>
          <w:divsChild>
            <w:div w:id="657807317">
              <w:marLeft w:val="0"/>
              <w:marRight w:val="0"/>
              <w:marTop w:val="0"/>
              <w:marBottom w:val="0"/>
              <w:divBdr>
                <w:top w:val="none" w:sz="0" w:space="0" w:color="auto"/>
                <w:left w:val="none" w:sz="0" w:space="0" w:color="auto"/>
                <w:bottom w:val="none" w:sz="0" w:space="0" w:color="auto"/>
                <w:right w:val="none" w:sz="0" w:space="0" w:color="auto"/>
              </w:divBdr>
            </w:div>
          </w:divsChild>
        </w:div>
        <w:div w:id="1879930746">
          <w:marLeft w:val="0"/>
          <w:marRight w:val="0"/>
          <w:marTop w:val="0"/>
          <w:marBottom w:val="0"/>
          <w:divBdr>
            <w:top w:val="none" w:sz="0" w:space="0" w:color="auto"/>
            <w:left w:val="none" w:sz="0" w:space="0" w:color="auto"/>
            <w:bottom w:val="none" w:sz="0" w:space="0" w:color="auto"/>
            <w:right w:val="none" w:sz="0" w:space="0" w:color="auto"/>
          </w:divBdr>
          <w:divsChild>
            <w:div w:id="1760906985">
              <w:marLeft w:val="0"/>
              <w:marRight w:val="0"/>
              <w:marTop w:val="0"/>
              <w:marBottom w:val="0"/>
              <w:divBdr>
                <w:top w:val="none" w:sz="0" w:space="0" w:color="auto"/>
                <w:left w:val="none" w:sz="0" w:space="0" w:color="auto"/>
                <w:bottom w:val="none" w:sz="0" w:space="0" w:color="auto"/>
                <w:right w:val="none" w:sz="0" w:space="0" w:color="auto"/>
              </w:divBdr>
            </w:div>
          </w:divsChild>
        </w:div>
        <w:div w:id="662011248">
          <w:marLeft w:val="0"/>
          <w:marRight w:val="0"/>
          <w:marTop w:val="0"/>
          <w:marBottom w:val="0"/>
          <w:divBdr>
            <w:top w:val="none" w:sz="0" w:space="0" w:color="auto"/>
            <w:left w:val="none" w:sz="0" w:space="0" w:color="auto"/>
            <w:bottom w:val="none" w:sz="0" w:space="0" w:color="auto"/>
            <w:right w:val="none" w:sz="0" w:space="0" w:color="auto"/>
          </w:divBdr>
          <w:divsChild>
            <w:div w:id="979383394">
              <w:marLeft w:val="0"/>
              <w:marRight w:val="0"/>
              <w:marTop w:val="0"/>
              <w:marBottom w:val="0"/>
              <w:divBdr>
                <w:top w:val="none" w:sz="0" w:space="0" w:color="auto"/>
                <w:left w:val="none" w:sz="0" w:space="0" w:color="auto"/>
                <w:bottom w:val="none" w:sz="0" w:space="0" w:color="auto"/>
                <w:right w:val="none" w:sz="0" w:space="0" w:color="auto"/>
              </w:divBdr>
            </w:div>
          </w:divsChild>
        </w:div>
        <w:div w:id="1830292895">
          <w:marLeft w:val="0"/>
          <w:marRight w:val="0"/>
          <w:marTop w:val="0"/>
          <w:marBottom w:val="0"/>
          <w:divBdr>
            <w:top w:val="none" w:sz="0" w:space="0" w:color="auto"/>
            <w:left w:val="none" w:sz="0" w:space="0" w:color="auto"/>
            <w:bottom w:val="none" w:sz="0" w:space="0" w:color="auto"/>
            <w:right w:val="none" w:sz="0" w:space="0" w:color="auto"/>
          </w:divBdr>
          <w:divsChild>
            <w:div w:id="1552498435">
              <w:marLeft w:val="0"/>
              <w:marRight w:val="0"/>
              <w:marTop w:val="0"/>
              <w:marBottom w:val="0"/>
              <w:divBdr>
                <w:top w:val="none" w:sz="0" w:space="0" w:color="auto"/>
                <w:left w:val="none" w:sz="0" w:space="0" w:color="auto"/>
                <w:bottom w:val="none" w:sz="0" w:space="0" w:color="auto"/>
                <w:right w:val="none" w:sz="0" w:space="0" w:color="auto"/>
              </w:divBdr>
            </w:div>
          </w:divsChild>
        </w:div>
        <w:div w:id="98139739">
          <w:marLeft w:val="0"/>
          <w:marRight w:val="0"/>
          <w:marTop w:val="0"/>
          <w:marBottom w:val="0"/>
          <w:divBdr>
            <w:top w:val="none" w:sz="0" w:space="0" w:color="auto"/>
            <w:left w:val="none" w:sz="0" w:space="0" w:color="auto"/>
            <w:bottom w:val="none" w:sz="0" w:space="0" w:color="auto"/>
            <w:right w:val="none" w:sz="0" w:space="0" w:color="auto"/>
          </w:divBdr>
          <w:divsChild>
            <w:div w:id="636571373">
              <w:marLeft w:val="0"/>
              <w:marRight w:val="0"/>
              <w:marTop w:val="0"/>
              <w:marBottom w:val="0"/>
              <w:divBdr>
                <w:top w:val="none" w:sz="0" w:space="0" w:color="auto"/>
                <w:left w:val="none" w:sz="0" w:space="0" w:color="auto"/>
                <w:bottom w:val="none" w:sz="0" w:space="0" w:color="auto"/>
                <w:right w:val="none" w:sz="0" w:space="0" w:color="auto"/>
              </w:divBdr>
            </w:div>
          </w:divsChild>
        </w:div>
        <w:div w:id="2139564501">
          <w:marLeft w:val="0"/>
          <w:marRight w:val="0"/>
          <w:marTop w:val="0"/>
          <w:marBottom w:val="0"/>
          <w:divBdr>
            <w:top w:val="none" w:sz="0" w:space="0" w:color="auto"/>
            <w:left w:val="none" w:sz="0" w:space="0" w:color="auto"/>
            <w:bottom w:val="none" w:sz="0" w:space="0" w:color="auto"/>
            <w:right w:val="none" w:sz="0" w:space="0" w:color="auto"/>
          </w:divBdr>
          <w:divsChild>
            <w:div w:id="633104628">
              <w:marLeft w:val="0"/>
              <w:marRight w:val="0"/>
              <w:marTop w:val="0"/>
              <w:marBottom w:val="0"/>
              <w:divBdr>
                <w:top w:val="none" w:sz="0" w:space="0" w:color="auto"/>
                <w:left w:val="none" w:sz="0" w:space="0" w:color="auto"/>
                <w:bottom w:val="none" w:sz="0" w:space="0" w:color="auto"/>
                <w:right w:val="none" w:sz="0" w:space="0" w:color="auto"/>
              </w:divBdr>
            </w:div>
          </w:divsChild>
        </w:div>
        <w:div w:id="478497996">
          <w:marLeft w:val="0"/>
          <w:marRight w:val="0"/>
          <w:marTop w:val="0"/>
          <w:marBottom w:val="0"/>
          <w:divBdr>
            <w:top w:val="none" w:sz="0" w:space="0" w:color="auto"/>
            <w:left w:val="none" w:sz="0" w:space="0" w:color="auto"/>
            <w:bottom w:val="none" w:sz="0" w:space="0" w:color="auto"/>
            <w:right w:val="none" w:sz="0" w:space="0" w:color="auto"/>
          </w:divBdr>
          <w:divsChild>
            <w:div w:id="1821120434">
              <w:marLeft w:val="0"/>
              <w:marRight w:val="0"/>
              <w:marTop w:val="0"/>
              <w:marBottom w:val="0"/>
              <w:divBdr>
                <w:top w:val="none" w:sz="0" w:space="0" w:color="auto"/>
                <w:left w:val="none" w:sz="0" w:space="0" w:color="auto"/>
                <w:bottom w:val="none" w:sz="0" w:space="0" w:color="auto"/>
                <w:right w:val="none" w:sz="0" w:space="0" w:color="auto"/>
              </w:divBdr>
            </w:div>
          </w:divsChild>
        </w:div>
        <w:div w:id="1044451396">
          <w:marLeft w:val="0"/>
          <w:marRight w:val="0"/>
          <w:marTop w:val="0"/>
          <w:marBottom w:val="0"/>
          <w:divBdr>
            <w:top w:val="none" w:sz="0" w:space="0" w:color="auto"/>
            <w:left w:val="none" w:sz="0" w:space="0" w:color="auto"/>
            <w:bottom w:val="none" w:sz="0" w:space="0" w:color="auto"/>
            <w:right w:val="none" w:sz="0" w:space="0" w:color="auto"/>
          </w:divBdr>
          <w:divsChild>
            <w:div w:id="1540973493">
              <w:marLeft w:val="0"/>
              <w:marRight w:val="0"/>
              <w:marTop w:val="0"/>
              <w:marBottom w:val="0"/>
              <w:divBdr>
                <w:top w:val="none" w:sz="0" w:space="0" w:color="auto"/>
                <w:left w:val="none" w:sz="0" w:space="0" w:color="auto"/>
                <w:bottom w:val="none" w:sz="0" w:space="0" w:color="auto"/>
                <w:right w:val="none" w:sz="0" w:space="0" w:color="auto"/>
              </w:divBdr>
            </w:div>
          </w:divsChild>
        </w:div>
        <w:div w:id="164826361">
          <w:marLeft w:val="0"/>
          <w:marRight w:val="0"/>
          <w:marTop w:val="0"/>
          <w:marBottom w:val="0"/>
          <w:divBdr>
            <w:top w:val="none" w:sz="0" w:space="0" w:color="auto"/>
            <w:left w:val="none" w:sz="0" w:space="0" w:color="auto"/>
            <w:bottom w:val="none" w:sz="0" w:space="0" w:color="auto"/>
            <w:right w:val="none" w:sz="0" w:space="0" w:color="auto"/>
          </w:divBdr>
          <w:divsChild>
            <w:div w:id="230233136">
              <w:marLeft w:val="0"/>
              <w:marRight w:val="0"/>
              <w:marTop w:val="0"/>
              <w:marBottom w:val="0"/>
              <w:divBdr>
                <w:top w:val="none" w:sz="0" w:space="0" w:color="auto"/>
                <w:left w:val="none" w:sz="0" w:space="0" w:color="auto"/>
                <w:bottom w:val="none" w:sz="0" w:space="0" w:color="auto"/>
                <w:right w:val="none" w:sz="0" w:space="0" w:color="auto"/>
              </w:divBdr>
            </w:div>
          </w:divsChild>
        </w:div>
        <w:div w:id="2111853531">
          <w:marLeft w:val="0"/>
          <w:marRight w:val="0"/>
          <w:marTop w:val="0"/>
          <w:marBottom w:val="0"/>
          <w:divBdr>
            <w:top w:val="none" w:sz="0" w:space="0" w:color="auto"/>
            <w:left w:val="none" w:sz="0" w:space="0" w:color="auto"/>
            <w:bottom w:val="none" w:sz="0" w:space="0" w:color="auto"/>
            <w:right w:val="none" w:sz="0" w:space="0" w:color="auto"/>
          </w:divBdr>
          <w:divsChild>
            <w:div w:id="1211839285">
              <w:marLeft w:val="0"/>
              <w:marRight w:val="0"/>
              <w:marTop w:val="0"/>
              <w:marBottom w:val="0"/>
              <w:divBdr>
                <w:top w:val="none" w:sz="0" w:space="0" w:color="auto"/>
                <w:left w:val="none" w:sz="0" w:space="0" w:color="auto"/>
                <w:bottom w:val="none" w:sz="0" w:space="0" w:color="auto"/>
                <w:right w:val="none" w:sz="0" w:space="0" w:color="auto"/>
              </w:divBdr>
            </w:div>
          </w:divsChild>
        </w:div>
        <w:div w:id="1833716250">
          <w:marLeft w:val="0"/>
          <w:marRight w:val="0"/>
          <w:marTop w:val="0"/>
          <w:marBottom w:val="0"/>
          <w:divBdr>
            <w:top w:val="none" w:sz="0" w:space="0" w:color="auto"/>
            <w:left w:val="none" w:sz="0" w:space="0" w:color="auto"/>
            <w:bottom w:val="none" w:sz="0" w:space="0" w:color="auto"/>
            <w:right w:val="none" w:sz="0" w:space="0" w:color="auto"/>
          </w:divBdr>
          <w:divsChild>
            <w:div w:id="724305079">
              <w:marLeft w:val="0"/>
              <w:marRight w:val="0"/>
              <w:marTop w:val="0"/>
              <w:marBottom w:val="0"/>
              <w:divBdr>
                <w:top w:val="none" w:sz="0" w:space="0" w:color="auto"/>
                <w:left w:val="none" w:sz="0" w:space="0" w:color="auto"/>
                <w:bottom w:val="none" w:sz="0" w:space="0" w:color="auto"/>
                <w:right w:val="none" w:sz="0" w:space="0" w:color="auto"/>
              </w:divBdr>
            </w:div>
          </w:divsChild>
        </w:div>
        <w:div w:id="1578399067">
          <w:marLeft w:val="0"/>
          <w:marRight w:val="0"/>
          <w:marTop w:val="0"/>
          <w:marBottom w:val="0"/>
          <w:divBdr>
            <w:top w:val="none" w:sz="0" w:space="0" w:color="auto"/>
            <w:left w:val="none" w:sz="0" w:space="0" w:color="auto"/>
            <w:bottom w:val="none" w:sz="0" w:space="0" w:color="auto"/>
            <w:right w:val="none" w:sz="0" w:space="0" w:color="auto"/>
          </w:divBdr>
          <w:divsChild>
            <w:div w:id="1729917405">
              <w:marLeft w:val="0"/>
              <w:marRight w:val="0"/>
              <w:marTop w:val="0"/>
              <w:marBottom w:val="0"/>
              <w:divBdr>
                <w:top w:val="none" w:sz="0" w:space="0" w:color="auto"/>
                <w:left w:val="none" w:sz="0" w:space="0" w:color="auto"/>
                <w:bottom w:val="none" w:sz="0" w:space="0" w:color="auto"/>
                <w:right w:val="none" w:sz="0" w:space="0" w:color="auto"/>
              </w:divBdr>
            </w:div>
          </w:divsChild>
        </w:div>
        <w:div w:id="1513031439">
          <w:marLeft w:val="0"/>
          <w:marRight w:val="0"/>
          <w:marTop w:val="0"/>
          <w:marBottom w:val="0"/>
          <w:divBdr>
            <w:top w:val="none" w:sz="0" w:space="0" w:color="auto"/>
            <w:left w:val="none" w:sz="0" w:space="0" w:color="auto"/>
            <w:bottom w:val="none" w:sz="0" w:space="0" w:color="auto"/>
            <w:right w:val="none" w:sz="0" w:space="0" w:color="auto"/>
          </w:divBdr>
          <w:divsChild>
            <w:div w:id="1301610755">
              <w:marLeft w:val="0"/>
              <w:marRight w:val="0"/>
              <w:marTop w:val="0"/>
              <w:marBottom w:val="0"/>
              <w:divBdr>
                <w:top w:val="none" w:sz="0" w:space="0" w:color="auto"/>
                <w:left w:val="none" w:sz="0" w:space="0" w:color="auto"/>
                <w:bottom w:val="none" w:sz="0" w:space="0" w:color="auto"/>
                <w:right w:val="none" w:sz="0" w:space="0" w:color="auto"/>
              </w:divBdr>
            </w:div>
          </w:divsChild>
        </w:div>
        <w:div w:id="1003168277">
          <w:marLeft w:val="0"/>
          <w:marRight w:val="0"/>
          <w:marTop w:val="0"/>
          <w:marBottom w:val="0"/>
          <w:divBdr>
            <w:top w:val="none" w:sz="0" w:space="0" w:color="auto"/>
            <w:left w:val="none" w:sz="0" w:space="0" w:color="auto"/>
            <w:bottom w:val="none" w:sz="0" w:space="0" w:color="auto"/>
            <w:right w:val="none" w:sz="0" w:space="0" w:color="auto"/>
          </w:divBdr>
          <w:divsChild>
            <w:div w:id="1491750859">
              <w:marLeft w:val="0"/>
              <w:marRight w:val="0"/>
              <w:marTop w:val="0"/>
              <w:marBottom w:val="0"/>
              <w:divBdr>
                <w:top w:val="none" w:sz="0" w:space="0" w:color="auto"/>
                <w:left w:val="none" w:sz="0" w:space="0" w:color="auto"/>
                <w:bottom w:val="none" w:sz="0" w:space="0" w:color="auto"/>
                <w:right w:val="none" w:sz="0" w:space="0" w:color="auto"/>
              </w:divBdr>
            </w:div>
          </w:divsChild>
        </w:div>
        <w:div w:id="1658416288">
          <w:marLeft w:val="0"/>
          <w:marRight w:val="0"/>
          <w:marTop w:val="0"/>
          <w:marBottom w:val="0"/>
          <w:divBdr>
            <w:top w:val="none" w:sz="0" w:space="0" w:color="auto"/>
            <w:left w:val="none" w:sz="0" w:space="0" w:color="auto"/>
            <w:bottom w:val="none" w:sz="0" w:space="0" w:color="auto"/>
            <w:right w:val="none" w:sz="0" w:space="0" w:color="auto"/>
          </w:divBdr>
          <w:divsChild>
            <w:div w:id="213927580">
              <w:marLeft w:val="0"/>
              <w:marRight w:val="0"/>
              <w:marTop w:val="0"/>
              <w:marBottom w:val="0"/>
              <w:divBdr>
                <w:top w:val="none" w:sz="0" w:space="0" w:color="auto"/>
                <w:left w:val="none" w:sz="0" w:space="0" w:color="auto"/>
                <w:bottom w:val="none" w:sz="0" w:space="0" w:color="auto"/>
                <w:right w:val="none" w:sz="0" w:space="0" w:color="auto"/>
              </w:divBdr>
            </w:div>
          </w:divsChild>
        </w:div>
        <w:div w:id="675159461">
          <w:marLeft w:val="0"/>
          <w:marRight w:val="0"/>
          <w:marTop w:val="0"/>
          <w:marBottom w:val="0"/>
          <w:divBdr>
            <w:top w:val="none" w:sz="0" w:space="0" w:color="auto"/>
            <w:left w:val="none" w:sz="0" w:space="0" w:color="auto"/>
            <w:bottom w:val="none" w:sz="0" w:space="0" w:color="auto"/>
            <w:right w:val="none" w:sz="0" w:space="0" w:color="auto"/>
          </w:divBdr>
          <w:divsChild>
            <w:div w:id="1736197009">
              <w:marLeft w:val="0"/>
              <w:marRight w:val="0"/>
              <w:marTop w:val="0"/>
              <w:marBottom w:val="0"/>
              <w:divBdr>
                <w:top w:val="none" w:sz="0" w:space="0" w:color="auto"/>
                <w:left w:val="none" w:sz="0" w:space="0" w:color="auto"/>
                <w:bottom w:val="none" w:sz="0" w:space="0" w:color="auto"/>
                <w:right w:val="none" w:sz="0" w:space="0" w:color="auto"/>
              </w:divBdr>
            </w:div>
          </w:divsChild>
        </w:div>
        <w:div w:id="744034146">
          <w:marLeft w:val="0"/>
          <w:marRight w:val="0"/>
          <w:marTop w:val="0"/>
          <w:marBottom w:val="0"/>
          <w:divBdr>
            <w:top w:val="none" w:sz="0" w:space="0" w:color="auto"/>
            <w:left w:val="none" w:sz="0" w:space="0" w:color="auto"/>
            <w:bottom w:val="none" w:sz="0" w:space="0" w:color="auto"/>
            <w:right w:val="none" w:sz="0" w:space="0" w:color="auto"/>
          </w:divBdr>
          <w:divsChild>
            <w:div w:id="1105659649">
              <w:marLeft w:val="0"/>
              <w:marRight w:val="0"/>
              <w:marTop w:val="0"/>
              <w:marBottom w:val="0"/>
              <w:divBdr>
                <w:top w:val="none" w:sz="0" w:space="0" w:color="auto"/>
                <w:left w:val="none" w:sz="0" w:space="0" w:color="auto"/>
                <w:bottom w:val="none" w:sz="0" w:space="0" w:color="auto"/>
                <w:right w:val="none" w:sz="0" w:space="0" w:color="auto"/>
              </w:divBdr>
            </w:div>
          </w:divsChild>
        </w:div>
        <w:div w:id="325788779">
          <w:marLeft w:val="0"/>
          <w:marRight w:val="0"/>
          <w:marTop w:val="0"/>
          <w:marBottom w:val="0"/>
          <w:divBdr>
            <w:top w:val="none" w:sz="0" w:space="0" w:color="auto"/>
            <w:left w:val="none" w:sz="0" w:space="0" w:color="auto"/>
            <w:bottom w:val="none" w:sz="0" w:space="0" w:color="auto"/>
            <w:right w:val="none" w:sz="0" w:space="0" w:color="auto"/>
          </w:divBdr>
          <w:divsChild>
            <w:div w:id="811486517">
              <w:marLeft w:val="0"/>
              <w:marRight w:val="0"/>
              <w:marTop w:val="0"/>
              <w:marBottom w:val="0"/>
              <w:divBdr>
                <w:top w:val="none" w:sz="0" w:space="0" w:color="auto"/>
                <w:left w:val="none" w:sz="0" w:space="0" w:color="auto"/>
                <w:bottom w:val="none" w:sz="0" w:space="0" w:color="auto"/>
                <w:right w:val="none" w:sz="0" w:space="0" w:color="auto"/>
              </w:divBdr>
            </w:div>
          </w:divsChild>
        </w:div>
        <w:div w:id="1400324446">
          <w:marLeft w:val="0"/>
          <w:marRight w:val="0"/>
          <w:marTop w:val="0"/>
          <w:marBottom w:val="0"/>
          <w:divBdr>
            <w:top w:val="none" w:sz="0" w:space="0" w:color="auto"/>
            <w:left w:val="none" w:sz="0" w:space="0" w:color="auto"/>
            <w:bottom w:val="none" w:sz="0" w:space="0" w:color="auto"/>
            <w:right w:val="none" w:sz="0" w:space="0" w:color="auto"/>
          </w:divBdr>
          <w:divsChild>
            <w:div w:id="822161183">
              <w:marLeft w:val="0"/>
              <w:marRight w:val="0"/>
              <w:marTop w:val="0"/>
              <w:marBottom w:val="0"/>
              <w:divBdr>
                <w:top w:val="none" w:sz="0" w:space="0" w:color="auto"/>
                <w:left w:val="none" w:sz="0" w:space="0" w:color="auto"/>
                <w:bottom w:val="none" w:sz="0" w:space="0" w:color="auto"/>
                <w:right w:val="none" w:sz="0" w:space="0" w:color="auto"/>
              </w:divBdr>
            </w:div>
          </w:divsChild>
        </w:div>
        <w:div w:id="1376395500">
          <w:marLeft w:val="0"/>
          <w:marRight w:val="0"/>
          <w:marTop w:val="0"/>
          <w:marBottom w:val="0"/>
          <w:divBdr>
            <w:top w:val="none" w:sz="0" w:space="0" w:color="auto"/>
            <w:left w:val="none" w:sz="0" w:space="0" w:color="auto"/>
            <w:bottom w:val="none" w:sz="0" w:space="0" w:color="auto"/>
            <w:right w:val="none" w:sz="0" w:space="0" w:color="auto"/>
          </w:divBdr>
          <w:divsChild>
            <w:div w:id="1492482612">
              <w:marLeft w:val="0"/>
              <w:marRight w:val="0"/>
              <w:marTop w:val="0"/>
              <w:marBottom w:val="0"/>
              <w:divBdr>
                <w:top w:val="none" w:sz="0" w:space="0" w:color="auto"/>
                <w:left w:val="none" w:sz="0" w:space="0" w:color="auto"/>
                <w:bottom w:val="none" w:sz="0" w:space="0" w:color="auto"/>
                <w:right w:val="none" w:sz="0" w:space="0" w:color="auto"/>
              </w:divBdr>
            </w:div>
          </w:divsChild>
        </w:div>
        <w:div w:id="2043744561">
          <w:marLeft w:val="0"/>
          <w:marRight w:val="0"/>
          <w:marTop w:val="0"/>
          <w:marBottom w:val="0"/>
          <w:divBdr>
            <w:top w:val="none" w:sz="0" w:space="0" w:color="auto"/>
            <w:left w:val="none" w:sz="0" w:space="0" w:color="auto"/>
            <w:bottom w:val="none" w:sz="0" w:space="0" w:color="auto"/>
            <w:right w:val="none" w:sz="0" w:space="0" w:color="auto"/>
          </w:divBdr>
          <w:divsChild>
            <w:div w:id="353385719">
              <w:marLeft w:val="0"/>
              <w:marRight w:val="0"/>
              <w:marTop w:val="0"/>
              <w:marBottom w:val="0"/>
              <w:divBdr>
                <w:top w:val="none" w:sz="0" w:space="0" w:color="auto"/>
                <w:left w:val="none" w:sz="0" w:space="0" w:color="auto"/>
                <w:bottom w:val="none" w:sz="0" w:space="0" w:color="auto"/>
                <w:right w:val="none" w:sz="0" w:space="0" w:color="auto"/>
              </w:divBdr>
            </w:div>
          </w:divsChild>
        </w:div>
        <w:div w:id="1039818156">
          <w:marLeft w:val="0"/>
          <w:marRight w:val="0"/>
          <w:marTop w:val="0"/>
          <w:marBottom w:val="0"/>
          <w:divBdr>
            <w:top w:val="none" w:sz="0" w:space="0" w:color="auto"/>
            <w:left w:val="none" w:sz="0" w:space="0" w:color="auto"/>
            <w:bottom w:val="none" w:sz="0" w:space="0" w:color="auto"/>
            <w:right w:val="none" w:sz="0" w:space="0" w:color="auto"/>
          </w:divBdr>
          <w:divsChild>
            <w:div w:id="5393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D9741-1763-41F3-A2B4-84C3C7D3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12</Pages>
  <Words>65080</Words>
  <Characters>376817</Characters>
  <Application>Microsoft Office Word</Application>
  <DocSecurity>0</DocSecurity>
  <Lines>15072</Lines>
  <Paragraphs>11628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dc:description/>
  <cp:lastModifiedBy>CCERINO</cp:lastModifiedBy>
  <cp:revision>34</cp:revision>
  <dcterms:created xsi:type="dcterms:W3CDTF">2017-12-08T17:15:00Z</dcterms:created>
  <dcterms:modified xsi:type="dcterms:W3CDTF">2019-08-31T01:00:00Z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http://csl.mendeley.com/styles/484500301/bmj-PDSA</vt:lpwstr>
  </property>
  <property fmtid="{D5CDD505-2E9C-101B-9397-08002B2CF9AE}" pid="11" name="Mendeley Recent Style Name 4_1">
    <vt:lpwstr>BMJ - Henrik Vitus Bering Laursen</vt:lpwstr>
  </property>
  <property fmtid="{D5CDD505-2E9C-101B-9397-08002B2CF9AE}" pid="12" name="Mendeley Recent Style Id 5_1">
    <vt:lpwstr>http://www.zotero.org/styles/bmj-quality-and-safety</vt:lpwstr>
  </property>
  <property fmtid="{D5CDD505-2E9C-101B-9397-08002B2CF9AE}" pid="13" name="Mendeley Recent Style Name 5_1">
    <vt:lpwstr>BMJ Quality &amp; Safety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http://csl.mendeley.com/styles/484500301/bmj-PDSA</vt:lpwstr>
  </property>
  <property fmtid="{D5CDD505-2E9C-101B-9397-08002B2CF9AE}" pid="24" name="Mendeley Unique User Id_1">
    <vt:lpwstr>1706df60-a183-3d77-b2b9-dd0ecd44d2f7</vt:lpwstr>
  </property>
  <property fmtid="{D5CDD505-2E9C-101B-9397-08002B2CF9AE}" pid="25" name="ContentRemapped">
    <vt:lpwstr>true</vt:lpwstr>
  </property>
</Properties>
</file>