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BCE008" w14:textId="77777777" w:rsidR="00E324A4" w:rsidRPr="001F040C" w:rsidRDefault="00E324A4">
      <w:pPr>
        <w:rPr>
          <w:sz w:val="16"/>
          <w:szCs w:val="16"/>
        </w:rPr>
      </w:pPr>
    </w:p>
    <w:p w14:paraId="36EB657A" w14:textId="3AE73134" w:rsidR="00605098" w:rsidRPr="00F31042" w:rsidRDefault="00E324A4" w:rsidP="00145BA0">
      <w:pPr>
        <w:jc w:val="center"/>
        <w:rPr>
          <w:b/>
          <w:sz w:val="24"/>
          <w:szCs w:val="16"/>
        </w:rPr>
      </w:pPr>
      <w:r w:rsidRPr="00F31042">
        <w:rPr>
          <w:b/>
          <w:sz w:val="24"/>
          <w:szCs w:val="16"/>
        </w:rPr>
        <w:t>A</w:t>
      </w:r>
      <w:r w:rsidR="000040EA">
        <w:rPr>
          <w:b/>
          <w:sz w:val="24"/>
          <w:szCs w:val="16"/>
        </w:rPr>
        <w:t>dditional file</w:t>
      </w:r>
      <w:r w:rsidRPr="00F31042">
        <w:rPr>
          <w:b/>
          <w:sz w:val="24"/>
          <w:szCs w:val="16"/>
        </w:rPr>
        <w:t xml:space="preserve"> </w:t>
      </w:r>
      <w:r w:rsidR="00FC2C2B">
        <w:rPr>
          <w:b/>
          <w:sz w:val="24"/>
          <w:szCs w:val="16"/>
        </w:rPr>
        <w:t>3</w:t>
      </w:r>
      <w:bookmarkStart w:id="0" w:name="_GoBack"/>
      <w:bookmarkEnd w:id="0"/>
      <w:r w:rsidRPr="00F31042">
        <w:rPr>
          <w:b/>
          <w:sz w:val="24"/>
          <w:szCs w:val="16"/>
        </w:rPr>
        <w:t xml:space="preserve">: </w:t>
      </w:r>
      <w:r w:rsidR="00F31042" w:rsidRPr="00F31042">
        <w:rPr>
          <w:rFonts w:cs="TTE549D0B0t00"/>
          <w:b/>
          <w:sz w:val="24"/>
          <w:szCs w:val="32"/>
          <w:lang w:val="en-US"/>
        </w:rPr>
        <w:t>Studies identified in search that described PDSA method in sufficient detail to be included for full analysis for framework</w:t>
      </w:r>
    </w:p>
    <w:tbl>
      <w:tblPr>
        <w:tblStyle w:val="PlainTable2"/>
        <w:tblW w:w="14175" w:type="dxa"/>
        <w:tblLayout w:type="fixed"/>
        <w:tblLook w:val="04A0" w:firstRow="1" w:lastRow="0" w:firstColumn="1" w:lastColumn="0" w:noHBand="0" w:noVBand="1"/>
      </w:tblPr>
      <w:tblGrid>
        <w:gridCol w:w="1092"/>
        <w:gridCol w:w="689"/>
        <w:gridCol w:w="554"/>
        <w:gridCol w:w="826"/>
        <w:gridCol w:w="808"/>
        <w:gridCol w:w="571"/>
        <w:gridCol w:w="138"/>
        <w:gridCol w:w="823"/>
        <w:gridCol w:w="957"/>
        <w:gridCol w:w="690"/>
        <w:gridCol w:w="1098"/>
        <w:gridCol w:w="690"/>
        <w:gridCol w:w="825"/>
        <w:gridCol w:w="1098"/>
        <w:gridCol w:w="961"/>
        <w:gridCol w:w="87"/>
        <w:gridCol w:w="875"/>
        <w:gridCol w:w="1393"/>
      </w:tblGrid>
      <w:tr w:rsidR="00E42F62" w:rsidRPr="001F040C" w14:paraId="2C08A8E6" w14:textId="5D3668E4" w:rsidTr="002118F0">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7FA0D999" w14:textId="08C8A134" w:rsidR="00E42F62" w:rsidRPr="001F040C" w:rsidRDefault="00E42F62" w:rsidP="0087558F">
            <w:pPr>
              <w:rPr>
                <w:b w:val="0"/>
                <w:bCs w:val="0"/>
                <w:sz w:val="16"/>
                <w:szCs w:val="16"/>
              </w:rPr>
            </w:pPr>
            <w:r>
              <w:rPr>
                <w:sz w:val="16"/>
                <w:szCs w:val="16"/>
              </w:rPr>
              <w:t>Author</w:t>
            </w:r>
          </w:p>
        </w:tc>
        <w:tc>
          <w:tcPr>
            <w:tcW w:w="689" w:type="dxa"/>
            <w:hideMark/>
          </w:tcPr>
          <w:p w14:paraId="58C8D271" w14:textId="1CB2F1E3" w:rsidR="00E42F62" w:rsidRPr="001F040C" w:rsidRDefault="00E42F62" w:rsidP="0087558F">
            <w:pPr>
              <w:cnfStyle w:val="100000000000" w:firstRow="1" w:lastRow="0" w:firstColumn="0" w:lastColumn="0" w:oddVBand="0" w:evenVBand="0" w:oddHBand="0" w:evenHBand="0" w:firstRowFirstColumn="0" w:firstRowLastColumn="0" w:lastRowFirstColumn="0" w:lastRowLastColumn="0"/>
              <w:rPr>
                <w:b w:val="0"/>
                <w:bCs w:val="0"/>
                <w:sz w:val="16"/>
                <w:szCs w:val="16"/>
              </w:rPr>
            </w:pPr>
            <w:r>
              <w:rPr>
                <w:sz w:val="16"/>
                <w:szCs w:val="16"/>
              </w:rPr>
              <w:t>PDSA thoroughness</w:t>
            </w:r>
          </w:p>
        </w:tc>
        <w:tc>
          <w:tcPr>
            <w:tcW w:w="554" w:type="dxa"/>
            <w:hideMark/>
          </w:tcPr>
          <w:p w14:paraId="2B3E2FAA" w14:textId="6FEC3C12" w:rsidR="00E42F62" w:rsidRPr="001F040C" w:rsidRDefault="00E42F62" w:rsidP="0087558F">
            <w:pPr>
              <w:cnfStyle w:val="100000000000" w:firstRow="1" w:lastRow="0" w:firstColumn="0" w:lastColumn="0" w:oddVBand="0" w:evenVBand="0" w:oddHBand="0" w:evenHBand="0" w:firstRowFirstColumn="0" w:firstRowLastColumn="0" w:lastRowFirstColumn="0" w:lastRowLastColumn="0"/>
              <w:rPr>
                <w:b w:val="0"/>
                <w:bCs w:val="0"/>
                <w:sz w:val="16"/>
                <w:szCs w:val="16"/>
              </w:rPr>
            </w:pPr>
            <w:r>
              <w:rPr>
                <w:sz w:val="16"/>
                <w:szCs w:val="16"/>
              </w:rPr>
              <w:t>Iterative</w:t>
            </w:r>
          </w:p>
        </w:tc>
        <w:tc>
          <w:tcPr>
            <w:tcW w:w="826" w:type="dxa"/>
            <w:hideMark/>
          </w:tcPr>
          <w:p w14:paraId="0BB754D8" w14:textId="6AD84BE9" w:rsidR="00E42F62" w:rsidRPr="001F040C" w:rsidRDefault="00E42F62" w:rsidP="0087558F">
            <w:pPr>
              <w:cnfStyle w:val="100000000000" w:firstRow="1" w:lastRow="0" w:firstColumn="0" w:lastColumn="0" w:oddVBand="0" w:evenVBand="0" w:oddHBand="0" w:evenHBand="0" w:firstRowFirstColumn="0" w:firstRowLastColumn="0" w:lastRowFirstColumn="0" w:lastRowLastColumn="0"/>
              <w:rPr>
                <w:b w:val="0"/>
                <w:bCs w:val="0"/>
                <w:sz w:val="16"/>
                <w:szCs w:val="16"/>
              </w:rPr>
            </w:pPr>
            <w:r>
              <w:rPr>
                <w:sz w:val="16"/>
                <w:szCs w:val="16"/>
              </w:rPr>
              <w:t>Type of iterative cycles</w:t>
            </w:r>
          </w:p>
        </w:tc>
        <w:tc>
          <w:tcPr>
            <w:tcW w:w="808" w:type="dxa"/>
            <w:hideMark/>
          </w:tcPr>
          <w:p w14:paraId="133E8BE8" w14:textId="1AC84C0B" w:rsidR="00E42F62" w:rsidRPr="001F040C" w:rsidRDefault="00E42F62" w:rsidP="0087558F">
            <w:pPr>
              <w:cnfStyle w:val="100000000000" w:firstRow="1" w:lastRow="0" w:firstColumn="0" w:lastColumn="0" w:oddVBand="0" w:evenVBand="0" w:oddHBand="0" w:evenHBand="0" w:firstRowFirstColumn="0" w:firstRowLastColumn="0" w:lastRowFirstColumn="0" w:lastRowLastColumn="0"/>
              <w:rPr>
                <w:b w:val="0"/>
                <w:bCs w:val="0"/>
                <w:sz w:val="16"/>
                <w:szCs w:val="16"/>
              </w:rPr>
            </w:pPr>
            <w:r>
              <w:rPr>
                <w:sz w:val="16"/>
                <w:szCs w:val="16"/>
              </w:rPr>
              <w:t>Several tests of change in cycle</w:t>
            </w:r>
          </w:p>
        </w:tc>
        <w:tc>
          <w:tcPr>
            <w:tcW w:w="709" w:type="dxa"/>
            <w:gridSpan w:val="2"/>
            <w:hideMark/>
          </w:tcPr>
          <w:p w14:paraId="618A07EA" w14:textId="42257A50" w:rsidR="00E42F62" w:rsidRPr="001F040C" w:rsidRDefault="00E42F62" w:rsidP="0087558F">
            <w:pPr>
              <w:cnfStyle w:val="100000000000" w:firstRow="1" w:lastRow="0" w:firstColumn="0" w:lastColumn="0" w:oddVBand="0" w:evenVBand="0" w:oddHBand="0" w:evenHBand="0" w:firstRowFirstColumn="0" w:firstRowLastColumn="0" w:lastRowFirstColumn="0" w:lastRowLastColumn="0"/>
              <w:rPr>
                <w:b w:val="0"/>
                <w:bCs w:val="0"/>
                <w:sz w:val="16"/>
                <w:szCs w:val="16"/>
              </w:rPr>
            </w:pPr>
            <w:r>
              <w:rPr>
                <w:sz w:val="16"/>
                <w:szCs w:val="16"/>
              </w:rPr>
              <w:t>Small scale testing used</w:t>
            </w:r>
          </w:p>
        </w:tc>
        <w:tc>
          <w:tcPr>
            <w:tcW w:w="823" w:type="dxa"/>
            <w:hideMark/>
          </w:tcPr>
          <w:p w14:paraId="075E8489" w14:textId="26B5B554" w:rsidR="00E42F62" w:rsidRPr="001F040C" w:rsidRDefault="00E42F62" w:rsidP="0087558F">
            <w:pPr>
              <w:cnfStyle w:val="100000000000" w:firstRow="1" w:lastRow="0" w:firstColumn="0" w:lastColumn="0" w:oddVBand="0" w:evenVBand="0" w:oddHBand="0" w:evenHBand="0" w:firstRowFirstColumn="0" w:firstRowLastColumn="0" w:lastRowFirstColumn="0" w:lastRowLastColumn="0"/>
              <w:rPr>
                <w:b w:val="0"/>
                <w:bCs w:val="0"/>
                <w:sz w:val="16"/>
                <w:szCs w:val="16"/>
              </w:rPr>
            </w:pPr>
            <w:r>
              <w:rPr>
                <w:sz w:val="16"/>
                <w:szCs w:val="16"/>
              </w:rPr>
              <w:t>Scope of QI efforts</w:t>
            </w:r>
          </w:p>
        </w:tc>
        <w:tc>
          <w:tcPr>
            <w:tcW w:w="957" w:type="dxa"/>
            <w:hideMark/>
          </w:tcPr>
          <w:p w14:paraId="73D05BD2" w14:textId="72CCD39F" w:rsidR="00E42F62" w:rsidRPr="001F040C" w:rsidRDefault="00E42F62" w:rsidP="0087558F">
            <w:pPr>
              <w:cnfStyle w:val="100000000000" w:firstRow="1" w:lastRow="0" w:firstColumn="0" w:lastColumn="0" w:oddVBand="0" w:evenVBand="0" w:oddHBand="0" w:evenHBand="0" w:firstRowFirstColumn="0" w:firstRowLastColumn="0" w:lastRowFirstColumn="0" w:lastRowLastColumn="0"/>
              <w:rPr>
                <w:b w:val="0"/>
                <w:bCs w:val="0"/>
                <w:sz w:val="16"/>
                <w:szCs w:val="16"/>
              </w:rPr>
            </w:pPr>
            <w:r>
              <w:rPr>
                <w:sz w:val="16"/>
                <w:szCs w:val="16"/>
              </w:rPr>
              <w:t>Type of scaling in testing</w:t>
            </w:r>
          </w:p>
        </w:tc>
        <w:tc>
          <w:tcPr>
            <w:tcW w:w="690" w:type="dxa"/>
            <w:hideMark/>
          </w:tcPr>
          <w:p w14:paraId="1B5F7895" w14:textId="0CFFA7F7" w:rsidR="00E42F62" w:rsidRPr="001F040C" w:rsidRDefault="00E42F62" w:rsidP="0087558F">
            <w:pPr>
              <w:cnfStyle w:val="100000000000" w:firstRow="1" w:lastRow="0" w:firstColumn="0" w:lastColumn="0" w:oddVBand="0" w:evenVBand="0" w:oddHBand="0" w:evenHBand="0" w:firstRowFirstColumn="0" w:firstRowLastColumn="0" w:lastRowFirstColumn="0" w:lastRowLastColumn="0"/>
              <w:rPr>
                <w:b w:val="0"/>
                <w:bCs w:val="0"/>
                <w:sz w:val="16"/>
                <w:szCs w:val="16"/>
              </w:rPr>
            </w:pPr>
            <w:r>
              <w:rPr>
                <w:sz w:val="16"/>
                <w:szCs w:val="16"/>
              </w:rPr>
              <w:t>Data over time used</w:t>
            </w:r>
          </w:p>
        </w:tc>
        <w:tc>
          <w:tcPr>
            <w:tcW w:w="1098" w:type="dxa"/>
            <w:hideMark/>
          </w:tcPr>
          <w:p w14:paraId="38A1B82F" w14:textId="490CB8E1" w:rsidR="00E42F62" w:rsidRPr="001F040C" w:rsidRDefault="00E42F62" w:rsidP="0087558F">
            <w:pPr>
              <w:cnfStyle w:val="100000000000" w:firstRow="1" w:lastRow="0" w:firstColumn="0" w:lastColumn="0" w:oddVBand="0" w:evenVBand="0" w:oddHBand="0" w:evenHBand="0" w:firstRowFirstColumn="0" w:firstRowLastColumn="0" w:lastRowFirstColumn="0" w:lastRowLastColumn="0"/>
              <w:rPr>
                <w:b w:val="0"/>
                <w:bCs w:val="0"/>
                <w:sz w:val="16"/>
                <w:szCs w:val="16"/>
              </w:rPr>
            </w:pPr>
            <w:r>
              <w:rPr>
                <w:sz w:val="16"/>
                <w:szCs w:val="16"/>
              </w:rPr>
              <w:t>Data over time measurement type</w:t>
            </w:r>
          </w:p>
        </w:tc>
        <w:tc>
          <w:tcPr>
            <w:tcW w:w="690" w:type="dxa"/>
            <w:hideMark/>
          </w:tcPr>
          <w:p w14:paraId="2F23A490" w14:textId="589065ED" w:rsidR="00E42F62" w:rsidRPr="001F040C" w:rsidRDefault="00E42F62" w:rsidP="0087558F">
            <w:pPr>
              <w:cnfStyle w:val="100000000000" w:firstRow="1" w:lastRow="0" w:firstColumn="0" w:lastColumn="0" w:oddVBand="0" w:evenVBand="0" w:oddHBand="0" w:evenHBand="0" w:firstRowFirstColumn="0" w:firstRowLastColumn="0" w:lastRowFirstColumn="0" w:lastRowLastColumn="0"/>
              <w:rPr>
                <w:b w:val="0"/>
                <w:bCs w:val="0"/>
                <w:sz w:val="16"/>
                <w:szCs w:val="16"/>
              </w:rPr>
            </w:pPr>
            <w:r>
              <w:rPr>
                <w:sz w:val="16"/>
                <w:szCs w:val="16"/>
              </w:rPr>
              <w:t>Baseline used</w:t>
            </w:r>
          </w:p>
        </w:tc>
        <w:tc>
          <w:tcPr>
            <w:tcW w:w="825" w:type="dxa"/>
            <w:hideMark/>
          </w:tcPr>
          <w:p w14:paraId="056CF8B7" w14:textId="033078D8" w:rsidR="00E42F62" w:rsidRPr="001F040C" w:rsidRDefault="00E42F62" w:rsidP="0087558F">
            <w:pPr>
              <w:cnfStyle w:val="100000000000" w:firstRow="1" w:lastRow="0" w:firstColumn="0" w:lastColumn="0" w:oddVBand="0" w:evenVBand="0" w:oddHBand="0" w:evenHBand="0" w:firstRowFirstColumn="0" w:firstRowLastColumn="0" w:lastRowFirstColumn="0" w:lastRowLastColumn="0"/>
              <w:rPr>
                <w:b w:val="0"/>
                <w:bCs w:val="0"/>
                <w:sz w:val="16"/>
                <w:szCs w:val="16"/>
              </w:rPr>
            </w:pPr>
            <w:r w:rsidRPr="00DF2BBC">
              <w:rPr>
                <w:sz w:val="16"/>
                <w:szCs w:val="16"/>
              </w:rPr>
              <w:t>Type of time series</w:t>
            </w:r>
          </w:p>
        </w:tc>
        <w:tc>
          <w:tcPr>
            <w:tcW w:w="1098" w:type="dxa"/>
            <w:hideMark/>
          </w:tcPr>
          <w:p w14:paraId="408E3423" w14:textId="0731DB2F" w:rsidR="00E42F62" w:rsidRPr="001F040C" w:rsidRDefault="00E42F62" w:rsidP="0087558F">
            <w:pPr>
              <w:cnfStyle w:val="100000000000" w:firstRow="1" w:lastRow="0" w:firstColumn="0" w:lastColumn="0" w:oddVBand="0" w:evenVBand="0" w:oddHBand="0" w:evenHBand="0" w:firstRowFirstColumn="0" w:firstRowLastColumn="0" w:lastRowFirstColumn="0" w:lastRowLastColumn="0"/>
              <w:rPr>
                <w:b w:val="0"/>
                <w:bCs w:val="0"/>
                <w:sz w:val="16"/>
                <w:szCs w:val="16"/>
              </w:rPr>
            </w:pPr>
            <w:r w:rsidRPr="00DF2BBC">
              <w:rPr>
                <w:sz w:val="16"/>
                <w:szCs w:val="16"/>
              </w:rPr>
              <w:t>Main type of data used</w:t>
            </w:r>
          </w:p>
        </w:tc>
        <w:tc>
          <w:tcPr>
            <w:tcW w:w="1048" w:type="dxa"/>
            <w:gridSpan w:val="2"/>
            <w:hideMark/>
          </w:tcPr>
          <w:p w14:paraId="2A72EA46" w14:textId="7D2CB6F0" w:rsidR="00E42F62" w:rsidRPr="001F040C" w:rsidRDefault="00E42F62" w:rsidP="0087558F">
            <w:pPr>
              <w:cnfStyle w:val="100000000000" w:firstRow="1" w:lastRow="0" w:firstColumn="0" w:lastColumn="0" w:oddVBand="0" w:evenVBand="0" w:oddHBand="0" w:evenHBand="0" w:firstRowFirstColumn="0" w:firstRowLastColumn="0" w:lastRowFirstColumn="0" w:lastRowLastColumn="0"/>
              <w:rPr>
                <w:b w:val="0"/>
                <w:bCs w:val="0"/>
                <w:sz w:val="16"/>
                <w:szCs w:val="16"/>
              </w:rPr>
            </w:pPr>
            <w:r>
              <w:rPr>
                <w:sz w:val="16"/>
                <w:szCs w:val="16"/>
              </w:rPr>
              <w:t>Theoretical rationale</w:t>
            </w:r>
          </w:p>
        </w:tc>
        <w:tc>
          <w:tcPr>
            <w:tcW w:w="875" w:type="dxa"/>
            <w:hideMark/>
          </w:tcPr>
          <w:p w14:paraId="159244D1" w14:textId="77777777" w:rsidR="00E42F62" w:rsidRPr="001F040C" w:rsidRDefault="00E42F62" w:rsidP="0087558F">
            <w:pPr>
              <w:cnfStyle w:val="100000000000" w:firstRow="1" w:lastRow="0" w:firstColumn="0" w:lastColumn="0" w:oddVBand="0" w:evenVBand="0" w:oddHBand="0" w:evenHBand="0" w:firstRowFirstColumn="0" w:firstRowLastColumn="0" w:lastRowFirstColumn="0" w:lastRowLastColumn="0"/>
              <w:rPr>
                <w:b w:val="0"/>
                <w:bCs w:val="0"/>
                <w:sz w:val="16"/>
                <w:szCs w:val="16"/>
              </w:rPr>
            </w:pPr>
            <w:r w:rsidRPr="00145BA0">
              <w:rPr>
                <w:sz w:val="16"/>
                <w:szCs w:val="16"/>
              </w:rPr>
              <w:t>Evidence based improvement</w:t>
            </w:r>
          </w:p>
        </w:tc>
        <w:tc>
          <w:tcPr>
            <w:tcW w:w="1393" w:type="dxa"/>
            <w:hideMark/>
          </w:tcPr>
          <w:p w14:paraId="2766C10C" w14:textId="7B50DCBF" w:rsidR="00E42F62" w:rsidRPr="001F040C" w:rsidRDefault="00E42F62" w:rsidP="0087558F">
            <w:pPr>
              <w:cnfStyle w:val="100000000000" w:firstRow="1" w:lastRow="0" w:firstColumn="0" w:lastColumn="0" w:oddVBand="0" w:evenVBand="0" w:oddHBand="0" w:evenHBand="0" w:firstRowFirstColumn="0" w:firstRowLastColumn="0" w:lastRowFirstColumn="0" w:lastRowLastColumn="0"/>
              <w:rPr>
                <w:b w:val="0"/>
                <w:bCs w:val="0"/>
                <w:sz w:val="16"/>
                <w:szCs w:val="16"/>
              </w:rPr>
            </w:pPr>
            <w:r>
              <w:rPr>
                <w:sz w:val="16"/>
                <w:szCs w:val="16"/>
              </w:rPr>
              <w:t>Origin of confidence in improvement process</w:t>
            </w:r>
          </w:p>
        </w:tc>
      </w:tr>
      <w:tr w:rsidR="00E42F62" w:rsidRPr="001F040C" w14:paraId="60FF98AC" w14:textId="6CE47928" w:rsidTr="002118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63445A97" w14:textId="2D14F6C3"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"10.1136/bmjquality.u201413.w1473", "ISSN" : "2050-1315", "PMID" : "26734412", "abstract" : "The ultimate goal of every tuberculosis (TB) treatment program is a high treatment success rate. Treatment success is extremely important because, when the rate is high, it significantly contributes to declining numbers of new cases by reducing the number and period of infectious cases, TB morbidity and mortality, and prevents the emergence of resistant strains. Our aim was to decrease TB mortality by increasing pulmonary TB patients' treatment success rate to at least 85 % in Lacs Health District by end of July 2014. A systems and dialogic analysis of the public health system related to TB patients' treatment revealed that it was not performing well; we found weak coverage and quality of TB services, a poorly-functioning TB health information system, poor-performing health workforce, poor availability of HIV tests and antiretroviral for TB patients, and low degree of patients' participation in their care. We redesigned the system to correct those weaknesses. The effectiveness of these changes was monitored using plan, do, study, act (PDSA) cycles. We increased TB patient success rate from 80% to 95% between February 2012 and July 2014.The mortality rate dropped from 13% to 3% and the failure to follow-up rate dropped from 3% to 2%. In conclusion, district health systems performance depends on factors such as the closeness of services to population; skilled workforce; the ability to collect and analyze data and use information for action; population empowerment, and good management and improvement capabilities of management team especially the public health director. High TB patients' success rate depends also on the availability of antiretroviral drugs. It is highly important that every district health management team member develops improvement capabilities.", "author" : [ { "dropping-particle" : "", "family" : "Afanvi", "given" : "Kossivi Agbelenko", "non-dropping-particle" : "", "parse-names" : false, "suffix" : "" } ], "container-title" : "BMJ Quality Improvement Reports", "id" : "ITEM-1", "issue" : "1", "issued" : { "date-parts" : [ [ "2015" ] ] }, "page" : "u201413.w1473", "publisher-place" : "England", "title" : "From many deaths to some few cases of drug-resistant tuberculosis: travelling with the systems quality improvement model in Lacs Health District, Togo", "type" : "article-journal", "volume" : "4" }, "uris" : [ "http://www.mendeley.com/documents/?uuid=e57d4ecb-98c2-4755-8b5a-c56e626c5246" ] } ], "mendeley" : { "formattedCitation" : "[1]", "plainTextFormattedCitation" : "[1]", "previouslyFormattedCitation" : "[1]" }, "properties" : {  }, "schema" : "https://github.com/citation-style-language/schema/raw/master/csl-citation.json" }</w:instrText>
            </w:r>
            <w:r w:rsidRPr="001F040C">
              <w:rPr>
                <w:sz w:val="16"/>
                <w:szCs w:val="16"/>
              </w:rPr>
              <w:fldChar w:fldCharType="separate"/>
            </w:r>
            <w:r w:rsidRPr="0056067F">
              <w:rPr>
                <w:noProof/>
                <w:sz w:val="16"/>
                <w:szCs w:val="16"/>
              </w:rPr>
              <w:t>[1]</w:t>
            </w:r>
            <w:r w:rsidRPr="001F040C">
              <w:rPr>
                <w:sz w:val="16"/>
                <w:szCs w:val="16"/>
              </w:rPr>
              <w:fldChar w:fldCharType="end"/>
            </w:r>
            <w:r w:rsidRPr="001F040C">
              <w:rPr>
                <w:sz w:val="16"/>
                <w:szCs w:val="16"/>
              </w:rPr>
              <w:t xml:space="preserve"> Afanvi</w:t>
            </w:r>
          </w:p>
        </w:tc>
        <w:tc>
          <w:tcPr>
            <w:tcW w:w="689" w:type="dxa"/>
            <w:hideMark/>
          </w:tcPr>
          <w:p w14:paraId="5054474B" w14:textId="5E2A749D"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3</w:t>
            </w:r>
          </w:p>
        </w:tc>
        <w:tc>
          <w:tcPr>
            <w:tcW w:w="554" w:type="dxa"/>
            <w:hideMark/>
          </w:tcPr>
          <w:p w14:paraId="4C3FEC6D"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6" w:type="dxa"/>
            <w:hideMark/>
          </w:tcPr>
          <w:p w14:paraId="4B5DE5D1"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Iterative chain</w:t>
            </w:r>
          </w:p>
        </w:tc>
        <w:tc>
          <w:tcPr>
            <w:tcW w:w="808" w:type="dxa"/>
            <w:hideMark/>
          </w:tcPr>
          <w:p w14:paraId="6C46630E"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571" w:type="dxa"/>
            <w:hideMark/>
          </w:tcPr>
          <w:p w14:paraId="63531203"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04E6D5BC"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Implementation</w:t>
            </w:r>
          </w:p>
        </w:tc>
        <w:tc>
          <w:tcPr>
            <w:tcW w:w="957" w:type="dxa"/>
            <w:hideMark/>
          </w:tcPr>
          <w:p w14:paraId="38EC657E"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N/A</w:t>
            </w:r>
          </w:p>
        </w:tc>
        <w:tc>
          <w:tcPr>
            <w:tcW w:w="690" w:type="dxa"/>
            <w:hideMark/>
          </w:tcPr>
          <w:p w14:paraId="5FFE5B01"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1098" w:type="dxa"/>
            <w:hideMark/>
          </w:tcPr>
          <w:p w14:paraId="3BF61319"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Regular: Three datapoints or more</w:t>
            </w:r>
          </w:p>
        </w:tc>
        <w:tc>
          <w:tcPr>
            <w:tcW w:w="690" w:type="dxa"/>
            <w:hideMark/>
          </w:tcPr>
          <w:p w14:paraId="6A4788D6"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5" w:type="dxa"/>
            <w:hideMark/>
          </w:tcPr>
          <w:p w14:paraId="55596304"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Control Chart</w:t>
            </w:r>
          </w:p>
        </w:tc>
        <w:tc>
          <w:tcPr>
            <w:tcW w:w="1098" w:type="dxa"/>
            <w:hideMark/>
          </w:tcPr>
          <w:p w14:paraId="61387228"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Quantitative</w:t>
            </w:r>
          </w:p>
        </w:tc>
        <w:tc>
          <w:tcPr>
            <w:tcW w:w="961" w:type="dxa"/>
            <w:hideMark/>
          </w:tcPr>
          <w:p w14:paraId="4D806357"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962" w:type="dxa"/>
            <w:gridSpan w:val="2"/>
            <w:hideMark/>
          </w:tcPr>
          <w:p w14:paraId="516FCF48" w14:textId="12E2FBD6"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Yes</w:t>
            </w:r>
          </w:p>
        </w:tc>
        <w:tc>
          <w:tcPr>
            <w:tcW w:w="1393" w:type="dxa"/>
            <w:hideMark/>
          </w:tcPr>
          <w:p w14:paraId="496FCC5B" w14:textId="2AD6ACCA"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 xml:space="preserve">External existing knowledge </w:t>
            </w:r>
            <w:r>
              <w:rPr>
                <w:sz w:val="16"/>
                <w:szCs w:val="16"/>
              </w:rPr>
              <w:t>–</w:t>
            </w:r>
            <w:r w:rsidRPr="001F040C">
              <w:rPr>
                <w:sz w:val="16"/>
                <w:szCs w:val="16"/>
              </w:rPr>
              <w:t xml:space="preserve"> Literature</w:t>
            </w:r>
            <w:r>
              <w:rPr>
                <w:sz w:val="16"/>
                <w:szCs w:val="16"/>
              </w:rPr>
              <w:t xml:space="preserve"> </w:t>
            </w:r>
            <w:r w:rsidRPr="001F040C">
              <w:rPr>
                <w:sz w:val="16"/>
                <w:szCs w:val="16"/>
              </w:rPr>
              <w:t>(EBM)</w:t>
            </w:r>
          </w:p>
        </w:tc>
      </w:tr>
      <w:tr w:rsidR="00E42F62" w:rsidRPr="001F040C" w14:paraId="58FCDEE7" w14:textId="32455578" w:rsidTr="002118F0">
        <w:trPr>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4890E19D" w14:textId="755DD52D"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"10.1136/bmjquality.u212405.w5122", "ISSN" : "2050-1315", "abstract" : "Venous thromboembolism (VTE) is one of the leading causes of maternal mortality in the UK. Therefore, timely VTE risk assessment is essential in all obstetrics patients. The Commissioning for Quality and Innovation (CQUIN) payment framework set a target for trusts to complete a VTE risk assessment within 24 hours of admission for 95% of patients. A combination of factors, including lack of integration between multiple IT systems, means that this CQUIN target is currently not being met for obstetric patients in the Hospital Birth Centre at Guys and St Thomas' NHS Trust. This project aims to increase staff awareness of this issue and educate them regarding the correct procedure for VTE assessment. Trialled methods included reminders at staff handovers, use of magnets on the patient whiteboard, posters and stickers displayed around the unit and a loyalty card scheme as incentive to complete assessments. Initial average completion rate was 20.7%, which increased to 67.5% after the first plan, do, study, act (PDSA) cycle with a slight drop to 65.7% after the second cycle. Completion rates increased to 92.3% on the last day of the third PDSA cycle. Although we did not reach the 95% target, we have raised awareness of the importance of recording VTE assessment on electronic systems, and hope we have created sustainable change. PROBLEM This quality improvement project was under-taken at St Thomas' Hospital Birth Centre (HBC) by four fourth year medical students, under the supervision of an obstetric consult-ant and two junior doctors. St Thomas' is a tertiary teaching hospital in London, UK and is the base for maternity services for the Guy's and St Thomas' (GSTT) NHS Foundation Trust. With 22 beds on HBC, an average of 40 patients are admitted each day. The depart-ment has 90 staff members in total with 15 present on each shift. St Thomas' HBC patient population encompasses South-East London and annually sees approximately 6000 births. As part of GSTT protocol, venous thromboembolism (VTE) risk assessment of women on HBC is completed on two separ-ate computer systems. One is BadgerNet, Clevermed version 2.9.1.0, a maternity elec-tronic record where antenatal, postnatal, and delivery details are recorded. The second system is the electronic patient record (EPR), iSOFT version 1.6. The CQUIN target is for 95% of patients to have a VTE assessment completed within 24 hours of admission. Previously women who delivered during their admission had their VTE assessment\u2026", "author" : [ { "dropping-particle" : "", "family" : "Ahmad", "given" : "Aminah Noor", "non-dropping-particle" : "", "parse-names" : false, "suffix" : "" }, { "dropping-particle" : "", "family" : "Leyla Byrne", "given" : "Megan", "non-dropping-particle" : "", "parse-names" : false, "suffix" : "" }, { "dropping-particle" : "", "family" : "Imambaccus", "given" : "Nazia", "non-dropping-particle" : "", "parse-names" : false, "suffix" : "" }, { "dropping-particle" : "", "family" : "Hubert", "given" : "Dawid", "non-dropping-particle" : "", "parse-names" : false, "suffix" : "" }, { "dropping-particle" : "", "family" : "Gateley", "given" : "Anna", "non-dropping-particle" : "", "parse-names" : false, "suffix" : "" }, { "dropping-particle" : "", "family" : "Abdullahi Idle", "given" : "Salwa", "non-dropping-particle" : "", "parse-names" : false, "suffix" : "" }, { "dropping-particle" : "", "family" : "Lloyd", "given" : "Jilly", "non-dropping-particle" : "", "parse-names" : false, "suffix" : "" } ], "container-title" : "BMJ Quality Improvement Reports", "id" : "ITEM-1", "issue" : "1", "issued" : { "date-parts" : [ [ "2016" ] ] }, "page" : "u212405.w5122", "title" : "Venous thromboembolism capture on electronic systems in obstetrics patients at St Thomas' Hospital", "type" : "article-journal", "volume" : "5" }, "uris" : [ "http://www.mendeley.com/documents/?uuid=3d3b9b72-941f-44c4-81f9-ade40b2ea08b" ] } ], "mendeley" : { "formattedCitation" : "[2]", "plainTextFormattedCitation" : "[2]", "previouslyFormattedCitation" : "[2]" }, "properties" : {  }, "schema" : "https://github.com/citation-style-language/schema/raw/master/csl-citation.json" }</w:instrText>
            </w:r>
            <w:r w:rsidRPr="001F040C">
              <w:rPr>
                <w:sz w:val="16"/>
                <w:szCs w:val="16"/>
              </w:rPr>
              <w:fldChar w:fldCharType="separate"/>
            </w:r>
            <w:r w:rsidRPr="0056067F">
              <w:rPr>
                <w:noProof/>
                <w:sz w:val="16"/>
                <w:szCs w:val="16"/>
              </w:rPr>
              <w:t>[2]</w:t>
            </w:r>
            <w:r w:rsidRPr="001F040C">
              <w:rPr>
                <w:sz w:val="16"/>
                <w:szCs w:val="16"/>
              </w:rPr>
              <w:fldChar w:fldCharType="end"/>
            </w:r>
            <w:r w:rsidRPr="001F040C">
              <w:rPr>
                <w:sz w:val="16"/>
                <w:szCs w:val="16"/>
              </w:rPr>
              <w:t xml:space="preserve"> Ahmad</w:t>
            </w:r>
          </w:p>
        </w:tc>
        <w:tc>
          <w:tcPr>
            <w:tcW w:w="689" w:type="dxa"/>
            <w:hideMark/>
          </w:tcPr>
          <w:p w14:paraId="792C29C9" w14:textId="313C6FEF"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3</w:t>
            </w:r>
          </w:p>
        </w:tc>
        <w:tc>
          <w:tcPr>
            <w:tcW w:w="554" w:type="dxa"/>
            <w:hideMark/>
          </w:tcPr>
          <w:p w14:paraId="2E4BF77C"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6" w:type="dxa"/>
            <w:hideMark/>
          </w:tcPr>
          <w:p w14:paraId="33622671"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Iterative chain</w:t>
            </w:r>
          </w:p>
        </w:tc>
        <w:tc>
          <w:tcPr>
            <w:tcW w:w="808" w:type="dxa"/>
            <w:hideMark/>
          </w:tcPr>
          <w:p w14:paraId="57698116"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571" w:type="dxa"/>
            <w:hideMark/>
          </w:tcPr>
          <w:p w14:paraId="058A0023"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1A33FBB6"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Implementation</w:t>
            </w:r>
          </w:p>
        </w:tc>
        <w:tc>
          <w:tcPr>
            <w:tcW w:w="957" w:type="dxa"/>
            <w:hideMark/>
          </w:tcPr>
          <w:p w14:paraId="1EE96A77"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N/A</w:t>
            </w:r>
          </w:p>
        </w:tc>
        <w:tc>
          <w:tcPr>
            <w:tcW w:w="690" w:type="dxa"/>
            <w:hideMark/>
          </w:tcPr>
          <w:p w14:paraId="7BA6084E"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1098" w:type="dxa"/>
            <w:hideMark/>
          </w:tcPr>
          <w:p w14:paraId="2B999791"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Regular: Three datapoints or more</w:t>
            </w:r>
          </w:p>
        </w:tc>
        <w:tc>
          <w:tcPr>
            <w:tcW w:w="690" w:type="dxa"/>
            <w:hideMark/>
          </w:tcPr>
          <w:p w14:paraId="3E5859A3"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5" w:type="dxa"/>
            <w:hideMark/>
          </w:tcPr>
          <w:p w14:paraId="5E739263"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Run Chart</w:t>
            </w:r>
          </w:p>
        </w:tc>
        <w:tc>
          <w:tcPr>
            <w:tcW w:w="1098" w:type="dxa"/>
            <w:hideMark/>
          </w:tcPr>
          <w:p w14:paraId="12C3C772"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Quantitative</w:t>
            </w:r>
          </w:p>
        </w:tc>
        <w:tc>
          <w:tcPr>
            <w:tcW w:w="961" w:type="dxa"/>
            <w:hideMark/>
          </w:tcPr>
          <w:p w14:paraId="7BC70DF8"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962" w:type="dxa"/>
            <w:gridSpan w:val="2"/>
            <w:hideMark/>
          </w:tcPr>
          <w:p w14:paraId="1E6FCDB8" w14:textId="5D206F9B"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Yes</w:t>
            </w:r>
          </w:p>
        </w:tc>
        <w:tc>
          <w:tcPr>
            <w:tcW w:w="1393" w:type="dxa"/>
            <w:hideMark/>
          </w:tcPr>
          <w:p w14:paraId="4233D19A"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External existing knowledge - Previous QI</w:t>
            </w:r>
          </w:p>
        </w:tc>
      </w:tr>
      <w:tr w:rsidR="00E42F62" w:rsidRPr="001F040C" w14:paraId="30AA7DFD" w14:textId="17EF623D" w:rsidTr="002118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78003B93" w14:textId="4BD9D1B1"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"10.1136/bmjquality.u210787.w4336", "ISSN" : "2050-1315", "author" : [ { "dropping-particle" : "", "family" : "Ahmed Awaji", "given" : "Maryam", "non-dropping-particle" : "", "parse-names" : false, "suffix" : "" }, { "dropping-particle" : "", "family" : "Al-Surimi", "given" : "Khaled", "non-dropping-particle" : "", "parse-names" : false, "suffix" : "" } ], "container-title" : "BMJ Quality Improvement Reports", "id" : "ITEM-1", "issue" : "1", "issued" : { "date-parts" : [ [ "2016" ] ] }, "page" : "u210787.w4336", "title" : "Promoting the role of patients in improving hand hygiene compliance amongst health care workers", "type" : "article-journal", "volume" : "5" }, "uris" : [ "http://www.mendeley.com/documents/?uuid=ea653026-754c-41a0-bb54-158ec6684ca7" ] } ], "mendeley" : { "formattedCitation" : "[3]", "plainTextFormattedCitation" : "[3]", "previouslyFormattedCitation" : "[3]" }, "properties" : {  }, "schema" : "https://github.com/citation-style-language/schema/raw/master/csl-citation.json" }</w:instrText>
            </w:r>
            <w:r w:rsidRPr="001F040C">
              <w:rPr>
                <w:sz w:val="16"/>
                <w:szCs w:val="16"/>
              </w:rPr>
              <w:fldChar w:fldCharType="separate"/>
            </w:r>
            <w:r w:rsidRPr="0056067F">
              <w:rPr>
                <w:noProof/>
                <w:sz w:val="16"/>
                <w:szCs w:val="16"/>
              </w:rPr>
              <w:t>[3]</w:t>
            </w:r>
            <w:r w:rsidRPr="001F040C">
              <w:rPr>
                <w:sz w:val="16"/>
                <w:szCs w:val="16"/>
              </w:rPr>
              <w:fldChar w:fldCharType="end"/>
            </w:r>
            <w:r w:rsidRPr="001F040C">
              <w:rPr>
                <w:sz w:val="16"/>
                <w:szCs w:val="16"/>
              </w:rPr>
              <w:t xml:space="preserve"> Ahmed Awaji</w:t>
            </w:r>
          </w:p>
        </w:tc>
        <w:tc>
          <w:tcPr>
            <w:tcW w:w="689" w:type="dxa"/>
            <w:hideMark/>
          </w:tcPr>
          <w:p w14:paraId="3BFA79AD" w14:textId="1E43B424"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3</w:t>
            </w:r>
          </w:p>
        </w:tc>
        <w:tc>
          <w:tcPr>
            <w:tcW w:w="554" w:type="dxa"/>
            <w:hideMark/>
          </w:tcPr>
          <w:p w14:paraId="131AC4AE"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6" w:type="dxa"/>
            <w:hideMark/>
          </w:tcPr>
          <w:p w14:paraId="04F81118"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Iterative chain</w:t>
            </w:r>
          </w:p>
        </w:tc>
        <w:tc>
          <w:tcPr>
            <w:tcW w:w="808" w:type="dxa"/>
            <w:hideMark/>
          </w:tcPr>
          <w:p w14:paraId="3BB47CF1"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571" w:type="dxa"/>
            <w:hideMark/>
          </w:tcPr>
          <w:p w14:paraId="1629FE5F"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961" w:type="dxa"/>
            <w:gridSpan w:val="2"/>
            <w:hideMark/>
          </w:tcPr>
          <w:p w14:paraId="64104DAA"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Implementation</w:t>
            </w:r>
          </w:p>
        </w:tc>
        <w:tc>
          <w:tcPr>
            <w:tcW w:w="957" w:type="dxa"/>
            <w:hideMark/>
          </w:tcPr>
          <w:p w14:paraId="36186EF8"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Increasing</w:t>
            </w:r>
          </w:p>
        </w:tc>
        <w:tc>
          <w:tcPr>
            <w:tcW w:w="690" w:type="dxa"/>
            <w:hideMark/>
          </w:tcPr>
          <w:p w14:paraId="6265F19D"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1098" w:type="dxa"/>
            <w:hideMark/>
          </w:tcPr>
          <w:p w14:paraId="7BF305D9"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Regular: Three datapoints or more</w:t>
            </w:r>
          </w:p>
        </w:tc>
        <w:tc>
          <w:tcPr>
            <w:tcW w:w="690" w:type="dxa"/>
            <w:hideMark/>
          </w:tcPr>
          <w:p w14:paraId="353452AA"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5" w:type="dxa"/>
            <w:hideMark/>
          </w:tcPr>
          <w:p w14:paraId="33540EE9"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Run Chart</w:t>
            </w:r>
          </w:p>
        </w:tc>
        <w:tc>
          <w:tcPr>
            <w:tcW w:w="1098" w:type="dxa"/>
            <w:hideMark/>
          </w:tcPr>
          <w:p w14:paraId="3ACCE19A"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Quantitative</w:t>
            </w:r>
          </w:p>
        </w:tc>
        <w:tc>
          <w:tcPr>
            <w:tcW w:w="961" w:type="dxa"/>
            <w:hideMark/>
          </w:tcPr>
          <w:p w14:paraId="60F7AC6E"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2" w:type="dxa"/>
            <w:gridSpan w:val="2"/>
            <w:hideMark/>
          </w:tcPr>
          <w:p w14:paraId="189EEFD9" w14:textId="35395B56"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Yes</w:t>
            </w:r>
          </w:p>
        </w:tc>
        <w:tc>
          <w:tcPr>
            <w:tcW w:w="1393" w:type="dxa"/>
            <w:hideMark/>
          </w:tcPr>
          <w:p w14:paraId="24642349" w14:textId="1C2291C8"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 xml:space="preserve">External existing knowledge </w:t>
            </w:r>
            <w:r>
              <w:rPr>
                <w:sz w:val="16"/>
                <w:szCs w:val="16"/>
              </w:rPr>
              <w:t>–</w:t>
            </w:r>
            <w:r w:rsidRPr="001F040C">
              <w:rPr>
                <w:sz w:val="16"/>
                <w:szCs w:val="16"/>
              </w:rPr>
              <w:t xml:space="preserve"> Literature</w:t>
            </w:r>
            <w:r>
              <w:rPr>
                <w:sz w:val="16"/>
                <w:szCs w:val="16"/>
              </w:rPr>
              <w:t xml:space="preserve"> </w:t>
            </w:r>
            <w:r w:rsidRPr="001F040C">
              <w:rPr>
                <w:sz w:val="16"/>
                <w:szCs w:val="16"/>
              </w:rPr>
              <w:t>(EBM)</w:t>
            </w:r>
          </w:p>
        </w:tc>
      </w:tr>
      <w:tr w:rsidR="00E42F62" w:rsidRPr="001F040C" w14:paraId="5602B099" w14:textId="549FA823" w:rsidTr="002118F0">
        <w:trPr>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17B01DEB" w14:textId="213455F7"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"10.1136/bmjquality.u212414.w4934", "ISBN" : "2050-1315 (Print)\r2050-1315", "ISSN" : "2050-1315", "PMID" : "27933145", "abstract" : "The Department of Health has defined hospital acquired venous thromboembolism (VTE) as any VTE event occurring within 90 days of hospital admission or surgery. (1) Hospital acquired thrombosis (HAT) is common during and after hospital admission and is considered a major patient safety issue. Current NICE guideline (CG 92) 2010, recommends that medical patients assessed at risk of VTE should have pharmacological prophylaxis commenced as soon as possible after risk assessment has been completed and continued until the patient is no longer at increased risk of VTE. (2) This quality improvement project was carried out in the medical assessment unit in Derriford Hospital, Plymouth. We aimed to increase appropriate VTE pharmacological prophylaxis to 100% prescribed in 6 hours by the end of May 2016 using the Plan-Do-Study-Act (PDSA) methodology. The primary outcome measure was whether or not enoxaparin was given within 6 hours of admission. Analysis showed that a major contributing factor to the prolonged time interval was lack of awareness of the Trust VTE guidelines which had recently been updated in accordance with NICE recommendations. Baseline measurement demonstrated that 29% of patients had first dose of enoxaparin within the 6-hour target, with a mean delay of 12 hours 22 minutes. With implementation of an education programme and development of a local VTE prevention care pathway to raise awareness of the new guidelines, a significant improvement was achieved with 71% of patients meeting the 6-hour target in PDSA cycle 1 and 83% of patients in PDSA cycle 2. The average time interval also reduced to 5 hours 52 minutes in PDSA cycle 1 and 5 hours 7 minutes in PDSA cycle 2. In conclusion, through utilization of simple change methodology, enoxaparin prescribing practice significantly improved. Potentially this may reduce morbidity (and mortality) associated with HAT together with cost implications of its management.", "author" : [ { "dropping-particle" : "", "family" : "Akinbobuyi", "given" : "Oluwatosin", "non-dropping-particle" : "", "parse-names" : false, "suffix" : "" }, { "dropping-particle" : "", "family" : "shalders", "given" : "louise", "non-dropping-particle" : "", "parse-names" : false, "suffix" : "" }, { "dropping-particle" : "", "family" : "Nokes", "given" : "Tim", "non-dropping-particle" : "", "parse-names" : false, "suffix" : "" } ], "container-title" : "BMJ Quality Improvement Reports", "id" : "ITEM-1", "issue" : "1", "issued" : { "date-parts" : [ [ "2016" ] ] }, "page" : "u212414.w4934", "title" : "Ensuring timely thromboprophylaxis on a Medical Assessment Unit", "type" : "article-journal", "volume" : "5" }, "uris" : [ "http://www.mendeley.com/documents/?uuid=cc843b50-7df6-4c2f-833e-b56184fe4519" ] } ], "mendeley" : { "formattedCitation" : "[4]", "plainTextFormattedCitation" : "[4]", "previouslyFormattedCitation" : "[4]" }, "properties" : {  }, "schema" : "https://github.com/citation-style-language/schema/raw/master/csl-citation.json" }</w:instrText>
            </w:r>
            <w:r w:rsidRPr="001F040C">
              <w:rPr>
                <w:sz w:val="16"/>
                <w:szCs w:val="16"/>
              </w:rPr>
              <w:fldChar w:fldCharType="separate"/>
            </w:r>
            <w:r w:rsidRPr="0056067F">
              <w:rPr>
                <w:noProof/>
                <w:sz w:val="16"/>
                <w:szCs w:val="16"/>
              </w:rPr>
              <w:t>[4]</w:t>
            </w:r>
            <w:r w:rsidRPr="001F040C">
              <w:rPr>
                <w:sz w:val="16"/>
                <w:szCs w:val="16"/>
              </w:rPr>
              <w:fldChar w:fldCharType="end"/>
            </w:r>
            <w:r w:rsidRPr="001F040C">
              <w:rPr>
                <w:sz w:val="16"/>
                <w:szCs w:val="16"/>
              </w:rPr>
              <w:t xml:space="preserve"> Akinbobuyi</w:t>
            </w:r>
          </w:p>
        </w:tc>
        <w:tc>
          <w:tcPr>
            <w:tcW w:w="689" w:type="dxa"/>
            <w:hideMark/>
          </w:tcPr>
          <w:p w14:paraId="5A786D07" w14:textId="2D762C8F"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3</w:t>
            </w:r>
          </w:p>
        </w:tc>
        <w:tc>
          <w:tcPr>
            <w:tcW w:w="554" w:type="dxa"/>
            <w:hideMark/>
          </w:tcPr>
          <w:p w14:paraId="58FB8945"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6" w:type="dxa"/>
            <w:hideMark/>
          </w:tcPr>
          <w:p w14:paraId="44CE1334"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Iterative chain</w:t>
            </w:r>
          </w:p>
        </w:tc>
        <w:tc>
          <w:tcPr>
            <w:tcW w:w="808" w:type="dxa"/>
            <w:hideMark/>
          </w:tcPr>
          <w:p w14:paraId="30C38463"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571" w:type="dxa"/>
            <w:hideMark/>
          </w:tcPr>
          <w:p w14:paraId="57BAA347"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2E16C86A"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Implementation</w:t>
            </w:r>
          </w:p>
        </w:tc>
        <w:tc>
          <w:tcPr>
            <w:tcW w:w="957" w:type="dxa"/>
            <w:hideMark/>
          </w:tcPr>
          <w:p w14:paraId="707F2D34"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N/A</w:t>
            </w:r>
          </w:p>
        </w:tc>
        <w:tc>
          <w:tcPr>
            <w:tcW w:w="690" w:type="dxa"/>
            <w:hideMark/>
          </w:tcPr>
          <w:p w14:paraId="59F6084B"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1098" w:type="dxa"/>
            <w:hideMark/>
          </w:tcPr>
          <w:p w14:paraId="4EA90E5F"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Irregular: Before and after, or per cycle</w:t>
            </w:r>
          </w:p>
        </w:tc>
        <w:tc>
          <w:tcPr>
            <w:tcW w:w="690" w:type="dxa"/>
            <w:hideMark/>
          </w:tcPr>
          <w:p w14:paraId="46992648"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5" w:type="dxa"/>
            <w:hideMark/>
          </w:tcPr>
          <w:p w14:paraId="7C5E74D7"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N/A</w:t>
            </w:r>
          </w:p>
        </w:tc>
        <w:tc>
          <w:tcPr>
            <w:tcW w:w="1098" w:type="dxa"/>
            <w:hideMark/>
          </w:tcPr>
          <w:p w14:paraId="4EB55065"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Quantitative</w:t>
            </w:r>
          </w:p>
        </w:tc>
        <w:tc>
          <w:tcPr>
            <w:tcW w:w="961" w:type="dxa"/>
            <w:hideMark/>
          </w:tcPr>
          <w:p w14:paraId="1CDA08F0"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962" w:type="dxa"/>
            <w:gridSpan w:val="2"/>
            <w:hideMark/>
          </w:tcPr>
          <w:p w14:paraId="73959548" w14:textId="61648D66"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Yes</w:t>
            </w:r>
          </w:p>
        </w:tc>
        <w:tc>
          <w:tcPr>
            <w:tcW w:w="1393" w:type="dxa"/>
            <w:hideMark/>
          </w:tcPr>
          <w:p w14:paraId="4C8CF0E7" w14:textId="28B189B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 xml:space="preserve">External existing knowledge </w:t>
            </w:r>
            <w:r>
              <w:rPr>
                <w:sz w:val="16"/>
                <w:szCs w:val="16"/>
              </w:rPr>
              <w:t>–</w:t>
            </w:r>
            <w:r w:rsidRPr="001F040C">
              <w:rPr>
                <w:sz w:val="16"/>
                <w:szCs w:val="16"/>
              </w:rPr>
              <w:t xml:space="preserve"> Literature</w:t>
            </w:r>
            <w:r>
              <w:rPr>
                <w:sz w:val="16"/>
                <w:szCs w:val="16"/>
              </w:rPr>
              <w:t xml:space="preserve"> </w:t>
            </w:r>
            <w:r w:rsidRPr="001F040C">
              <w:rPr>
                <w:sz w:val="16"/>
                <w:szCs w:val="16"/>
              </w:rPr>
              <w:t>(Guidelines)</w:t>
            </w:r>
          </w:p>
        </w:tc>
      </w:tr>
      <w:tr w:rsidR="00E42F62" w:rsidRPr="001F040C" w14:paraId="1CDDB2A0" w14:textId="47ECE1AA" w:rsidTr="002118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403DBFE3" w14:textId="137AD8F3"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"10.1093/intqhc/mzw082", "ISBN" : "1464-3677 (Electronic)\r1353-4505 (Linking)", "ISSN" : "1353-4505", "PMID" : "27512129", "abstract" : "Problem: Effective handovers are critical for patient care and safety. Electronic handover tools are increasingly used today to provide an effective and standardized platform for information exchange. The implementation of an electronic handover system in tertiary hospitals can be a major challenge. Previous efforts in implementing an electronic handover tool failed due to poor compliance and buy-in from end-users. A new electronic handover tool was developed and incorporated into the existing electronic medical records (EMRs) for medical patients in Singapore General Hospital (SGH). Initial assessment: There was poor compliance by on-call doctors in acknowledging electronic handovers, and lack of adherence to safety rules, raising concerns about the safety and efficiency of the electronic handover tool. Urgent measures were needed to ensure its safe and sustained use. Solution: A quality improvement group comprising stakeholders, including end-users, developed multi-faceted interventions using rapid PDSA (P-Plan, D-Do, S-Study, A-Act) cycles to address these issues. Implementation: Innovative solutions using media and online software provided cost-efficient measures to improve compliance. Evaluation: The percentage of unacknowledged handovers per day was used as the main outcome measure throughout all PDSA cycles. Doctors were also assessed for improvement in their knowl-edge of safety rules and their perception of the electronic handover tool. Lessons learnt: An electronic handover tool complementing daily clinical practice can be success-fully implemented using solutions devised through close collaboration with end-users supported by the senior leadership. A combined 'bottom-up' and 'top-down' approach with regular process evaluations is crucial for its long-term sustainability.", "author" : [ { "dropping-particle" : "", "family" : "Alhamid", "given" : "Sharifah Munirah", "non-dropping-particle" : "", "parse-names" : false, "suffix" : "" }, { "dropping-particle" : "", "family" : "Lee", "given" : "Desmond Xue-Yuan", "non-dropping-particle" : "", "parse-names" : false, "suffix" : "" }, { "dropping-particle" : "", "family" : "Wong", "given" : "Hei Man", "non-dropping-particle" : "", "parse-names" : false, "suffix" : "" }, { "dropping-particle" : "", "family" : "Chuah", "given" : "Matthew Bingfeng", "non-dropping-particle" : "", "parse-names" : false, "suffix" : "" }, { "dropping-particle" : "", "family" : "Wong", "given" : "Yu Jun", "non-dropping-particle" : "", "parse-names" : false, "suffix" : "" }, { "dropping-particle" : "", "family" : "Narasimhalu", "given" : "Kaavya", "non-dropping-particle" : "", "parse-names" : false, "suffix" : "" }, { "dropping-particle" : "", "family" : "Tan", "given" : "Thuan Tong", "non-dropping-particle" : "", "parse-names" : false, "suffix" : "" }, { "dropping-particle" : "", "family" : "Low", "given" : "Su Ying", "non-dropping-particle" : "", "parse-names" : false, "suffix" : "" } ], "container-title" : "International Journal for Quality in Health Care", "id" : "ITEM-1", "issue" : "5", "issued" : { "date-parts" : [ [ "2016" ] ] }, "page" : "608-614", "title" : "Implementing electronic handover: interventions to improve efficiency, safety and sustainability", "type" : "article-journal", "volume" : "28" }, "uris" : [ "http://www.mendeley.com/documents/?uuid=4e775063-2ab8-4e0c-b315-197e2a4b46bb" ] } ], "mendeley" : { "formattedCitation" : "[5]", "plainTextFormattedCitation" : "[5]", "previouslyFormattedCitation" : "[5]" }, "properties" : {  }, "schema" : "https://github.com/citation-style-language/schema/raw/master/csl-citation.json" }</w:instrText>
            </w:r>
            <w:r w:rsidRPr="001F040C">
              <w:rPr>
                <w:sz w:val="16"/>
                <w:szCs w:val="16"/>
              </w:rPr>
              <w:fldChar w:fldCharType="separate"/>
            </w:r>
            <w:r w:rsidRPr="0056067F">
              <w:rPr>
                <w:noProof/>
                <w:sz w:val="16"/>
                <w:szCs w:val="16"/>
              </w:rPr>
              <w:t>[5]</w:t>
            </w:r>
            <w:r w:rsidRPr="001F040C">
              <w:rPr>
                <w:sz w:val="16"/>
                <w:szCs w:val="16"/>
              </w:rPr>
              <w:fldChar w:fldCharType="end"/>
            </w:r>
            <w:r w:rsidRPr="001F040C">
              <w:rPr>
                <w:sz w:val="16"/>
                <w:szCs w:val="16"/>
              </w:rPr>
              <w:t xml:space="preserve"> Alhamid</w:t>
            </w:r>
          </w:p>
        </w:tc>
        <w:tc>
          <w:tcPr>
            <w:tcW w:w="689" w:type="dxa"/>
            <w:hideMark/>
          </w:tcPr>
          <w:p w14:paraId="1BF74D4B" w14:textId="4E62711A"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3</w:t>
            </w:r>
          </w:p>
        </w:tc>
        <w:tc>
          <w:tcPr>
            <w:tcW w:w="554" w:type="dxa"/>
            <w:hideMark/>
          </w:tcPr>
          <w:p w14:paraId="795D0A50"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6" w:type="dxa"/>
            <w:hideMark/>
          </w:tcPr>
          <w:p w14:paraId="016197A0"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Iterative chain</w:t>
            </w:r>
          </w:p>
        </w:tc>
        <w:tc>
          <w:tcPr>
            <w:tcW w:w="808" w:type="dxa"/>
            <w:hideMark/>
          </w:tcPr>
          <w:p w14:paraId="180292A5"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571" w:type="dxa"/>
            <w:hideMark/>
          </w:tcPr>
          <w:p w14:paraId="35C07C4A"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346CF8A4"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Implementation</w:t>
            </w:r>
          </w:p>
        </w:tc>
        <w:tc>
          <w:tcPr>
            <w:tcW w:w="957" w:type="dxa"/>
            <w:hideMark/>
          </w:tcPr>
          <w:p w14:paraId="27067406"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N/A</w:t>
            </w:r>
          </w:p>
        </w:tc>
        <w:tc>
          <w:tcPr>
            <w:tcW w:w="690" w:type="dxa"/>
            <w:hideMark/>
          </w:tcPr>
          <w:p w14:paraId="3D9DD51C"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1098" w:type="dxa"/>
            <w:hideMark/>
          </w:tcPr>
          <w:p w14:paraId="6B055F39"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Regular: Three datapoints or more</w:t>
            </w:r>
          </w:p>
        </w:tc>
        <w:tc>
          <w:tcPr>
            <w:tcW w:w="690" w:type="dxa"/>
            <w:hideMark/>
          </w:tcPr>
          <w:p w14:paraId="4822F58F"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5" w:type="dxa"/>
            <w:hideMark/>
          </w:tcPr>
          <w:p w14:paraId="00333F80"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Control Chart</w:t>
            </w:r>
          </w:p>
        </w:tc>
        <w:tc>
          <w:tcPr>
            <w:tcW w:w="1098" w:type="dxa"/>
            <w:hideMark/>
          </w:tcPr>
          <w:p w14:paraId="4917CF17" w14:textId="730FF48D"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 xml:space="preserve">Quantitative supplemented </w:t>
            </w:r>
          </w:p>
        </w:tc>
        <w:tc>
          <w:tcPr>
            <w:tcW w:w="961" w:type="dxa"/>
            <w:hideMark/>
          </w:tcPr>
          <w:p w14:paraId="31708B09"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962" w:type="dxa"/>
            <w:gridSpan w:val="2"/>
            <w:hideMark/>
          </w:tcPr>
          <w:p w14:paraId="4592ACCA" w14:textId="0CCC2056"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Yes</w:t>
            </w:r>
          </w:p>
        </w:tc>
        <w:tc>
          <w:tcPr>
            <w:tcW w:w="1393" w:type="dxa"/>
            <w:hideMark/>
          </w:tcPr>
          <w:p w14:paraId="26FB9707" w14:textId="7B9CA40C"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Internally developed knowledge - Logical visualising and description</w:t>
            </w:r>
          </w:p>
        </w:tc>
      </w:tr>
      <w:tr w:rsidR="00E42F62" w:rsidRPr="001F040C" w14:paraId="43F591ED" w14:textId="62507131" w:rsidTr="002118F0">
        <w:trPr>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001A57C1" w14:textId="5C27111C"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"10.1136/bmjquality.u209172.w3737", "ISSN" : "2050-1315", "abstract" : "The oral public health program for patients with diabetes was initiated by Saudi Arabia Ministry of Health (MoH) based on international quality standard to control the severity of oral disease in patients with diabetes through improving the accessibility of patients to dental clinics in primary health care centers (PHCC). This program intends to deliver oral health care (OHC) for each patient with diabetes at least one visit every six months. However, we found that more than 90% of patients with diabetes that visited prince Mohammed bin Saud PHCC in Riyadh do not get their regular dental check up every six months. We developed a quality improvement project (QIP) using the quality improvement model to activate MoH oral health program for patients with diabetes visiting prince Mohamed bin Saud PHCC. The aim of our QIP was to increase number of patients with diabetes receiving their regular oral health check up during the PHC visit. The quality team tested two simple improvement ideas. The first idea was having the dentist signature on appointment request. The testing of the first idea led to the second idea, that both physician and dentist should sign the referral form. After running several PDSA cycles to test these interventions ideas, we found the number of patients with diabetes seen in dental clinic had increased dramatically compared with the baseline assessment. We conclude that the idea of signing the referral form by both physician and dentist is a practical and simple strategy to be executed and has a direct impact on the patient clinical flow between clinics.", "author" : [ { "dropping-particle" : "", "family" : "Aljaber", "given" : "Abeer", "non-dropping-particle" : "", "parse-names" : false, "suffix" : "" }, { "dropping-particle" : "", "family" : "Al-Surimi", "given" : "Khaled", "non-dropping-particle" : "", "parse-names" : false, "suffix" : "" } ], "container-title" : "BMJ Quality Improvement Reports", "id" : "ITEM-1", "issue" : "1", "issued" : { "date-parts" : [ [ "2015" ] ] }, "note" : "Henrik V. B. Laursen (2016-11-24 02:40:44)(Select): suppl: http://qir.bmj.com/content/4/1/u209172.w3737/suppl/DC1;", "page" : "u209172.w3737", "publisher-place" : "England", "title" : "Promoting oral health practice among patients with diabetes attending primary health care clinics", "type" : "article-journal", "volume" : "4" }, "uris" : [ "http://www.mendeley.com/documents/?uuid=3b9c3a3c-dcc0-40ef-a80e-8f6ab4f7048c" ] } ], "mendeley" : { "formattedCitation" : "[6]", "plainTextFormattedCitation" : "[6]", "previouslyFormattedCitation" : "[6]" }, "properties" : {  }, "schema" : "https://github.com/citation-style-language/schema/raw/master/csl-citation.json" }</w:instrText>
            </w:r>
            <w:r w:rsidRPr="001F040C">
              <w:rPr>
                <w:sz w:val="16"/>
                <w:szCs w:val="16"/>
              </w:rPr>
              <w:fldChar w:fldCharType="separate"/>
            </w:r>
            <w:r w:rsidRPr="0056067F">
              <w:rPr>
                <w:noProof/>
                <w:sz w:val="16"/>
                <w:szCs w:val="16"/>
              </w:rPr>
              <w:t>[6]</w:t>
            </w:r>
            <w:r w:rsidRPr="001F040C">
              <w:rPr>
                <w:sz w:val="16"/>
                <w:szCs w:val="16"/>
              </w:rPr>
              <w:fldChar w:fldCharType="end"/>
            </w:r>
            <w:r w:rsidRPr="001F040C">
              <w:rPr>
                <w:sz w:val="16"/>
                <w:szCs w:val="16"/>
              </w:rPr>
              <w:t xml:space="preserve"> Aljaber</w:t>
            </w:r>
          </w:p>
        </w:tc>
        <w:tc>
          <w:tcPr>
            <w:tcW w:w="689" w:type="dxa"/>
            <w:hideMark/>
          </w:tcPr>
          <w:p w14:paraId="0DA5405D" w14:textId="6879B481"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4</w:t>
            </w:r>
          </w:p>
        </w:tc>
        <w:tc>
          <w:tcPr>
            <w:tcW w:w="554" w:type="dxa"/>
            <w:hideMark/>
          </w:tcPr>
          <w:p w14:paraId="17A2DA93"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6" w:type="dxa"/>
            <w:hideMark/>
          </w:tcPr>
          <w:p w14:paraId="5DA7F061"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Iterative chain</w:t>
            </w:r>
          </w:p>
        </w:tc>
        <w:tc>
          <w:tcPr>
            <w:tcW w:w="808" w:type="dxa"/>
            <w:hideMark/>
          </w:tcPr>
          <w:p w14:paraId="0EBDA75E"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571" w:type="dxa"/>
            <w:hideMark/>
          </w:tcPr>
          <w:p w14:paraId="1CCA7CF2"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1F280172"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Testing</w:t>
            </w:r>
          </w:p>
        </w:tc>
        <w:tc>
          <w:tcPr>
            <w:tcW w:w="957" w:type="dxa"/>
            <w:hideMark/>
          </w:tcPr>
          <w:p w14:paraId="1F35493C"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N/A</w:t>
            </w:r>
          </w:p>
        </w:tc>
        <w:tc>
          <w:tcPr>
            <w:tcW w:w="690" w:type="dxa"/>
            <w:hideMark/>
          </w:tcPr>
          <w:p w14:paraId="5A474748"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1098" w:type="dxa"/>
            <w:hideMark/>
          </w:tcPr>
          <w:p w14:paraId="7B866FBE"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Regular: Three datapoints or more</w:t>
            </w:r>
          </w:p>
        </w:tc>
        <w:tc>
          <w:tcPr>
            <w:tcW w:w="690" w:type="dxa"/>
            <w:hideMark/>
          </w:tcPr>
          <w:p w14:paraId="6F79BD03"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5" w:type="dxa"/>
            <w:hideMark/>
          </w:tcPr>
          <w:p w14:paraId="2C5518FF"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Run Chart</w:t>
            </w:r>
          </w:p>
        </w:tc>
        <w:tc>
          <w:tcPr>
            <w:tcW w:w="1098" w:type="dxa"/>
            <w:hideMark/>
          </w:tcPr>
          <w:p w14:paraId="57ACC0AF"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Quantitative</w:t>
            </w:r>
          </w:p>
        </w:tc>
        <w:tc>
          <w:tcPr>
            <w:tcW w:w="961" w:type="dxa"/>
            <w:hideMark/>
          </w:tcPr>
          <w:p w14:paraId="1968CF72"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962" w:type="dxa"/>
            <w:gridSpan w:val="2"/>
            <w:hideMark/>
          </w:tcPr>
          <w:p w14:paraId="64EB0208" w14:textId="5EB9ECBB"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Yes</w:t>
            </w:r>
          </w:p>
        </w:tc>
        <w:tc>
          <w:tcPr>
            <w:tcW w:w="1393" w:type="dxa"/>
            <w:hideMark/>
          </w:tcPr>
          <w:p w14:paraId="26B9E0E6" w14:textId="0E741835"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Internally developed knowledge - Logical visualising and description</w:t>
            </w:r>
          </w:p>
        </w:tc>
      </w:tr>
      <w:tr w:rsidR="00E42F62" w:rsidRPr="001F040C" w14:paraId="6EA19180" w14:textId="57C9638C" w:rsidTr="002118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3EEBF7AE" w14:textId="5F621735"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"10.1136/bmjquality.u211474.w4624", "ISSN" : "2050-1315", "PMID" : "27752311", "abstract" : "Frequent, preventable medical errors can have an adverse effect on patient safety and quality as well as leading to wasted resources. In the laboratory, errors can occur at any stage of sample processing; pre-analytical, analytical, and post analytical stages. However evidence shows most of the laboratory errors occur during the pre-analytical stage. The receipt and processing of specimens is one of the main steps in the pre-analytical stage. Errors in this stage could be due to mislabeling, incorrect test entry and entering the wrong location, among other reasons. Most of these errors are preventable. At the Riyadh Regional Laboratory of the Ministry of Health, we found that there was an average of 2.31 errors per 1000 processed samples; these errors had occurred during the pre-analytical stage. These samples were returned back from other laboratory departments, such as Chemistry, Hematology and Microbiology, to the receiving and processing department. We decided to carry out an improvement project where we applied a systematic approach to identify and analyse the root causes of the problem using quality tools such as a process flowchart and a fish-bone diagram. The Model for Improvement was used and several PDSA (Plan, Do, Study, Act) cycles were run to test interventions which aimed to prevent laboratory processing errors and mistakes. The project results showed a 25% reduction in errors during the pre-analytical stage.", "author" : [ { "dropping-particle" : "", "family" : "Saleem", "given" : "Nouf", "non-dropping-particle" : "Al", "parse-names" : false, "suffix" : "" }, { "dropping-particle" : "", "family" : "Al-Surimi", "given" : "Khaled", "non-dropping-particle" : "", "parse-names" : false, "suffix" : "" } ], "container-title" : "BMJ Quality Improvement Reports", "id" : "ITEM-1", "issue" : "1", "issued" : { "date-parts" : [ [ "2016" ] ] }, "page" : "u211474.w4624", "title" : "Reducing the occurrence of errors in a laboratory's specimen receiving and processing department", "type" : "article-journal", "volume" : "5" }, "uris" : [ "http://www.mendeley.com/documents/?uuid=44863bda-2133-4e75-a5d9-a7a3e2411541" ] } ], "mendeley" : { "formattedCitation" : "[7]", "plainTextFormattedCitation" : "[7]", "previouslyFormattedCitation" : "[7]" }, "properties" : {  }, "schema" : "https://github.com/citation-style-language/schema/raw/master/csl-citation.json" }</w:instrText>
            </w:r>
            <w:r w:rsidRPr="001F040C">
              <w:rPr>
                <w:sz w:val="16"/>
                <w:szCs w:val="16"/>
              </w:rPr>
              <w:fldChar w:fldCharType="separate"/>
            </w:r>
            <w:r w:rsidRPr="0056067F">
              <w:rPr>
                <w:noProof/>
                <w:sz w:val="16"/>
                <w:szCs w:val="16"/>
              </w:rPr>
              <w:t>[7]</w:t>
            </w:r>
            <w:r w:rsidRPr="001F040C">
              <w:rPr>
                <w:sz w:val="16"/>
                <w:szCs w:val="16"/>
              </w:rPr>
              <w:fldChar w:fldCharType="end"/>
            </w:r>
            <w:r w:rsidRPr="001F040C">
              <w:rPr>
                <w:sz w:val="16"/>
                <w:szCs w:val="16"/>
              </w:rPr>
              <w:t xml:space="preserve"> AlSaleem</w:t>
            </w:r>
          </w:p>
        </w:tc>
        <w:tc>
          <w:tcPr>
            <w:tcW w:w="689" w:type="dxa"/>
            <w:hideMark/>
          </w:tcPr>
          <w:p w14:paraId="7D89AC18" w14:textId="74D17798"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3</w:t>
            </w:r>
          </w:p>
        </w:tc>
        <w:tc>
          <w:tcPr>
            <w:tcW w:w="554" w:type="dxa"/>
            <w:hideMark/>
          </w:tcPr>
          <w:p w14:paraId="259C056A"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6" w:type="dxa"/>
            <w:hideMark/>
          </w:tcPr>
          <w:p w14:paraId="6D886E2D"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Iterative chain</w:t>
            </w:r>
          </w:p>
        </w:tc>
        <w:tc>
          <w:tcPr>
            <w:tcW w:w="808" w:type="dxa"/>
            <w:hideMark/>
          </w:tcPr>
          <w:p w14:paraId="25F796CE"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571" w:type="dxa"/>
            <w:hideMark/>
          </w:tcPr>
          <w:p w14:paraId="26612A63"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961" w:type="dxa"/>
            <w:gridSpan w:val="2"/>
            <w:hideMark/>
          </w:tcPr>
          <w:p w14:paraId="78A3F1BA"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Testing</w:t>
            </w:r>
          </w:p>
        </w:tc>
        <w:tc>
          <w:tcPr>
            <w:tcW w:w="957" w:type="dxa"/>
            <w:hideMark/>
          </w:tcPr>
          <w:p w14:paraId="187E13CE"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Increasing</w:t>
            </w:r>
          </w:p>
        </w:tc>
        <w:tc>
          <w:tcPr>
            <w:tcW w:w="690" w:type="dxa"/>
            <w:hideMark/>
          </w:tcPr>
          <w:p w14:paraId="37CA744B"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1098" w:type="dxa"/>
            <w:hideMark/>
          </w:tcPr>
          <w:p w14:paraId="6CDC2C66"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Regular: Three datapoints or more</w:t>
            </w:r>
          </w:p>
        </w:tc>
        <w:tc>
          <w:tcPr>
            <w:tcW w:w="690" w:type="dxa"/>
            <w:hideMark/>
          </w:tcPr>
          <w:p w14:paraId="55A02603"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5" w:type="dxa"/>
            <w:hideMark/>
          </w:tcPr>
          <w:p w14:paraId="7BDF1CB9"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Control Chart</w:t>
            </w:r>
          </w:p>
        </w:tc>
        <w:tc>
          <w:tcPr>
            <w:tcW w:w="1098" w:type="dxa"/>
            <w:hideMark/>
          </w:tcPr>
          <w:p w14:paraId="395DEB08"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Quantitative</w:t>
            </w:r>
          </w:p>
        </w:tc>
        <w:tc>
          <w:tcPr>
            <w:tcW w:w="961" w:type="dxa"/>
            <w:hideMark/>
          </w:tcPr>
          <w:p w14:paraId="630E5544"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962" w:type="dxa"/>
            <w:gridSpan w:val="2"/>
            <w:hideMark/>
          </w:tcPr>
          <w:p w14:paraId="37E9F6DB" w14:textId="440E4D2D"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Yes</w:t>
            </w:r>
          </w:p>
        </w:tc>
        <w:tc>
          <w:tcPr>
            <w:tcW w:w="1393" w:type="dxa"/>
            <w:hideMark/>
          </w:tcPr>
          <w:p w14:paraId="25B011A4" w14:textId="4D8BC5FC"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Internally developed knowledge - Logical visualising and description</w:t>
            </w:r>
          </w:p>
        </w:tc>
      </w:tr>
      <w:tr w:rsidR="00E42F62" w:rsidRPr="001F040C" w14:paraId="4717A728" w14:textId="742DC30D" w:rsidTr="002118F0">
        <w:trPr>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4757BBEF" w14:textId="643191E3"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"10.1136/bmjquality.u209223.w3773", "ISBN" : "2050-1315", "ISSN" : "2050-1315", "PMID" : "26734438", "abstract" : "Turnaround time is an important quality indicator in surgical pathology. Retrospective analysis of three data points in September 2014, January 2015, and February 2015 showed that on average, about a quarter (24%) of routine surgical pathology cases (26%, 19%, and 27% respectively) are not reported on time and do not meet the accepted level of the College of American Pathologists' (CAP) standard turnaround time, which states at least 90% of routine surgical pathology cases should be reported and verified within two days. Our daily observation supported by a root cause analysis exercise revealed that subprocesses including slide allocation and delivery to pathologists, slide review by pathologists, report editing by transcriptionists, and report verification by pathologists are where most delays occur. Thus, to tackle these process issues we developed a quality improvement project using the model of improvement methods to streamline the sample flow process and avoid unjustified reporting delay. The improvement ideas included developing a time log sheet to be attached with all pathology requests, and sending a daily reminder email followed by a phonecall to all pathologists to verify completed reports on the same day. These intervention elements were tested using multiple PDSA cycles resulting in a very noticeable improvement, with more than 94% of all routine cases reported in less than two days, meeting and exceeding the CAP standards. Such noticeable improvement in turnaround of surgical pathology reports will eventually lead to improving the quality and safety of patient care outcome, including diagnosing patients on time, developing the appropriate treatment plan, and avoiding unjustified complications resulting in morbidity and mortality due to delayed reports.", "author" : [ { "dropping-particle" : "", "family" : "Alshieban", "given" : "Saeed", "non-dropping-particle" : "", "parse-names" : false, "suffix" : "" }, { "dropping-particle" : "", "family" : "Al-Surimi", "given" : "Khaled", "non-dropping-particle" : "", "parse-names" : false, "suffix" : "" } ], "container-title" : "BMJ quality improvement reports", "id" : "ITEM-1", "issue" : "1", "issued" : { "date-parts" : [ [ "2015" ] ] }, "note" : "Henrik V. B. Laursen (2016-12-02 00:03:15)(Select): http://qir.bmj.com/content/4/1/u209223.w3773/suppl/DC1\nog\nhttp://qir.bmj.com/content/4/1/u209223.w3773/suppl/DC2;", "page" : "u209223.w3773", "publisher-place" : "England", "title" : "Reducing turnaround time of surgical pathology reports in pathology and laboratory medicine departments.", "type" : "article-journal", "volume" : "4" }, "uris" : [ "http://www.mendeley.com/documents/?uuid=7a6d4436-2970-4f33-a76b-fa852bcd0c07" ] } ], "mendeley" : { "formattedCitation" : "[8]", "plainTextFormattedCitation" : "[8]", "previouslyFormattedCitation" : "[8]" }, "properties" : {  }, "schema" : "https://github.com/citation-style-language/schema/raw/master/csl-citation.json" }</w:instrText>
            </w:r>
            <w:r w:rsidRPr="001F040C">
              <w:rPr>
                <w:sz w:val="16"/>
                <w:szCs w:val="16"/>
              </w:rPr>
              <w:fldChar w:fldCharType="separate"/>
            </w:r>
            <w:r w:rsidRPr="0056067F">
              <w:rPr>
                <w:noProof/>
                <w:sz w:val="16"/>
                <w:szCs w:val="16"/>
              </w:rPr>
              <w:t>[8]</w:t>
            </w:r>
            <w:r w:rsidRPr="001F040C">
              <w:rPr>
                <w:sz w:val="16"/>
                <w:szCs w:val="16"/>
              </w:rPr>
              <w:fldChar w:fldCharType="end"/>
            </w:r>
            <w:r w:rsidRPr="001F040C">
              <w:rPr>
                <w:sz w:val="16"/>
                <w:szCs w:val="16"/>
              </w:rPr>
              <w:t xml:space="preserve"> Alshieban</w:t>
            </w:r>
          </w:p>
        </w:tc>
        <w:tc>
          <w:tcPr>
            <w:tcW w:w="689" w:type="dxa"/>
            <w:hideMark/>
          </w:tcPr>
          <w:p w14:paraId="0BD190FA" w14:textId="6A263B5D"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3</w:t>
            </w:r>
          </w:p>
        </w:tc>
        <w:tc>
          <w:tcPr>
            <w:tcW w:w="554" w:type="dxa"/>
            <w:hideMark/>
          </w:tcPr>
          <w:p w14:paraId="01B36F70"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6" w:type="dxa"/>
            <w:hideMark/>
          </w:tcPr>
          <w:p w14:paraId="5BC6BA08"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Iterative chain</w:t>
            </w:r>
          </w:p>
        </w:tc>
        <w:tc>
          <w:tcPr>
            <w:tcW w:w="808" w:type="dxa"/>
            <w:hideMark/>
          </w:tcPr>
          <w:p w14:paraId="71DBB466"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571" w:type="dxa"/>
            <w:hideMark/>
          </w:tcPr>
          <w:p w14:paraId="14A4A8B0"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0BE836B1"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Testing</w:t>
            </w:r>
          </w:p>
        </w:tc>
        <w:tc>
          <w:tcPr>
            <w:tcW w:w="957" w:type="dxa"/>
            <w:hideMark/>
          </w:tcPr>
          <w:p w14:paraId="5D83E54D"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N/A</w:t>
            </w:r>
          </w:p>
        </w:tc>
        <w:tc>
          <w:tcPr>
            <w:tcW w:w="690" w:type="dxa"/>
            <w:hideMark/>
          </w:tcPr>
          <w:p w14:paraId="28009E7B"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1098" w:type="dxa"/>
            <w:hideMark/>
          </w:tcPr>
          <w:p w14:paraId="3ACC908D"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Regular: Three datapoints or more</w:t>
            </w:r>
          </w:p>
        </w:tc>
        <w:tc>
          <w:tcPr>
            <w:tcW w:w="690" w:type="dxa"/>
            <w:hideMark/>
          </w:tcPr>
          <w:p w14:paraId="54D25015"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5" w:type="dxa"/>
            <w:hideMark/>
          </w:tcPr>
          <w:p w14:paraId="23570DD2"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Run Chart</w:t>
            </w:r>
          </w:p>
        </w:tc>
        <w:tc>
          <w:tcPr>
            <w:tcW w:w="1098" w:type="dxa"/>
            <w:hideMark/>
          </w:tcPr>
          <w:p w14:paraId="5DBA031C"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Quantitative</w:t>
            </w:r>
          </w:p>
        </w:tc>
        <w:tc>
          <w:tcPr>
            <w:tcW w:w="961" w:type="dxa"/>
            <w:hideMark/>
          </w:tcPr>
          <w:p w14:paraId="44163080"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962" w:type="dxa"/>
            <w:gridSpan w:val="2"/>
            <w:hideMark/>
          </w:tcPr>
          <w:p w14:paraId="224F647C" w14:textId="4A2C17BD"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Yes</w:t>
            </w:r>
          </w:p>
        </w:tc>
        <w:tc>
          <w:tcPr>
            <w:tcW w:w="1393" w:type="dxa"/>
            <w:hideMark/>
          </w:tcPr>
          <w:p w14:paraId="5ACEB58C" w14:textId="7122C722"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Internally developed knowledge - Logical visualising and description</w:t>
            </w:r>
          </w:p>
        </w:tc>
      </w:tr>
      <w:tr w:rsidR="00E42F62" w:rsidRPr="001F040C" w14:paraId="355748A3" w14:textId="22479F43" w:rsidTr="002118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71748790" w14:textId="7FC93BCE"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"10.1136/bmjquality.u204819.w3337 [doi]", "ISBN" : "2050-1315", "ISSN" : "2050-1315", "PMID" : "26734324", "abstract" : "The Scottish Patient Safety Programme in Primary Care (SPSP-PC) aims to improve the medicines reconciliation process in primary care to help reduce the number of adverse events causing avoidable harm. [1] The aim of this project is to improve the process for handling Immediate Discharge Documents (IDDs) in a single practice and develop a protocol using the care bundle approach. The care bundle consisted of: 1. Medicines reconciled and repeat prescription updated 2. Follow up documented 3. Diagnosis coded 4. Were all actions completed? A baseline audit was performed followed by three PDSA cycles. Interventions included: education at each cycle, decision that all Doctors would use the Medicines Reconciliation Polypharmacy LES template and constructing an electronic checklist for the care bundle. Compliance with the care bundle rose from 20% in the baseline measurement to 100% in PDSA cycles two and three. In conclusion, a protocol was developed for the processing of IDDs utilizing the care bundle approach with an electronic checklist, resulting in an improvement in the practice management of IDDs.", "author" : [ { "dropping-particle" : "", "family" : "Anderson", "given" : "C", "non-dropping-particle" : "", "parse-names" : false, "suffix" : "" }, { "dropping-particle" : "", "family" : "McNab", "given" : "D", "non-dropping-particle" : "", "parse-names" : false, "suffix" : "" } ], "container-title" : "BMJ quality improvement reports", "id" : "ITEM-1", "issue" : "1 PG  - 10.1136/bmjquality.u204819.w3337. eCollection 2015", "issued" : { "date-parts" : [ [ "2015" ] ] }, "note" : "Henrik V. B. Laursen (2016-11-24 02:21:01)(Select): suppl: http://qir.bmj.com/content/4/1/u204819.w3337/suppl/DC1;", "page" : "10.1136/bmjquality.u204819.w3337. eCollection 2015", "publisher-place" : "England", "title" : "Quality improvement project using a care bundle approach on the management of the immediate discharge document (IDD) within a single general practice", "type" : "article-journal", "volume" : "4" }, "uris" : [ "http://www.mendeley.com/documents/?uuid=12776fdf-6894-44a4-89fa-a27ad5b7d396" ] } ], "mendeley" : { "formattedCitation" : "[9]", "plainTextFormattedCitation" : "[9]", "previouslyFormattedCitation" : "[9]" }, "properties" : {  }, "schema" : "https://github.com/citation-style-language/schema/raw/master/csl-citation.json" }</w:instrText>
            </w:r>
            <w:r w:rsidRPr="001F040C">
              <w:rPr>
                <w:sz w:val="16"/>
                <w:szCs w:val="16"/>
              </w:rPr>
              <w:fldChar w:fldCharType="separate"/>
            </w:r>
            <w:r w:rsidRPr="0056067F">
              <w:rPr>
                <w:noProof/>
                <w:sz w:val="16"/>
                <w:szCs w:val="16"/>
              </w:rPr>
              <w:t>[9]</w:t>
            </w:r>
            <w:r w:rsidRPr="001F040C">
              <w:rPr>
                <w:sz w:val="16"/>
                <w:szCs w:val="16"/>
              </w:rPr>
              <w:fldChar w:fldCharType="end"/>
            </w:r>
            <w:r w:rsidRPr="001F040C">
              <w:rPr>
                <w:sz w:val="16"/>
                <w:szCs w:val="16"/>
              </w:rPr>
              <w:t xml:space="preserve"> Anderson</w:t>
            </w:r>
          </w:p>
        </w:tc>
        <w:tc>
          <w:tcPr>
            <w:tcW w:w="689" w:type="dxa"/>
            <w:hideMark/>
          </w:tcPr>
          <w:p w14:paraId="1E819DF2" w14:textId="09C104D2"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3</w:t>
            </w:r>
          </w:p>
        </w:tc>
        <w:tc>
          <w:tcPr>
            <w:tcW w:w="554" w:type="dxa"/>
            <w:hideMark/>
          </w:tcPr>
          <w:p w14:paraId="6D94FF7D"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6" w:type="dxa"/>
            <w:hideMark/>
          </w:tcPr>
          <w:p w14:paraId="081A4F8E"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Mix of iterative chains and isolated cycles</w:t>
            </w:r>
          </w:p>
        </w:tc>
        <w:tc>
          <w:tcPr>
            <w:tcW w:w="808" w:type="dxa"/>
            <w:hideMark/>
          </w:tcPr>
          <w:p w14:paraId="746AB8D9"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571" w:type="dxa"/>
            <w:hideMark/>
          </w:tcPr>
          <w:p w14:paraId="3D425ADD"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35A497D8"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Implementation</w:t>
            </w:r>
          </w:p>
        </w:tc>
        <w:tc>
          <w:tcPr>
            <w:tcW w:w="957" w:type="dxa"/>
            <w:hideMark/>
          </w:tcPr>
          <w:p w14:paraId="787AD2AD"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N/A</w:t>
            </w:r>
          </w:p>
        </w:tc>
        <w:tc>
          <w:tcPr>
            <w:tcW w:w="690" w:type="dxa"/>
            <w:hideMark/>
          </w:tcPr>
          <w:p w14:paraId="1AF11CC1"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1098" w:type="dxa"/>
            <w:hideMark/>
          </w:tcPr>
          <w:p w14:paraId="2EE8CCCA"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Irregular: Before and after, or per cycle</w:t>
            </w:r>
          </w:p>
        </w:tc>
        <w:tc>
          <w:tcPr>
            <w:tcW w:w="690" w:type="dxa"/>
            <w:hideMark/>
          </w:tcPr>
          <w:p w14:paraId="34052F76"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5" w:type="dxa"/>
            <w:hideMark/>
          </w:tcPr>
          <w:p w14:paraId="45FA7FAF"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N/A</w:t>
            </w:r>
          </w:p>
        </w:tc>
        <w:tc>
          <w:tcPr>
            <w:tcW w:w="1098" w:type="dxa"/>
            <w:hideMark/>
          </w:tcPr>
          <w:p w14:paraId="360130CB"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Quantitative</w:t>
            </w:r>
          </w:p>
        </w:tc>
        <w:tc>
          <w:tcPr>
            <w:tcW w:w="961" w:type="dxa"/>
            <w:hideMark/>
          </w:tcPr>
          <w:p w14:paraId="66B9BBE1"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2" w:type="dxa"/>
            <w:gridSpan w:val="2"/>
            <w:hideMark/>
          </w:tcPr>
          <w:p w14:paraId="7E69824C" w14:textId="0A18F573"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Yes</w:t>
            </w:r>
          </w:p>
        </w:tc>
        <w:tc>
          <w:tcPr>
            <w:tcW w:w="1393" w:type="dxa"/>
            <w:hideMark/>
          </w:tcPr>
          <w:p w14:paraId="30B89C77" w14:textId="53B3AA38"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Internally developed knowledge - Logical visualising and description</w:t>
            </w:r>
          </w:p>
        </w:tc>
      </w:tr>
      <w:tr w:rsidR="00E42F62" w:rsidRPr="001F040C" w14:paraId="19FBE02F" w14:textId="41322009" w:rsidTr="002118F0">
        <w:trPr>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708A7306" w14:textId="119D752B"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"10.1136/bmjquality.u203816.w1911", "ISSN" : "2050-1315", "abstract" : "The National Institute of Clinical Excellence (NICE) released new fluid guidelines following data suggesting 20% of patients receiving fluids suffer adversely (2013). This quality improvement group assessed fluid prescribing in a tertiary teaching centre and introduced a new fluid- prescribing chart to align practice with NICE recommendations. Notes and corresponding fluid prescription charts were reviewed for evidence of (1) indication, (2) co-morbidities, and (3) further management as surrogate markers of safe prescribing in accordance with NICE. Overall, the data showed practice fell short and prompted a redesign of the Trust fluid prescription chart. Three different variations of the chart were issued consecutively using a PDSA method (plan, do, study, act) over a 6-month period. They all included indication, co-morbidities and further management plans as constant design features. Suggestions from interested parties were incorporated and an educational programme was implemented to promote awareness. Prior to our intervention, an indication for fluids was documented in 26% of notes, it took an average of 4.6 minutes to find co-morbidities, and further management plans were rarely documented. Following the new prescription chart, an indication was recorded in 72% of cases, co-morbidities noted on 63% of charts with 93.1% accuracy, and further management documented in 100% of cases. The new fluid prescription chart encourages prescribers to incorporate NICE recommendations when prescribing fluids. The new fluid prescription design has since been rolled out Trust wide.", "author" : [ { "dropping-particle" : "", "family" : "Andersson", "given" : "Johanna", "non-dropping-particle" : "", "parse-names" : false, "suffix" : "" }, { "dropping-particle" : "", "family" : "Bull", "given" : "Thomas", "non-dropping-particle" : "", "parse-names" : false, "suffix" : "" }, { "dropping-particle" : "", "family" : "Paul", "given" : "Daniel", "non-dropping-particle" : "", "parse-names" : false, "suffix" : "" }, { "dropping-particle" : "", "family" : "Reynolds", "given" : "Emily", "non-dropping-particle" : "", "parse-names" : false, "suffix" : "" }, { "dropping-particle" : "", "family" : "Nishimura", "given" : "Aimi", "non-dropping-particle" : "", "parse-names" : false, "suffix" : "" }, { "dropping-particle" : "", "family" : "Lloyd", "given" : "Jessica", "non-dropping-particle" : "", "parse-names" : false, "suffix" : "" }, { "dropping-particle" : "", "family" : "Jetley", "given" : "Amanda", "non-dropping-particle" : "", "parse-names" : false, "suffix" : "" }, { "dropping-particle" : "", "family" : "Davies", "given" : "Mari", "non-dropping-particle" : "", "parse-names" : false, "suffix" : "" }, { "dropping-particle" : "", "family" : "Eisenhauer", "given" : "Helen", "non-dropping-particle" : "", "parse-names" : false, "suffix" : "" }, { "dropping-particle" : "", "family" : "Maggs", "given" : "Daniel", "non-dropping-particle" : "", "parse-names" : false, "suffix" : "" }, { "dropping-particle" : "", "family" : "Clapham", "given" : "Sorcha", "non-dropping-particle" : "", "parse-names" : false, "suffix" : "" }, { "dropping-particle" : "", "family" : "Trivedi", "given" : "Kaushali", "non-dropping-particle" : "", "parse-names" : false, "suffix" : "" }, { "dropping-particle" : "", "family" : "Hair", "given" : "Robert", "non-dropping-particle" : "", "parse-names" : false, "suffix" : "" }, { "dropping-particle" : "", "family" : "Plumb", "given" : "Benjamin", "non-dropping-particle" : "", "parse-names" : false, "suffix" : "" }, { "dropping-particle" : "", "family" : "Plumb", "given" : "Benjamin", "non-dropping-particle" : "", "parse-names" : false, "suffix" : "" } ], "container-title" : "BMJ Quality Improvement Reports", "id" : "ITEM-1", "issue" : "1", "issued" : { "date-parts" : [ [ "2015" ] ] }, "page" : "u203816.w1911", "title" : "Safer fluid prescribing at North Bristol Trust: Bringing practice in line with NICE Guidance with a redesign of the fluid prescription chart", "type" : "article-journal", "volume" : "4" }, "uris" : [ "http://www.mendeley.com/documents/?uuid=7fc244b8-b934-46cc-9c5e-4c4d6a5d4d68" ] } ], "mendeley" : { "formattedCitation" : "[10]", "plainTextFormattedCitation" : "[10]", "previouslyFormattedCitation" : "[10]" }, "properties" : {  }, "schema" : "https://github.com/citation-style-language/schema/raw/master/csl-citation.json" }</w:instrText>
            </w:r>
            <w:r w:rsidRPr="001F040C">
              <w:rPr>
                <w:sz w:val="16"/>
                <w:szCs w:val="16"/>
              </w:rPr>
              <w:fldChar w:fldCharType="separate"/>
            </w:r>
            <w:r w:rsidRPr="0056067F">
              <w:rPr>
                <w:noProof/>
                <w:sz w:val="16"/>
                <w:szCs w:val="16"/>
              </w:rPr>
              <w:t>[10]</w:t>
            </w:r>
            <w:r w:rsidRPr="001F040C">
              <w:rPr>
                <w:sz w:val="16"/>
                <w:szCs w:val="16"/>
              </w:rPr>
              <w:fldChar w:fldCharType="end"/>
            </w:r>
            <w:r w:rsidRPr="001F040C">
              <w:rPr>
                <w:sz w:val="16"/>
                <w:szCs w:val="16"/>
              </w:rPr>
              <w:t xml:space="preserve"> Andersson</w:t>
            </w:r>
          </w:p>
        </w:tc>
        <w:tc>
          <w:tcPr>
            <w:tcW w:w="689" w:type="dxa"/>
            <w:hideMark/>
          </w:tcPr>
          <w:p w14:paraId="0A6B96E8" w14:textId="6DBC6B6B"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4</w:t>
            </w:r>
          </w:p>
        </w:tc>
        <w:tc>
          <w:tcPr>
            <w:tcW w:w="554" w:type="dxa"/>
            <w:hideMark/>
          </w:tcPr>
          <w:p w14:paraId="5C890125"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6" w:type="dxa"/>
            <w:hideMark/>
          </w:tcPr>
          <w:p w14:paraId="0EFDD17F"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Iterative chain</w:t>
            </w:r>
          </w:p>
        </w:tc>
        <w:tc>
          <w:tcPr>
            <w:tcW w:w="808" w:type="dxa"/>
            <w:hideMark/>
          </w:tcPr>
          <w:p w14:paraId="3A5A9B93"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571" w:type="dxa"/>
            <w:hideMark/>
          </w:tcPr>
          <w:p w14:paraId="410F3736"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7FC5E02A"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Testing</w:t>
            </w:r>
          </w:p>
        </w:tc>
        <w:tc>
          <w:tcPr>
            <w:tcW w:w="957" w:type="dxa"/>
            <w:hideMark/>
          </w:tcPr>
          <w:p w14:paraId="56FCBFD1"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N/A</w:t>
            </w:r>
          </w:p>
        </w:tc>
        <w:tc>
          <w:tcPr>
            <w:tcW w:w="690" w:type="dxa"/>
            <w:hideMark/>
          </w:tcPr>
          <w:p w14:paraId="3957A060"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1098" w:type="dxa"/>
            <w:hideMark/>
          </w:tcPr>
          <w:p w14:paraId="71B0487B"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 xml:space="preserve">Irregular: Before and </w:t>
            </w:r>
            <w:r w:rsidRPr="001F040C">
              <w:rPr>
                <w:sz w:val="16"/>
                <w:szCs w:val="16"/>
              </w:rPr>
              <w:lastRenderedPageBreak/>
              <w:t>after, or per cycle</w:t>
            </w:r>
          </w:p>
        </w:tc>
        <w:tc>
          <w:tcPr>
            <w:tcW w:w="690" w:type="dxa"/>
            <w:hideMark/>
          </w:tcPr>
          <w:p w14:paraId="12D98D13"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lastRenderedPageBreak/>
              <w:t>Yes</w:t>
            </w:r>
          </w:p>
        </w:tc>
        <w:tc>
          <w:tcPr>
            <w:tcW w:w="825" w:type="dxa"/>
            <w:hideMark/>
          </w:tcPr>
          <w:p w14:paraId="3F05C514"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N/A</w:t>
            </w:r>
          </w:p>
        </w:tc>
        <w:tc>
          <w:tcPr>
            <w:tcW w:w="1098" w:type="dxa"/>
            <w:hideMark/>
          </w:tcPr>
          <w:p w14:paraId="5B666C6D"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Quantitative</w:t>
            </w:r>
          </w:p>
        </w:tc>
        <w:tc>
          <w:tcPr>
            <w:tcW w:w="961" w:type="dxa"/>
            <w:hideMark/>
          </w:tcPr>
          <w:p w14:paraId="035A7B7A"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962" w:type="dxa"/>
            <w:gridSpan w:val="2"/>
            <w:hideMark/>
          </w:tcPr>
          <w:p w14:paraId="413F9DAF" w14:textId="0B93832B"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Yes</w:t>
            </w:r>
          </w:p>
        </w:tc>
        <w:tc>
          <w:tcPr>
            <w:tcW w:w="1393" w:type="dxa"/>
            <w:hideMark/>
          </w:tcPr>
          <w:p w14:paraId="40911C6A" w14:textId="2F8064D8"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 xml:space="preserve">External existing knowledge </w:t>
            </w:r>
            <w:r>
              <w:rPr>
                <w:sz w:val="16"/>
                <w:szCs w:val="16"/>
              </w:rPr>
              <w:t>–</w:t>
            </w:r>
            <w:r w:rsidRPr="001F040C">
              <w:rPr>
                <w:sz w:val="16"/>
                <w:szCs w:val="16"/>
              </w:rPr>
              <w:t xml:space="preserve"> </w:t>
            </w:r>
            <w:r w:rsidRPr="001F040C">
              <w:rPr>
                <w:sz w:val="16"/>
                <w:szCs w:val="16"/>
              </w:rPr>
              <w:lastRenderedPageBreak/>
              <w:t>Literature</w:t>
            </w:r>
            <w:r>
              <w:rPr>
                <w:sz w:val="16"/>
                <w:szCs w:val="16"/>
              </w:rPr>
              <w:t xml:space="preserve"> </w:t>
            </w:r>
            <w:r w:rsidRPr="001F040C">
              <w:rPr>
                <w:sz w:val="16"/>
                <w:szCs w:val="16"/>
              </w:rPr>
              <w:t>(EBM)</w:t>
            </w:r>
          </w:p>
        </w:tc>
      </w:tr>
      <w:tr w:rsidR="00E42F62" w:rsidRPr="001F040C" w14:paraId="3630CBE7" w14:textId="19992F72" w:rsidTr="002118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6ED41E19" w14:textId="60B0C7DC" w:rsidR="00E42F62" w:rsidRPr="001F040C" w:rsidRDefault="00E42F62" w:rsidP="0087558F">
            <w:pPr>
              <w:rPr>
                <w:sz w:val="16"/>
                <w:szCs w:val="16"/>
              </w:rPr>
            </w:pPr>
            <w:r w:rsidRPr="001F040C">
              <w:rPr>
                <w:sz w:val="16"/>
                <w:szCs w:val="16"/>
              </w:rPr>
              <w:lastRenderedPageBreak/>
              <w:fldChar w:fldCharType="begin" w:fldLock="1"/>
            </w:r>
            <w:r>
              <w:rPr>
                <w:sz w:val="16"/>
                <w:szCs w:val="16"/>
              </w:rPr>
              <w:instrText>ADDIN CSL_CITATION { "citationItems" : [ { "id" : "ITEM-1", "itemData" : { "DOI" : "10.1016/j.pedn.2015.08.005", "ISSN" : "08825963", "PMID" : "26382966", "abstract" : "Family centered rounds (FCR) occur at the bedside and include the patient and their family when creating a daily medical care plan. Despite recommendations that family centered rounds (FCR) with nursing staff be standard practice, nurses were frequently absent from FCR at our institution. Objective: To increase nurse attendance on hospitalist FCR to 80% in three months. Secondary outcomes were to investigate the relationship between nurse-to-patient ratio and nurse attendance, and to assess for change in perception toward FCR. Methods: This resident driven interrupted time series study included a focus group to identify barriers to nurse attendance on FCR, four plan-do-study-act cycles, and surveys to assess for changes in perceptions toward FCR. Control charts, SHEWHART rules, linear regression and chi squared analysis were used for data analysis. Results: Nurse attendance on FCR improved from 30% to 59%. There was no correlation between nurse-to-patient ratio and nurse attendance on FCR. Surveys indicated increase in the perception that it is helpful to have a nurse present at FCR. Conclusions: A resident driven quality improvement project can increase nurse presence on FCR.", "author" : [ { "dropping-particle" : "", "family" : "Aragona", "given" : "Elena", "non-dropping-particle" : "", "parse-names" : false, "suffix" : "" }, { "dropping-particle" : "", "family" : "Ponce-Rios", "given" : "Jose", "non-dropping-particle" : "", "parse-names" : false, "suffix" : "" }, { "dropping-particle" : "", "family" : "Garg", "given" : "Priya", "non-dropping-particle" : "", "parse-names" : false, "suffix" : "" }, { "dropping-particle" : "", "family" : "Aquino", "given" : "Julia", "non-dropping-particle" : "", "parse-names" : false, "suffix" : "" }, { "dropping-particle" : "", "family" : "Winer", "given" : "Jeffrey C.", "non-dropping-particle" : "", "parse-names" : false, "suffix" : "" }, { "dropping-particle" : "", "family" : "Schainker", "given" : "Elisabeth", "non-dropping-particle" : "", "parse-names" : false, "suffix" : "" } ], "container-title" : "Journal of Pediatric Nursing", "id" : "ITEM-1", "issue" : "1", "issued" : { "date-parts" : [ [ "2016" ] ] }, "page" : "e3-e9", "publisher" : "Elsevier Inc", "publisher-place" : "United States", "title" : "A Quality Improvement Project to Increase Nurse Attendance on Pediatric Family Centered Rounds", "type" : "article-journal", "volume" : "31" }, "uris" : [ "http://www.mendeley.com/documents/?uuid=c7a693db-79f7-4d3c-82d1-780203e901fe" ] } ], "mendeley" : { "formattedCitation" : "[11]", "plainTextFormattedCitation" : "[11]", "previouslyFormattedCitation" : "[11]" }, "properties" : {  }, "schema" : "https://github.com/citation-style-language/schema/raw/master/csl-citation.json" }</w:instrText>
            </w:r>
            <w:r w:rsidRPr="001F040C">
              <w:rPr>
                <w:sz w:val="16"/>
                <w:szCs w:val="16"/>
              </w:rPr>
              <w:fldChar w:fldCharType="separate"/>
            </w:r>
            <w:r w:rsidRPr="0056067F">
              <w:rPr>
                <w:noProof/>
                <w:sz w:val="16"/>
                <w:szCs w:val="16"/>
              </w:rPr>
              <w:t>[11]</w:t>
            </w:r>
            <w:r w:rsidRPr="001F040C">
              <w:rPr>
                <w:sz w:val="16"/>
                <w:szCs w:val="16"/>
              </w:rPr>
              <w:fldChar w:fldCharType="end"/>
            </w:r>
            <w:r w:rsidRPr="001F040C">
              <w:rPr>
                <w:sz w:val="16"/>
                <w:szCs w:val="16"/>
              </w:rPr>
              <w:t xml:space="preserve"> Aragona</w:t>
            </w:r>
          </w:p>
        </w:tc>
        <w:tc>
          <w:tcPr>
            <w:tcW w:w="689" w:type="dxa"/>
            <w:hideMark/>
          </w:tcPr>
          <w:p w14:paraId="5A9399AB" w14:textId="2B37E979"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3</w:t>
            </w:r>
          </w:p>
        </w:tc>
        <w:tc>
          <w:tcPr>
            <w:tcW w:w="554" w:type="dxa"/>
            <w:hideMark/>
          </w:tcPr>
          <w:p w14:paraId="6B7B273C"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6" w:type="dxa"/>
            <w:hideMark/>
          </w:tcPr>
          <w:p w14:paraId="6E9D1B23"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Mix of iterative chains and isolated cycles</w:t>
            </w:r>
          </w:p>
        </w:tc>
        <w:tc>
          <w:tcPr>
            <w:tcW w:w="808" w:type="dxa"/>
            <w:hideMark/>
          </w:tcPr>
          <w:p w14:paraId="1C26EEC0"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571" w:type="dxa"/>
            <w:hideMark/>
          </w:tcPr>
          <w:p w14:paraId="1CA1F7EB"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0CB0C6BE"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Testing</w:t>
            </w:r>
          </w:p>
        </w:tc>
        <w:tc>
          <w:tcPr>
            <w:tcW w:w="957" w:type="dxa"/>
            <w:hideMark/>
          </w:tcPr>
          <w:p w14:paraId="4B9E8F41"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N/A</w:t>
            </w:r>
          </w:p>
        </w:tc>
        <w:tc>
          <w:tcPr>
            <w:tcW w:w="690" w:type="dxa"/>
            <w:hideMark/>
          </w:tcPr>
          <w:p w14:paraId="1CEA89DB"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1098" w:type="dxa"/>
            <w:hideMark/>
          </w:tcPr>
          <w:p w14:paraId="6CB756D8"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Regular: Three datapoints or more</w:t>
            </w:r>
          </w:p>
        </w:tc>
        <w:tc>
          <w:tcPr>
            <w:tcW w:w="690" w:type="dxa"/>
            <w:hideMark/>
          </w:tcPr>
          <w:p w14:paraId="508B96D3"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5" w:type="dxa"/>
            <w:hideMark/>
          </w:tcPr>
          <w:p w14:paraId="16260E52"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Control Chart</w:t>
            </w:r>
          </w:p>
        </w:tc>
        <w:tc>
          <w:tcPr>
            <w:tcW w:w="1098" w:type="dxa"/>
            <w:hideMark/>
          </w:tcPr>
          <w:p w14:paraId="4D002852" w14:textId="4625AFD8"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 xml:space="preserve">Quantitative supplemented </w:t>
            </w:r>
          </w:p>
        </w:tc>
        <w:tc>
          <w:tcPr>
            <w:tcW w:w="961" w:type="dxa"/>
            <w:hideMark/>
          </w:tcPr>
          <w:p w14:paraId="1A17A509"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962" w:type="dxa"/>
            <w:gridSpan w:val="2"/>
            <w:hideMark/>
          </w:tcPr>
          <w:p w14:paraId="18231C8B" w14:textId="05424ECA"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Yes</w:t>
            </w:r>
          </w:p>
        </w:tc>
        <w:tc>
          <w:tcPr>
            <w:tcW w:w="1393" w:type="dxa"/>
            <w:hideMark/>
          </w:tcPr>
          <w:p w14:paraId="160AC4E9"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Combination of external and internal</w:t>
            </w:r>
          </w:p>
        </w:tc>
      </w:tr>
      <w:tr w:rsidR="00E42F62" w:rsidRPr="001F040C" w14:paraId="1F3B62A7" w14:textId="24E591C4" w:rsidTr="002118F0">
        <w:trPr>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090B2BAC" w14:textId="036C4539"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"10.1136/bmjquality.u207857.w4260", "ISSN" : "2050-1315 (Linking)", "PMID" : "27096089", "abstract" : "Potentially inappropriate prescribing in healthcare of the elderly (HCE) is associated with avoidable adverse drug events (ADEs).1(,)2 A recent set of prescribing criteria has been designed and validated, called \"Screening Tool of Older Persons' Prescriptions\" (STOPP), to rationalise prescribing in hospitalised patients on HCE wards.1(,)3 The aim of this quality improvement project was to identify how many potentially inappropriate medications (PIMs) were prescribed on these wards, and remove them. This was executed by implementing a ward round checklist, which incorporated STOPP criteria, for the twice weekly, consultant led ward rounds. This quality improvement project was carried out over four months. In a pilot study, we identified eight inappropriate medical prescriptions among 148 medications (5.4% ) prescribed on one ward. After applying a checklist for a structured ward round, we reviewed the medications prescribed on that ward, and found 10 PIMs out of 192 (5.2% ). Utilising the increasingly recognised \"plan, do, study, act\" (PDSA) cycle,4 we implemented departmental teaching and meetings with other members of the multidisciplinary team, which raised awareness of PIMs among junior doctors, as well as involving our pharmacists in drug chart screening. During this process we continued with a further six cycles on a bi-weekly basis, and saw a gradual decrease in PIM to 1.5%. In conclusion, a structured ward round, facilitated by a checklist that included review of drug charts based on STOPP criteria, demonstrated a considerable reduction of PIMs. It would be interesting to apply this quality improvement project to non-HCE wards, including general surgical wards or adult psychiatry wards, as a means of not only reducing the effects of ADEs, but also the expenditure associated with unnecessary drug prescriptions, and the costs associated with additional care arising from associated ADEs.", "author" : [ { "dropping-particle" : "", "family" : "Aung", "given" : "Tin Htun", "non-dropping-particle" : "", "parse-names" : false, "suffix" : "" }, { "dropping-particle" : "", "family" : "Judith Beck", "given" : "Adele", "non-dropping-particle" : "", "parse-names" : false, "suffix" : "" }, { "dropping-particle" : "", "family" : "Siese", "given" : "Thomas", "non-dropping-particle" : "", "parse-names" : false, "suffix" : "" }, { "dropping-particle" : "", "family" : "Berrisford", "given" : "Richard", "non-dropping-particle" : "", "parse-names" : false, "suffix" : "" } ], "container-title" : "BMJ quality improvement reports", "id" : "ITEM-1", "issue" : "1", "issued" : { "date-parts" : [ [ "2016" ] ] }, "note" : "Henrik V. B. Laursen (2016-12-14 20:17:54)(Included): https://www.ncbi.nlm.nih.gov/pmc/articles/PMC4822020/bin/bmjqir-5-u207857-w4260-s2.pdf;", "page" : "1-4", "publisher-place" : "England", "title" : "Less is more: a project to reduce the number of PIMs (potentially inappropriate medications) on an elderly care ward.", "type" : "article-journal", "volume" : "5" }, "uris" : [ "http://www.mendeley.com/documents/?uuid=8ddea289-35c4-46e2-8f5e-a7bcd86c6075" ] } ], "mendeley" : { "formattedCitation" : "[12]", "plainTextFormattedCitation" : "[12]", "previouslyFormattedCitation" : "[12]" }, "properties" : {  }, "schema" : "https://github.com/citation-style-language/schema/raw/master/csl-citation.json" }</w:instrText>
            </w:r>
            <w:r w:rsidRPr="001F040C">
              <w:rPr>
                <w:sz w:val="16"/>
                <w:szCs w:val="16"/>
              </w:rPr>
              <w:fldChar w:fldCharType="separate"/>
            </w:r>
            <w:r w:rsidRPr="0056067F">
              <w:rPr>
                <w:noProof/>
                <w:sz w:val="16"/>
                <w:szCs w:val="16"/>
              </w:rPr>
              <w:t>[12]</w:t>
            </w:r>
            <w:r w:rsidRPr="001F040C">
              <w:rPr>
                <w:sz w:val="16"/>
                <w:szCs w:val="16"/>
              </w:rPr>
              <w:fldChar w:fldCharType="end"/>
            </w:r>
            <w:r w:rsidRPr="001F040C">
              <w:rPr>
                <w:sz w:val="16"/>
                <w:szCs w:val="16"/>
              </w:rPr>
              <w:t xml:space="preserve"> Aung</w:t>
            </w:r>
          </w:p>
        </w:tc>
        <w:tc>
          <w:tcPr>
            <w:tcW w:w="689" w:type="dxa"/>
            <w:hideMark/>
          </w:tcPr>
          <w:p w14:paraId="0C97154B" w14:textId="1B2F2892"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3</w:t>
            </w:r>
          </w:p>
        </w:tc>
        <w:tc>
          <w:tcPr>
            <w:tcW w:w="554" w:type="dxa"/>
            <w:hideMark/>
          </w:tcPr>
          <w:p w14:paraId="1B188D61"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6" w:type="dxa"/>
            <w:hideMark/>
          </w:tcPr>
          <w:p w14:paraId="17F47F62"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Iterative chain</w:t>
            </w:r>
          </w:p>
        </w:tc>
        <w:tc>
          <w:tcPr>
            <w:tcW w:w="808" w:type="dxa"/>
            <w:hideMark/>
          </w:tcPr>
          <w:p w14:paraId="19C78E79"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571" w:type="dxa"/>
            <w:hideMark/>
          </w:tcPr>
          <w:p w14:paraId="17B17075"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0D33EA56"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Testing</w:t>
            </w:r>
          </w:p>
        </w:tc>
        <w:tc>
          <w:tcPr>
            <w:tcW w:w="957" w:type="dxa"/>
            <w:hideMark/>
          </w:tcPr>
          <w:p w14:paraId="06090A5B"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N/A</w:t>
            </w:r>
          </w:p>
        </w:tc>
        <w:tc>
          <w:tcPr>
            <w:tcW w:w="690" w:type="dxa"/>
            <w:hideMark/>
          </w:tcPr>
          <w:p w14:paraId="23DF0B0B"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1098" w:type="dxa"/>
            <w:hideMark/>
          </w:tcPr>
          <w:p w14:paraId="3EB77180"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Irregular: Before and after, or per cycle</w:t>
            </w:r>
          </w:p>
        </w:tc>
        <w:tc>
          <w:tcPr>
            <w:tcW w:w="690" w:type="dxa"/>
            <w:hideMark/>
          </w:tcPr>
          <w:p w14:paraId="1E8A0070"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5" w:type="dxa"/>
            <w:hideMark/>
          </w:tcPr>
          <w:p w14:paraId="2F3F805C"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N/A</w:t>
            </w:r>
          </w:p>
        </w:tc>
        <w:tc>
          <w:tcPr>
            <w:tcW w:w="1098" w:type="dxa"/>
            <w:hideMark/>
          </w:tcPr>
          <w:p w14:paraId="322C21B0"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Quantitative</w:t>
            </w:r>
          </w:p>
        </w:tc>
        <w:tc>
          <w:tcPr>
            <w:tcW w:w="961" w:type="dxa"/>
            <w:hideMark/>
          </w:tcPr>
          <w:p w14:paraId="621535BA"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2" w:type="dxa"/>
            <w:gridSpan w:val="2"/>
            <w:hideMark/>
          </w:tcPr>
          <w:p w14:paraId="62BB03C6" w14:textId="1FD2EE85"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Yes</w:t>
            </w:r>
          </w:p>
        </w:tc>
        <w:tc>
          <w:tcPr>
            <w:tcW w:w="1393" w:type="dxa"/>
            <w:hideMark/>
          </w:tcPr>
          <w:p w14:paraId="3B8CAFA7"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Not stated</w:t>
            </w:r>
          </w:p>
        </w:tc>
      </w:tr>
      <w:tr w:rsidR="00E42F62" w:rsidRPr="001F040C" w14:paraId="0675F932" w14:textId="5EEAFF67" w:rsidTr="002118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444450FF" w14:textId="252CC225"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"10.1136/bmjquality.u209837.w5117", "ISSN" : "2050-1315", "author" : [ { "dropping-particle" : "", "family" : "Bailey", "given" : "Jill", "non-dropping-particle" : "", "parse-names" : false, "suffix" : "" }, { "dropping-particle" : "", "family" : "Page", "given" : "Bethan", "non-dropping-particle" : "", "parse-names" : false, "suffix" : "" }, { "dropping-particle" : "", "family" : "Ndimande", "given" : "Nokuthula", "non-dropping-particle" : "", "parse-names" : false, "suffix" : "" }, { "dropping-particle" : "", "family" : "Connell", "given" : "Julie", "non-dropping-particle" : "", "parse-names" : false, "suffix" : "" }, { "dropping-particle" : "", "family" : "Vincent", "given" : "Charles", "non-dropping-particle" : "", "parse-names" : false, "suffix" : "" } ], "container-title" : "BMJ Quality Improvement Reports", "id" : "ITEM-1", "issue" : "1", "issued" : { "date-parts" : [ [ "2016" ] ] }, "page" : "u209837.w5117", "title" : "Absconding: reducing failure to return in adult mental health wards", "type" : "article-journal", "volume" : "5" }, "uris" : [ "http://www.mendeley.com/documents/?uuid=380737e1-45a1-49ac-8818-7b3f8d88b5d9" ] } ], "mendeley" : { "formattedCitation" : "[13]", "plainTextFormattedCitation" : "[13]", "previouslyFormattedCitation" : "[13]" }, "properties" : {  }, "schema" : "https://github.com/citation-style-language/schema/raw/master/csl-citation.json" }</w:instrText>
            </w:r>
            <w:r w:rsidRPr="001F040C">
              <w:rPr>
                <w:sz w:val="16"/>
                <w:szCs w:val="16"/>
              </w:rPr>
              <w:fldChar w:fldCharType="separate"/>
            </w:r>
            <w:r w:rsidRPr="0056067F">
              <w:rPr>
                <w:noProof/>
                <w:sz w:val="16"/>
                <w:szCs w:val="16"/>
              </w:rPr>
              <w:t>[13]</w:t>
            </w:r>
            <w:r w:rsidRPr="001F040C">
              <w:rPr>
                <w:sz w:val="16"/>
                <w:szCs w:val="16"/>
              </w:rPr>
              <w:fldChar w:fldCharType="end"/>
            </w:r>
            <w:r w:rsidRPr="001F040C">
              <w:rPr>
                <w:sz w:val="16"/>
                <w:szCs w:val="16"/>
              </w:rPr>
              <w:t xml:space="preserve"> Bailey</w:t>
            </w:r>
          </w:p>
        </w:tc>
        <w:tc>
          <w:tcPr>
            <w:tcW w:w="689" w:type="dxa"/>
            <w:hideMark/>
          </w:tcPr>
          <w:p w14:paraId="0BE4268C" w14:textId="19002816"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3</w:t>
            </w:r>
          </w:p>
        </w:tc>
        <w:tc>
          <w:tcPr>
            <w:tcW w:w="554" w:type="dxa"/>
            <w:hideMark/>
          </w:tcPr>
          <w:p w14:paraId="4AA78F84"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6" w:type="dxa"/>
            <w:hideMark/>
          </w:tcPr>
          <w:p w14:paraId="19399FCF"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Multiple (isolated) iterative chains</w:t>
            </w:r>
          </w:p>
        </w:tc>
        <w:tc>
          <w:tcPr>
            <w:tcW w:w="808" w:type="dxa"/>
            <w:hideMark/>
          </w:tcPr>
          <w:p w14:paraId="52B48E68"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571" w:type="dxa"/>
            <w:hideMark/>
          </w:tcPr>
          <w:p w14:paraId="73C80D2F"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5CAEC95F"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Implementation</w:t>
            </w:r>
          </w:p>
        </w:tc>
        <w:tc>
          <w:tcPr>
            <w:tcW w:w="957" w:type="dxa"/>
            <w:hideMark/>
          </w:tcPr>
          <w:p w14:paraId="40A5140E"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N/A</w:t>
            </w:r>
          </w:p>
        </w:tc>
        <w:tc>
          <w:tcPr>
            <w:tcW w:w="690" w:type="dxa"/>
            <w:hideMark/>
          </w:tcPr>
          <w:p w14:paraId="17FF40AB"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1098" w:type="dxa"/>
            <w:hideMark/>
          </w:tcPr>
          <w:p w14:paraId="3660A2F5"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Regular: Three datapoints or more</w:t>
            </w:r>
          </w:p>
        </w:tc>
        <w:tc>
          <w:tcPr>
            <w:tcW w:w="690" w:type="dxa"/>
            <w:hideMark/>
          </w:tcPr>
          <w:p w14:paraId="34586BBE"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5" w:type="dxa"/>
            <w:hideMark/>
          </w:tcPr>
          <w:p w14:paraId="3F2A3097"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Control Chart</w:t>
            </w:r>
          </w:p>
        </w:tc>
        <w:tc>
          <w:tcPr>
            <w:tcW w:w="1098" w:type="dxa"/>
            <w:hideMark/>
          </w:tcPr>
          <w:p w14:paraId="5096DF28"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Quantitative</w:t>
            </w:r>
          </w:p>
        </w:tc>
        <w:tc>
          <w:tcPr>
            <w:tcW w:w="961" w:type="dxa"/>
            <w:hideMark/>
          </w:tcPr>
          <w:p w14:paraId="46FBD441"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2" w:type="dxa"/>
            <w:gridSpan w:val="2"/>
            <w:hideMark/>
          </w:tcPr>
          <w:p w14:paraId="460A8978" w14:textId="237845FD"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Yes</w:t>
            </w:r>
          </w:p>
        </w:tc>
        <w:tc>
          <w:tcPr>
            <w:tcW w:w="1393" w:type="dxa"/>
            <w:hideMark/>
          </w:tcPr>
          <w:p w14:paraId="1D48A1DA"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External existing knowledge - Previous QI</w:t>
            </w:r>
          </w:p>
        </w:tc>
      </w:tr>
      <w:tr w:rsidR="00E42F62" w:rsidRPr="001F040C" w14:paraId="2DE9B3A7" w14:textId="6F11F976" w:rsidTr="002118F0">
        <w:trPr>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76E5B433" w14:textId="373DF5ED"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"10.1186/s12913-016-1633-x", "ISBN" : "2326-5191", "ISSN" : "14726963", "abstract" : "Background/Purpose: Current recommendations for optimal rheumatoid arthritis (RA) management include routine assessment of disease activity and adjustment of medication to achieve remission or low disease activity. There are limited data describing implementation strategies for this potentially burdensome process in a real-world clinic setting. Our goal was to increase the use of disease activity measures, specifically, the Clinical Disease Activity Index (CDAI) for RA patients at an academic VA medical center rheumatology clinic using Plan-Do-Study-Act (PDSA) cycles and introduction of a simple paper form. Methods : Patients were diagnosed with RA by a rheumatologist. In PDSA cycle 1, a paper-based form was distributed to providers and brief one-on-one educational discussions with incoming fellows were held. The form included a patient global activity of disease visual analogue scale (VAS, 0-10cm), a physician global VAS and a 28-joint count homunculus for counting tender/swollen joints. The form also included instructions for calculation and interpretation of the CDAI. Providers were instructed to enter the total CDAI score into their clinical note. PDSA cycle 2 included two provider education talks on disease activity measurement including rationale, identification of RA patients prior to their clinic visit by investigators, inclusion of medical assistants to distribute paper forms to pre-identified patients, and separation of the form into two pages - one for the patient global (was changed from VAS to numerical in cycle 2) and one for the provider components. We generated a run chart to evaluate the effect of each PDSA cycle on the percent of RA visits with the CDAI recorded. Results : Nine rheumatology fellows, 1 nurse practitioner and 5 attending physicians participated in this quality improvement project. 107 RA patients were seen at the clinic during the study period, June 2014 through March 2015. During the 4-week pre-intervention period, there were 29 RA patient visits and 24% (n=7) had a documented CDAI. PDSA cycle 1 lasted 8 weeks with 59 visits and 44% of patients (n = 26) had a CDAI documented. Cycle 2 lasted 27 weeks with 182 visits and 85% of patients (n = 155) had a CDAI documented. Conclusion : We successfully increased CDAI use in an academic rheumatology clinic setting using a simple paper form coupled with brief provider education. The majority of providers were rheumatology fellows, indicating that providers can learn this skill e\u2026", "author" : [ { "dropping-particle" : "", "family" : "Bays", "given" : "Alison", "non-dropping-particle" : "", "parse-names" : false, "suffix" : "" }, { "dropping-particle" : "", "family" : "Wahl", "given" : "Elizabeth", "non-dropping-particle" : "", "parse-names" : false, "suffix" : "" }, { "dropping-particle" : "", "family" : "Daikh", "given" : "David I.", "non-dropping-particle" : "", "parse-names" : false, "suffix" : "" }, { "dropping-particle" : "", "family" : "Yazdany", "given" : "Jinoos", "non-dropping-particle" : "", "parse-names" : false, "suffix" : "" }, { "dropping-particle" : "", "family" : "Schmajuk", "given" : "Gabriela", "non-dropping-particle" : "", "parse-names" : false, "suffix" : "" } ], "container-title" : "BMC Health Services Research", "id" : "ITEM-1", "issue" : "1", "issued" : { "date-parts" : [ [ "2016" ] ] }, "page" : "384", "publisher-place" : "England", "title" : "Implementation of disease activity measurement for rheumatoid arthritis patients in an academic rheumatology clinic", "type" : "article-journal", "volume" : "16" }, "uris" : [ "http://www.mendeley.com/documents/?uuid=0c2d3f13-8aaf-47c4-a4d9-71900e654e2f" ] } ], "mendeley" : { "formattedCitation" : "[14]", "plainTextFormattedCitation" : "[14]", "previouslyFormattedCitation" : "[14]" }, "properties" : {  }, "schema" : "https://github.com/citation-style-language/schema/raw/master/csl-citation.json" }</w:instrText>
            </w:r>
            <w:r w:rsidRPr="001F040C">
              <w:rPr>
                <w:sz w:val="16"/>
                <w:szCs w:val="16"/>
              </w:rPr>
              <w:fldChar w:fldCharType="separate"/>
            </w:r>
            <w:r w:rsidRPr="0056067F">
              <w:rPr>
                <w:noProof/>
                <w:sz w:val="16"/>
                <w:szCs w:val="16"/>
              </w:rPr>
              <w:t>[14]</w:t>
            </w:r>
            <w:r w:rsidRPr="001F040C">
              <w:rPr>
                <w:sz w:val="16"/>
                <w:szCs w:val="16"/>
              </w:rPr>
              <w:fldChar w:fldCharType="end"/>
            </w:r>
            <w:r w:rsidRPr="001F040C">
              <w:rPr>
                <w:sz w:val="16"/>
                <w:szCs w:val="16"/>
              </w:rPr>
              <w:t xml:space="preserve"> Bays</w:t>
            </w:r>
          </w:p>
        </w:tc>
        <w:tc>
          <w:tcPr>
            <w:tcW w:w="689" w:type="dxa"/>
            <w:hideMark/>
          </w:tcPr>
          <w:p w14:paraId="653EFBD7" w14:textId="669DD632"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3</w:t>
            </w:r>
          </w:p>
        </w:tc>
        <w:tc>
          <w:tcPr>
            <w:tcW w:w="554" w:type="dxa"/>
            <w:hideMark/>
          </w:tcPr>
          <w:p w14:paraId="3C5055ED"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6" w:type="dxa"/>
            <w:hideMark/>
          </w:tcPr>
          <w:p w14:paraId="70FD315F"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Iterative chain</w:t>
            </w:r>
          </w:p>
        </w:tc>
        <w:tc>
          <w:tcPr>
            <w:tcW w:w="808" w:type="dxa"/>
            <w:hideMark/>
          </w:tcPr>
          <w:p w14:paraId="3C5C0645"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571" w:type="dxa"/>
            <w:hideMark/>
          </w:tcPr>
          <w:p w14:paraId="3169492D"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2F292175"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Implementation</w:t>
            </w:r>
          </w:p>
        </w:tc>
        <w:tc>
          <w:tcPr>
            <w:tcW w:w="957" w:type="dxa"/>
            <w:hideMark/>
          </w:tcPr>
          <w:p w14:paraId="7C267B53"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N/A</w:t>
            </w:r>
          </w:p>
        </w:tc>
        <w:tc>
          <w:tcPr>
            <w:tcW w:w="690" w:type="dxa"/>
            <w:hideMark/>
          </w:tcPr>
          <w:p w14:paraId="6B562918"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1098" w:type="dxa"/>
            <w:hideMark/>
          </w:tcPr>
          <w:p w14:paraId="637366FE"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Regular: Three datapoints or more</w:t>
            </w:r>
          </w:p>
        </w:tc>
        <w:tc>
          <w:tcPr>
            <w:tcW w:w="690" w:type="dxa"/>
            <w:hideMark/>
          </w:tcPr>
          <w:p w14:paraId="5D43000E"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5" w:type="dxa"/>
            <w:hideMark/>
          </w:tcPr>
          <w:p w14:paraId="6E65F47F"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Control Chart</w:t>
            </w:r>
          </w:p>
        </w:tc>
        <w:tc>
          <w:tcPr>
            <w:tcW w:w="1098" w:type="dxa"/>
            <w:hideMark/>
          </w:tcPr>
          <w:p w14:paraId="58619D0D"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Quantitative</w:t>
            </w:r>
          </w:p>
        </w:tc>
        <w:tc>
          <w:tcPr>
            <w:tcW w:w="961" w:type="dxa"/>
            <w:hideMark/>
          </w:tcPr>
          <w:p w14:paraId="33D2F1BC"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2" w:type="dxa"/>
            <w:gridSpan w:val="2"/>
            <w:hideMark/>
          </w:tcPr>
          <w:p w14:paraId="3E90965C" w14:textId="234DAE0C"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Yes</w:t>
            </w:r>
          </w:p>
        </w:tc>
        <w:tc>
          <w:tcPr>
            <w:tcW w:w="1393" w:type="dxa"/>
            <w:hideMark/>
          </w:tcPr>
          <w:p w14:paraId="4BE511D3" w14:textId="2A5289E9"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Internally developed knowledge - Logical visualising and description</w:t>
            </w:r>
          </w:p>
        </w:tc>
      </w:tr>
      <w:tr w:rsidR="00E42F62" w:rsidRPr="001F040C" w14:paraId="33BE587C" w14:textId="4390DEC1" w:rsidTr="002118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799DEC00" w14:textId="6162E60B"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"10.1136/bmjquality.u211050.w4430", "ISSN" : "2050-1315", "PMID" : "27335641", "abstract" : "As part of the Scottish Patient Safety Programme - Mental Health one of the main drivers was the reduction of harm to patients caused by restraint. The aim of this project was to reduce the number of restraints on our Acute Admissions ward. Through use the of the Improvement Model (PDSA), frontline staff were empowered to implement small tests of change at a grassroots level. This approach has led to frontline staff having ownership of driving the changes on a daily basis within the Clinical area. The use of a restraint data collection tool has been adapted and developed with frontline staff to ensure that the staff have ownership of data collected and is used to facilitate improvement. This data is used to inform the development of our Physical Interventions training. Most recently, following analysis, were able to introduce changes to promote the increased use of de-escalation and a shift from prone restraint to the safer seated restraint position. Patient involvement has been paramount with their inclusion in the debrief process. The information gleaned from the patients is used for staff and patient reflection. This has created a learning environment not only for staff but also patients and carers. Everyone involved is able to identify reasons and triggers and generate ideas to reduce the possibility of another restraint. The use of staff and patient safety climate surveys has ensured that we are constantly monitoring improvements in the feeling of safety amongst staff and patients. Our approach has resulted in a change in the culture of restraint resulting in a sustained reduction of 50% in restraint.", "author" : [ { "dropping-particle" : "", "family" : "Bell", "given" : "Alyssa", "non-dropping-particle" : "", "parse-names" : false, "suffix" : "" }, { "dropping-particle" : "", "family" : "Gallacher", "given" : "Neil", "non-dropping-particle" : "", "parse-names" : false, "suffix" : "" } ], "container-title" : "BMJ Quality Improvement Reports", "id" : "ITEM-1", "issue" : "1", "issued" : { "date-parts" : [ [ "2016" ] ] }, "note" : "Henrik V. B. Laursen (2016-11-24 00:22:48)(Select): suppl: http://qualitysafety.bmj.com.zorac.aub.aau.dk/content/25/2/100/suppl/DC1;", "page" : "u211050.w4430", "publisher-place" : "England", "title" : "Succeeding in Sustained Reduction in the use of Restraint using the Improvement Model", "type" : "article-journal", "volume" : "5" }, "uris" : [ "http://www.mendeley.com/documents/?uuid=9786a188-59ee-4714-a601-8dd4c2d3d0dc" ] } ], "mendeley" : { "formattedCitation" : "[15]", "plainTextFormattedCitation" : "[15]", "previouslyFormattedCitation" : "[15]" }, "properties" : {  }, "schema" : "https://github.com/citation-style-language/schema/raw/master/csl-citation.json" }</w:instrText>
            </w:r>
            <w:r w:rsidRPr="001F040C">
              <w:rPr>
                <w:sz w:val="16"/>
                <w:szCs w:val="16"/>
              </w:rPr>
              <w:fldChar w:fldCharType="separate"/>
            </w:r>
            <w:r w:rsidRPr="0056067F">
              <w:rPr>
                <w:noProof/>
                <w:sz w:val="16"/>
                <w:szCs w:val="16"/>
              </w:rPr>
              <w:t>[15]</w:t>
            </w:r>
            <w:r w:rsidRPr="001F040C">
              <w:rPr>
                <w:sz w:val="16"/>
                <w:szCs w:val="16"/>
              </w:rPr>
              <w:fldChar w:fldCharType="end"/>
            </w:r>
            <w:r w:rsidRPr="001F040C">
              <w:rPr>
                <w:sz w:val="16"/>
                <w:szCs w:val="16"/>
              </w:rPr>
              <w:t xml:space="preserve"> Bell</w:t>
            </w:r>
          </w:p>
        </w:tc>
        <w:tc>
          <w:tcPr>
            <w:tcW w:w="689" w:type="dxa"/>
            <w:hideMark/>
          </w:tcPr>
          <w:p w14:paraId="3A73B024" w14:textId="3AF8A430"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3</w:t>
            </w:r>
          </w:p>
        </w:tc>
        <w:tc>
          <w:tcPr>
            <w:tcW w:w="554" w:type="dxa"/>
            <w:hideMark/>
          </w:tcPr>
          <w:p w14:paraId="03391D8A"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826" w:type="dxa"/>
            <w:hideMark/>
          </w:tcPr>
          <w:p w14:paraId="412EDD0C"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Multiple isolated cycles</w:t>
            </w:r>
          </w:p>
        </w:tc>
        <w:tc>
          <w:tcPr>
            <w:tcW w:w="808" w:type="dxa"/>
            <w:hideMark/>
          </w:tcPr>
          <w:p w14:paraId="3DE2EBC1"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571" w:type="dxa"/>
            <w:hideMark/>
          </w:tcPr>
          <w:p w14:paraId="457B2627"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2073743F"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Implementation</w:t>
            </w:r>
          </w:p>
        </w:tc>
        <w:tc>
          <w:tcPr>
            <w:tcW w:w="957" w:type="dxa"/>
            <w:hideMark/>
          </w:tcPr>
          <w:p w14:paraId="0054979D"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N/A</w:t>
            </w:r>
          </w:p>
        </w:tc>
        <w:tc>
          <w:tcPr>
            <w:tcW w:w="690" w:type="dxa"/>
            <w:hideMark/>
          </w:tcPr>
          <w:p w14:paraId="48491BCE"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1098" w:type="dxa"/>
            <w:hideMark/>
          </w:tcPr>
          <w:p w14:paraId="37BC8967"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Regular: Three datapoints or more</w:t>
            </w:r>
          </w:p>
        </w:tc>
        <w:tc>
          <w:tcPr>
            <w:tcW w:w="690" w:type="dxa"/>
            <w:hideMark/>
          </w:tcPr>
          <w:p w14:paraId="56EFF4EE"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5" w:type="dxa"/>
            <w:hideMark/>
          </w:tcPr>
          <w:p w14:paraId="4E94375C"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Run Chart</w:t>
            </w:r>
          </w:p>
        </w:tc>
        <w:tc>
          <w:tcPr>
            <w:tcW w:w="1098" w:type="dxa"/>
            <w:hideMark/>
          </w:tcPr>
          <w:p w14:paraId="271CA9A7" w14:textId="2ED7DD9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 xml:space="preserve">Quantitative supplemented </w:t>
            </w:r>
          </w:p>
        </w:tc>
        <w:tc>
          <w:tcPr>
            <w:tcW w:w="961" w:type="dxa"/>
            <w:hideMark/>
          </w:tcPr>
          <w:p w14:paraId="11A52E5B"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2" w:type="dxa"/>
            <w:gridSpan w:val="2"/>
            <w:hideMark/>
          </w:tcPr>
          <w:p w14:paraId="08F025DD" w14:textId="7C5F4626"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Yes</w:t>
            </w:r>
          </w:p>
        </w:tc>
        <w:tc>
          <w:tcPr>
            <w:tcW w:w="1393" w:type="dxa"/>
            <w:hideMark/>
          </w:tcPr>
          <w:p w14:paraId="7FE949BA" w14:textId="7F2F3E32"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 xml:space="preserve">External existing knowledge </w:t>
            </w:r>
            <w:r>
              <w:rPr>
                <w:sz w:val="16"/>
                <w:szCs w:val="16"/>
              </w:rPr>
              <w:t>–</w:t>
            </w:r>
            <w:r w:rsidRPr="001F040C">
              <w:rPr>
                <w:sz w:val="16"/>
                <w:szCs w:val="16"/>
              </w:rPr>
              <w:t xml:space="preserve"> Literature</w:t>
            </w:r>
            <w:r>
              <w:rPr>
                <w:sz w:val="16"/>
                <w:szCs w:val="16"/>
              </w:rPr>
              <w:t xml:space="preserve"> </w:t>
            </w:r>
            <w:r w:rsidRPr="001F040C">
              <w:rPr>
                <w:sz w:val="16"/>
                <w:szCs w:val="16"/>
              </w:rPr>
              <w:t>(EBM)</w:t>
            </w:r>
          </w:p>
        </w:tc>
      </w:tr>
      <w:tr w:rsidR="00E42F62" w:rsidRPr="001F040C" w14:paraId="6F39084F" w14:textId="4C9CBFB4" w:rsidTr="002118F0">
        <w:trPr>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285566E3" w14:textId="1C8DE922"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"10.1136/bmjquality.u212047.w4835", "ISBN" : "221-4999", "ISSN" : "2050-1315", "PMID" : "27933153", "abstract" : "Streptococcus pneumoniae infection is associated with high morbidity and mortality in low income countries. In Nepal, there is a high lung disease burden and incidence of pneumonia due to multiple factors including indoor air pollution, dust exposure, recurrent infections, and cigarette smoking. Despite the ready availability of effective pneumococcal vaccines (PNV), vaccine coverage rates remain suboptimal globally. Quality Improvement (QI) principles could be applied to improve compliance, but it is a virtually new technology in Nepal. This QI study for Patan Hospital sought to introduce the concept of QI there, to measure the baseline pneumococcal vaccination rate of qualifying adult patients discharged from the medical wards and to assess reasons for non-vaccination. QI interventions were instituted to improve this rate, measuring the effectiveness of QI methods to produce the desired outcomes using the Model for Improvement, Plan-Do-Study-Change (PDSA) methodology. In the three week baseline assessment, 2 out of 81 (2%) eligible patients recalled ever receiving a prior pneumococcal vaccine; 68 (84%) unvaccinated patients responded that they were not asked or were unaware of the PNV. After the QI interventions, the pneumococcal vaccination rate significantly increased to 42% (23/56, p&lt;0.001). Post-intervention, the leading reason for non-vaccination was cost (20%, 11/56). Only 5 (9%) unvaccinated patients were not asked or were unaware of the PNV, a significant change in that process outcome from baseline (p&lt;0.001). Quality improvement measures were effective in increasing pneumococcal vaccination rates, despite the limited familiarity with QI methods at this major teaching hospital. QI techniques may be useful in this and other efforts to improve quality in resource-limited settings, without great cost.", "author" : [ { "dropping-particle" : "", "family" : "Bock", "given" : "Allison", "non-dropping-particle" : "", "parse-names" : false, "suffix" : "" }, { "dropping-particle" : "", "family" : "Chintamaneni", "given" : "Kathan", "non-dropping-particle" : "", "parse-names" : false, "suffix" : "" }, { "dropping-particle" : "", "family" : "Rein", "given" : "Lisa", "non-dropping-particle" : "", "parse-names" : false, "suffix" : "" }, { "dropping-particle" : "", "family" : "Frazer", "given" : "Tifany", "non-dropping-particle" : "", "parse-names" : false, "suffix" : "" }, { "dropping-particle" : "", "family" : "Kayastha", "given" : "Gyan", "non-dropping-particle" : "", "parse-names" : false, "suffix" : "" }, { "dropping-particle" : "", "family" : "MacKinney", "given" : "Theodore", "non-dropping-particle" : "", "parse-names" : false, "suffix" : "" } ], "container-title" : "BMJ Quality Improvement Reports", "id" : "ITEM-1", "issue" : "1", "issued" : { "date-parts" : [ [ "2016" ] ] }, "page" : "u212047.w4835", "title" : "Improving pneumococcal vaccination rates of medical inpatients in urban Nepal using quality improvement measures", "type" : "article-journal", "volume" : "5" }, "uris" : [ "http://www.mendeley.com/documents/?uuid=66fe0de0-20c1-49b3-b174-73df2b5fb676" ] } ], "mendeley" : { "formattedCitation" : "[16]", "plainTextFormattedCitation" : "[16]", "previouslyFormattedCitation" : "[16]" }, "properties" : {  }, "schema" : "https://github.com/citation-style-language/schema/raw/master/csl-citation.json" }</w:instrText>
            </w:r>
            <w:r w:rsidRPr="001F040C">
              <w:rPr>
                <w:sz w:val="16"/>
                <w:szCs w:val="16"/>
              </w:rPr>
              <w:fldChar w:fldCharType="separate"/>
            </w:r>
            <w:r w:rsidRPr="0056067F">
              <w:rPr>
                <w:noProof/>
                <w:sz w:val="16"/>
                <w:szCs w:val="16"/>
              </w:rPr>
              <w:t>[16]</w:t>
            </w:r>
            <w:r w:rsidRPr="001F040C">
              <w:rPr>
                <w:sz w:val="16"/>
                <w:szCs w:val="16"/>
              </w:rPr>
              <w:fldChar w:fldCharType="end"/>
            </w:r>
            <w:r w:rsidRPr="001F040C">
              <w:rPr>
                <w:sz w:val="16"/>
                <w:szCs w:val="16"/>
              </w:rPr>
              <w:t xml:space="preserve"> Bock</w:t>
            </w:r>
          </w:p>
        </w:tc>
        <w:tc>
          <w:tcPr>
            <w:tcW w:w="689" w:type="dxa"/>
            <w:hideMark/>
          </w:tcPr>
          <w:p w14:paraId="6F58E422" w14:textId="263FAD9A"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3</w:t>
            </w:r>
          </w:p>
        </w:tc>
        <w:tc>
          <w:tcPr>
            <w:tcW w:w="554" w:type="dxa"/>
            <w:hideMark/>
          </w:tcPr>
          <w:p w14:paraId="4034EC1B"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826" w:type="dxa"/>
            <w:hideMark/>
          </w:tcPr>
          <w:p w14:paraId="4952961C"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Multiple isolated cycles</w:t>
            </w:r>
          </w:p>
        </w:tc>
        <w:tc>
          <w:tcPr>
            <w:tcW w:w="808" w:type="dxa"/>
            <w:hideMark/>
          </w:tcPr>
          <w:p w14:paraId="005582E6"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571" w:type="dxa"/>
            <w:hideMark/>
          </w:tcPr>
          <w:p w14:paraId="6B8B530C"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5AFDD49E"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Implementation</w:t>
            </w:r>
          </w:p>
        </w:tc>
        <w:tc>
          <w:tcPr>
            <w:tcW w:w="957" w:type="dxa"/>
            <w:hideMark/>
          </w:tcPr>
          <w:p w14:paraId="67092B43"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N/A</w:t>
            </w:r>
          </w:p>
        </w:tc>
        <w:tc>
          <w:tcPr>
            <w:tcW w:w="690" w:type="dxa"/>
            <w:hideMark/>
          </w:tcPr>
          <w:p w14:paraId="65CD84AD"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1098" w:type="dxa"/>
            <w:hideMark/>
          </w:tcPr>
          <w:p w14:paraId="1867CACD"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Regular: Three datapoints or more</w:t>
            </w:r>
          </w:p>
        </w:tc>
        <w:tc>
          <w:tcPr>
            <w:tcW w:w="690" w:type="dxa"/>
            <w:hideMark/>
          </w:tcPr>
          <w:p w14:paraId="60DBC7CD"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5" w:type="dxa"/>
            <w:hideMark/>
          </w:tcPr>
          <w:p w14:paraId="6A8CFF8D"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Control Chart</w:t>
            </w:r>
          </w:p>
        </w:tc>
        <w:tc>
          <w:tcPr>
            <w:tcW w:w="1098" w:type="dxa"/>
            <w:hideMark/>
          </w:tcPr>
          <w:p w14:paraId="3E34BCA2"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Quantitative</w:t>
            </w:r>
          </w:p>
        </w:tc>
        <w:tc>
          <w:tcPr>
            <w:tcW w:w="961" w:type="dxa"/>
            <w:hideMark/>
          </w:tcPr>
          <w:p w14:paraId="083568B9"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2" w:type="dxa"/>
            <w:gridSpan w:val="2"/>
            <w:hideMark/>
          </w:tcPr>
          <w:p w14:paraId="03FF3AD5" w14:textId="6DE5484D"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Yes</w:t>
            </w:r>
          </w:p>
        </w:tc>
        <w:tc>
          <w:tcPr>
            <w:tcW w:w="1393" w:type="dxa"/>
            <w:hideMark/>
          </w:tcPr>
          <w:p w14:paraId="7180A4A3"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Not stated</w:t>
            </w:r>
          </w:p>
        </w:tc>
      </w:tr>
      <w:tr w:rsidR="00E42F62" w:rsidRPr="001F040C" w14:paraId="74133CA3" w14:textId="444A57B7" w:rsidTr="002118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7A00ABB7" w14:textId="35F90287"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"10.1136/bmjquality.u210346.w4219", "ISSN" : "2050-1315", "PMID" : "27096095", "abstract" : "Cranial ultrasound scans are undertaken in this tertiary neonatal intensive care unit by the doctors within the department. A quality improvement project was undertaken by means of two PDSA cycles to determine adherence to neonatal cranial ultrasound scanning schedule, assess the quality of scan reporting, and formulate a comprehensive guideline outlining best practice. The baseline measurements assessed 93 scans of preterm infants and 9 of term infants. The results of this prompted intradepartmental education (PDSA cycle 1) then creation and implementation of a documentation template, a local guideline, and education via presentations, posters, and email (PDSA cycle 2). These encompassed 77 preterm and 5 term scans. In our baseline measurements, 52% of preterm infant scans and 44% of term infant scans were performed to schedule. Of premature baby scan reports, 75% had the time documented and 92% the name of the scanning doctor. After implementing changes PDSA cycle 2 data showed that 74% of preterm infant scans and all term infant scans were performed according to schedule, with 100% having the doctor's name and time of scan documented. We successfully introduced a guideline and documentation template, improving performance to schedule and documentation in most areas. It remains an ongoing challenge to adhere to basic standards of documentation; a template can assist in achieving this. Rotating trainees may offer insight into areas that could benefit from quality improvement. This enthusiasm can be successfully harnessed to implement changes to improve quality of patient care.", "author" : [ { "dropping-particle" : "", "family" : "Bray", "given" : "Lisa", "non-dropping-particle" : "", "parse-names" : false, "suffix" : "" } ], "container-title" : "BMJ Quality Improvement Reports", "id" : "ITEM-1", "issue" : "1", "issued" : { "date-parts" : [ [ "2016" ] ] }, "note" : "Henrik V. B. Laursen (2016-12-14 22:49:26)(Included): suppl: \nhttps://www.ncbi.nlm.nih.gov/pmc/articles/PMC4822080/bin/bmjqir-5-u210346-w4219-s1.pdf;", "page" : "u210346.w4219", "publisher-place" : "England", "title" : "Improving cranial ultrasound scanning strategy in neonates", "type" : "article-journal", "volume" : "5" }, "uris" : [ "http://www.mendeley.com/documents/?uuid=1205f89d-4940-4390-8142-ba859f927f72" ] } ], "mendeley" : { "formattedCitation" : "[17]", "plainTextFormattedCitation" : "[17]", "previouslyFormattedCitation" : "[17]" }, "properties" : {  }, "schema" : "https://github.com/citation-style-language/schema/raw/master/csl-citation.json" }</w:instrText>
            </w:r>
            <w:r w:rsidRPr="001F040C">
              <w:rPr>
                <w:sz w:val="16"/>
                <w:szCs w:val="16"/>
              </w:rPr>
              <w:fldChar w:fldCharType="separate"/>
            </w:r>
            <w:r w:rsidRPr="0056067F">
              <w:rPr>
                <w:noProof/>
                <w:sz w:val="16"/>
                <w:szCs w:val="16"/>
              </w:rPr>
              <w:t>[17]</w:t>
            </w:r>
            <w:r w:rsidRPr="001F040C">
              <w:rPr>
                <w:sz w:val="16"/>
                <w:szCs w:val="16"/>
              </w:rPr>
              <w:fldChar w:fldCharType="end"/>
            </w:r>
            <w:r w:rsidRPr="001F040C">
              <w:rPr>
                <w:sz w:val="16"/>
                <w:szCs w:val="16"/>
              </w:rPr>
              <w:t xml:space="preserve"> Bray</w:t>
            </w:r>
          </w:p>
        </w:tc>
        <w:tc>
          <w:tcPr>
            <w:tcW w:w="689" w:type="dxa"/>
            <w:hideMark/>
          </w:tcPr>
          <w:p w14:paraId="06C896C7" w14:textId="69EFE0C2"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3</w:t>
            </w:r>
          </w:p>
        </w:tc>
        <w:tc>
          <w:tcPr>
            <w:tcW w:w="554" w:type="dxa"/>
            <w:hideMark/>
          </w:tcPr>
          <w:p w14:paraId="584CF72E"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6" w:type="dxa"/>
            <w:hideMark/>
          </w:tcPr>
          <w:p w14:paraId="1BB383F8"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Iterative chain</w:t>
            </w:r>
          </w:p>
        </w:tc>
        <w:tc>
          <w:tcPr>
            <w:tcW w:w="808" w:type="dxa"/>
            <w:hideMark/>
          </w:tcPr>
          <w:p w14:paraId="50DA75EB"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571" w:type="dxa"/>
            <w:hideMark/>
          </w:tcPr>
          <w:p w14:paraId="67EA9462"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2D4B4F8A"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Testing and implementing</w:t>
            </w:r>
          </w:p>
        </w:tc>
        <w:tc>
          <w:tcPr>
            <w:tcW w:w="957" w:type="dxa"/>
            <w:hideMark/>
          </w:tcPr>
          <w:p w14:paraId="0A235C8A"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N/A</w:t>
            </w:r>
          </w:p>
        </w:tc>
        <w:tc>
          <w:tcPr>
            <w:tcW w:w="690" w:type="dxa"/>
            <w:hideMark/>
          </w:tcPr>
          <w:p w14:paraId="09A1CC7D"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1098" w:type="dxa"/>
            <w:hideMark/>
          </w:tcPr>
          <w:p w14:paraId="1F2E8D49"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Irregular: Before and after, or per cycle</w:t>
            </w:r>
          </w:p>
        </w:tc>
        <w:tc>
          <w:tcPr>
            <w:tcW w:w="690" w:type="dxa"/>
            <w:hideMark/>
          </w:tcPr>
          <w:p w14:paraId="57EEF3FF"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5" w:type="dxa"/>
            <w:hideMark/>
          </w:tcPr>
          <w:p w14:paraId="05136C9C"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N/A</w:t>
            </w:r>
          </w:p>
        </w:tc>
        <w:tc>
          <w:tcPr>
            <w:tcW w:w="1098" w:type="dxa"/>
            <w:hideMark/>
          </w:tcPr>
          <w:p w14:paraId="553A5085"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Quantitative</w:t>
            </w:r>
          </w:p>
        </w:tc>
        <w:tc>
          <w:tcPr>
            <w:tcW w:w="961" w:type="dxa"/>
            <w:hideMark/>
          </w:tcPr>
          <w:p w14:paraId="392FF2D5"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2" w:type="dxa"/>
            <w:gridSpan w:val="2"/>
            <w:hideMark/>
          </w:tcPr>
          <w:p w14:paraId="7F839A29" w14:textId="5AD5E610"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Yes</w:t>
            </w:r>
          </w:p>
        </w:tc>
        <w:tc>
          <w:tcPr>
            <w:tcW w:w="1393" w:type="dxa"/>
            <w:hideMark/>
          </w:tcPr>
          <w:p w14:paraId="76BE0D5A"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Not stated</w:t>
            </w:r>
          </w:p>
        </w:tc>
      </w:tr>
      <w:tr w:rsidR="00E42F62" w:rsidRPr="001F040C" w14:paraId="45E9E4D9" w14:textId="5DE5AAE1" w:rsidTr="002118F0">
        <w:trPr>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210A3EAA" w14:textId="04060EB2"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"10.1136/bmjquality.u207447.w4214", "ISSN" : "2050-1315", "PMID" : "26893893", "abstract" : "In the low stimulus environment project, we aimed to reduce the levels of intrusive background noise on an older adult mental health ward, combining a very straightforward measure on decibel levels with a downstream measure of reduced distress and agitation as expressed in incidents of violence. This project on reducing background noise levels on older adult wards stemmed from work the team had done on reducing levels of violence and aggression. We approached the problem using quality improvement methods. Reducing harm to patients and staff is a strategic aim of our Trust and in our efforts we were supported by the Trust's extensive programme of quality improvement, including training and support provided by the Institute for Healthcare Improvement and the trust's own Quality Improvement team. Prior to the project we were running a weekly multi-disciplinary quality improvement group on the ward. We established from this a sub-group to address the specific problem of noise levels and invited carers of people with dementia on our ward to the group. The project was led by nursing staff. We used a noise meter app readily downloadable from the internet to monitor background noise levels on the ward and establish a baseline measure. As a group we used a driver diagram to identify an overall aim and a clear understanding of the major factors that would drive improvements. We also used a staff and carer survey to identify further areas to work on. Change ideas that came from staff and carers included the use of the noise meter to track and report back on noise levels, the use of posters to remind staff about noise levels, the introduction of a visual indication of current noise levels (the Yacker Tracker), the addition of relaxing background music, and adaptations to furniture and environment. We tested many of these over the course of nine months in 2015, using the iterative learning gained from multiple PDSA cycles. The specific aim was a decrease from above 60dB to below 50dB in background noise on the wards. Following our interventions, we have managed to decrease noise levels on the ward to 53dB on average. The success of this project to date has relied on the involvement of ward staff and carers - those most affected by the problem - in generating workable local solutions. As many of the change ideas amounted to harm free interventions it was easier for us to make a case to test them out in the real-life setting. Nevertheless we were surprised at how effe\u2026", "author" : [ { "dropping-particle" : "", "family" : "Brown", "given" : "Juliette", "non-dropping-particle" : "", "parse-names" : false, "suffix" : "" }, { "dropping-particle" : "", "family" : "Fawzi", "given" : "Waleed", "non-dropping-particle" : "", "parse-names" : false, "suffix" : "" }, { "dropping-particle" : "", "family" : "Shah", "given" : "Amar", "non-dropping-particle" : "", "parse-names" : false, "suffix" : "" }, { "dropping-particle" : "", "family" : "Joyce", "given" : "Margaret", "non-dropping-particle" : "", "parse-names" : false, "suffix" : "" }, { "dropping-particle" : "", "family" : "Holt", "given" : "Genevieve", "non-dropping-particle" : "", "parse-names" : false, "suffix" : "" }, { "dropping-particle" : "", "family" : "McCarthy", "given" : "Cathy", "non-dropping-particle" : "", "parse-names" : false, "suffix" : "" }, { "dropping-particle" : "", "family" : "Stevenson", "given" : "Carmel", "non-dropping-particle" : "", "parse-names" : false, "suffix" : "" }, { "dropping-particle" : "", "family" : "Marange", "given" : "Rosca", "non-dropping-particle" : "", "parse-names" : false, "suffix" : "" }, { "dropping-particle" : "", "family" : "Shakes", "given" : "Joy", "non-dropping-particle" : "", "parse-names" : false, "suffix" : "" }, { "dropping-particle" : "", "family" : "Solomon-Ayeh", "given" : "Kwesi", "non-dropping-particle" : "", "parse-names" : false, "suffix" : "" } ], "container-title" : "BMJ Quality Improvement Reports", "id" : "ITEM-1", "issue" : "1", "issued" : { "date-parts" : [ [ "2016" ] ] }, "note" : "Henrik V. B. Laursen (2016-12-01 01:00:23)(Select): http://qir.bmj.com/content/5/1/u207447.w4214/suppl/DC1;", "page" : "u207447.w4214", "publisher-place" : "England", "title" : "Low stimulus environments: reducing noise levels in continuing care", "type" : "article-journal", "volume" : "5" }, "uris" : [ "http://www.mendeley.com/documents/?uuid=00b1f685-d31f-441c-9247-c33876635596" ] } ], "mendeley" : { "formattedCitation" : "[18]", "plainTextFormattedCitation" : "[18]", "previouslyFormattedCitation" : "[18]" }, "properties" : {  }, "schema" : "https://github.com/citation-style-language/schema/raw/master/csl-citation.json" }</w:instrText>
            </w:r>
            <w:r w:rsidRPr="001F040C">
              <w:rPr>
                <w:sz w:val="16"/>
                <w:szCs w:val="16"/>
              </w:rPr>
              <w:fldChar w:fldCharType="separate"/>
            </w:r>
            <w:r w:rsidRPr="0056067F">
              <w:rPr>
                <w:noProof/>
                <w:sz w:val="16"/>
                <w:szCs w:val="16"/>
              </w:rPr>
              <w:t>[18]</w:t>
            </w:r>
            <w:r w:rsidRPr="001F040C">
              <w:rPr>
                <w:sz w:val="16"/>
                <w:szCs w:val="16"/>
              </w:rPr>
              <w:fldChar w:fldCharType="end"/>
            </w:r>
            <w:r w:rsidRPr="001F040C">
              <w:rPr>
                <w:sz w:val="16"/>
                <w:szCs w:val="16"/>
              </w:rPr>
              <w:t xml:space="preserve"> Brown</w:t>
            </w:r>
          </w:p>
        </w:tc>
        <w:tc>
          <w:tcPr>
            <w:tcW w:w="689" w:type="dxa"/>
            <w:hideMark/>
          </w:tcPr>
          <w:p w14:paraId="2112C691" w14:textId="1C28E20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3</w:t>
            </w:r>
          </w:p>
        </w:tc>
        <w:tc>
          <w:tcPr>
            <w:tcW w:w="554" w:type="dxa"/>
            <w:hideMark/>
          </w:tcPr>
          <w:p w14:paraId="6858751A"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826" w:type="dxa"/>
            <w:hideMark/>
          </w:tcPr>
          <w:p w14:paraId="24914AC7"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Multiple isolated cycles</w:t>
            </w:r>
          </w:p>
        </w:tc>
        <w:tc>
          <w:tcPr>
            <w:tcW w:w="808" w:type="dxa"/>
            <w:hideMark/>
          </w:tcPr>
          <w:p w14:paraId="74EE7015"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571" w:type="dxa"/>
            <w:hideMark/>
          </w:tcPr>
          <w:p w14:paraId="7A4ED3E1"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3D23617D"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Testing</w:t>
            </w:r>
          </w:p>
        </w:tc>
        <w:tc>
          <w:tcPr>
            <w:tcW w:w="957" w:type="dxa"/>
            <w:hideMark/>
          </w:tcPr>
          <w:p w14:paraId="23DDF540"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N/A</w:t>
            </w:r>
          </w:p>
        </w:tc>
        <w:tc>
          <w:tcPr>
            <w:tcW w:w="690" w:type="dxa"/>
            <w:hideMark/>
          </w:tcPr>
          <w:p w14:paraId="15166F18"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1098" w:type="dxa"/>
            <w:hideMark/>
          </w:tcPr>
          <w:p w14:paraId="18B0B334"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Regular: Three datapoints or more</w:t>
            </w:r>
          </w:p>
        </w:tc>
        <w:tc>
          <w:tcPr>
            <w:tcW w:w="690" w:type="dxa"/>
            <w:hideMark/>
          </w:tcPr>
          <w:p w14:paraId="4DD7904E"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5" w:type="dxa"/>
            <w:hideMark/>
          </w:tcPr>
          <w:p w14:paraId="61C7E5F0"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Control Chart</w:t>
            </w:r>
          </w:p>
        </w:tc>
        <w:tc>
          <w:tcPr>
            <w:tcW w:w="1098" w:type="dxa"/>
            <w:hideMark/>
          </w:tcPr>
          <w:p w14:paraId="4CCD0DB7"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Quantitative</w:t>
            </w:r>
          </w:p>
        </w:tc>
        <w:tc>
          <w:tcPr>
            <w:tcW w:w="961" w:type="dxa"/>
            <w:hideMark/>
          </w:tcPr>
          <w:p w14:paraId="7194040A"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2" w:type="dxa"/>
            <w:gridSpan w:val="2"/>
            <w:hideMark/>
          </w:tcPr>
          <w:p w14:paraId="566BD650" w14:textId="0DC5C36F"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Yes</w:t>
            </w:r>
          </w:p>
        </w:tc>
        <w:tc>
          <w:tcPr>
            <w:tcW w:w="1393" w:type="dxa"/>
            <w:hideMark/>
          </w:tcPr>
          <w:p w14:paraId="02099D73" w14:textId="1929E679"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Internally developed knowledge - Logical visualising and description</w:t>
            </w:r>
          </w:p>
        </w:tc>
      </w:tr>
      <w:tr w:rsidR="00E42F62" w:rsidRPr="001F040C" w14:paraId="00B6DC57" w14:textId="067E775E" w:rsidTr="002118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38FD28C9" w14:textId="0360DAA6"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"10.1016/j.pedhc.2015.06.003", "ISBN" : "0891-5245", "ISSN" : "08915245", "PMID" : "26208806", "abstract" : "Introduction: Delays in appropriate treatment and unnecessary antibiotic use for urinary tract infections (UTIs) increase the risk for serious adverse events and the potential for antibiotic resistance. The purposes of this quality improvement project were to decrease emergency department laboratory result follow-up time and increase the number of patients who are notified to stop taking an empiric antibiotic. Method: Nine months of Plan-Do-Study-Act (PDSA) cycles were implemented in a pediatric emergency department and network of care sites. Three months of baseline data were compared with 3 months of postinvention data using t-tests and odds ratios. Results: Time to patient/family laboratory follow-up was reduced from 20.1 hours to 7.1 hours, demonstrating a 64.7% reduction in time to follow-up (p &lt;01). The percentage of patients who received follow-up notification of negative urine cultures and were told to discontinue antibiotic therapy increased from 8.8% to 74.4% (p &lt; 001). Discussion: Implementation of a culture callback system, staffed by advanced practice providers, led to a significant reduction in the amount of time to follow-up and increased the number of follow-up calls to discontinue antibiotics when urine cultures were negative.", "author" : [ { "dropping-particle" : "", "family" : "Burchett", "given" : "Patrick", "non-dropping-particle" : "", "parse-names" : false, "suffix" : "" }, { "dropping-particle" : "", "family" : "Harpin", "given" : "Scott", "non-dropping-particle" : "", "parse-names" : false, "suffix" : "" }, { "dropping-particle" : "", "family" : "Petersen-Smith", "given" : "Ann", "non-dropping-particle" : "", "parse-names" : false, "suffix" : "" }, { "dropping-particle" : "", "family" : "Emery", "given" : "Kathryn", "non-dropping-particle" : "", "parse-names" : false, "suffix" : "" } ], "container-title" : "Journal of Pediatric Health Care", "id" : "ITEM-1", "issue" : "6", "issued" : { "date-parts" : [ [ "2015" ] ] }, "page" : "518-525", "publisher" : "Elsevier Inc", "title" : "Improving a Urine Culture Callback Follow-up System in a Pediatric Emergency Department", "type" : "article-journal", "volume" : "29" }, "uris" : [ "http://www.mendeley.com/documents/?uuid=f30dabc2-62b3-4f22-8150-435e6c767b2a" ] } ], "mendeley" : { "formattedCitation" : "[19]", "plainTextFormattedCitation" : "[19]", "previouslyFormattedCitation" : "[19]" }, "properties" : {  }, "schema" : "https://github.com/citation-style-language/schema/raw/master/csl-citation.json" }</w:instrText>
            </w:r>
            <w:r w:rsidRPr="001F040C">
              <w:rPr>
                <w:sz w:val="16"/>
                <w:szCs w:val="16"/>
              </w:rPr>
              <w:fldChar w:fldCharType="separate"/>
            </w:r>
            <w:r w:rsidRPr="0056067F">
              <w:rPr>
                <w:noProof/>
                <w:sz w:val="16"/>
                <w:szCs w:val="16"/>
              </w:rPr>
              <w:t>[19]</w:t>
            </w:r>
            <w:r w:rsidRPr="001F040C">
              <w:rPr>
                <w:sz w:val="16"/>
                <w:szCs w:val="16"/>
              </w:rPr>
              <w:fldChar w:fldCharType="end"/>
            </w:r>
            <w:r w:rsidRPr="001F040C">
              <w:rPr>
                <w:sz w:val="16"/>
                <w:szCs w:val="16"/>
              </w:rPr>
              <w:t xml:space="preserve"> Burchett</w:t>
            </w:r>
          </w:p>
        </w:tc>
        <w:tc>
          <w:tcPr>
            <w:tcW w:w="689" w:type="dxa"/>
            <w:hideMark/>
          </w:tcPr>
          <w:p w14:paraId="63126A3A" w14:textId="61D90AFD"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3</w:t>
            </w:r>
          </w:p>
        </w:tc>
        <w:tc>
          <w:tcPr>
            <w:tcW w:w="554" w:type="dxa"/>
            <w:hideMark/>
          </w:tcPr>
          <w:p w14:paraId="548230A6"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6" w:type="dxa"/>
            <w:hideMark/>
          </w:tcPr>
          <w:p w14:paraId="21913AA1"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Multiple (isolated) iterative chains</w:t>
            </w:r>
          </w:p>
        </w:tc>
        <w:tc>
          <w:tcPr>
            <w:tcW w:w="808" w:type="dxa"/>
            <w:hideMark/>
          </w:tcPr>
          <w:p w14:paraId="5B8302A9"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571" w:type="dxa"/>
            <w:hideMark/>
          </w:tcPr>
          <w:p w14:paraId="4C09F4DF"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961" w:type="dxa"/>
            <w:gridSpan w:val="2"/>
            <w:hideMark/>
          </w:tcPr>
          <w:p w14:paraId="3503E2EF"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Testing and implementing</w:t>
            </w:r>
          </w:p>
        </w:tc>
        <w:tc>
          <w:tcPr>
            <w:tcW w:w="957" w:type="dxa"/>
            <w:hideMark/>
          </w:tcPr>
          <w:p w14:paraId="4DBAA4AD"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Increasing</w:t>
            </w:r>
          </w:p>
        </w:tc>
        <w:tc>
          <w:tcPr>
            <w:tcW w:w="690" w:type="dxa"/>
            <w:hideMark/>
          </w:tcPr>
          <w:p w14:paraId="0C4C57FE"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1098" w:type="dxa"/>
            <w:hideMark/>
          </w:tcPr>
          <w:p w14:paraId="67D86843"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Regular: Three datapoints or more</w:t>
            </w:r>
          </w:p>
        </w:tc>
        <w:tc>
          <w:tcPr>
            <w:tcW w:w="690" w:type="dxa"/>
            <w:hideMark/>
          </w:tcPr>
          <w:p w14:paraId="7424CCFF"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5" w:type="dxa"/>
            <w:hideMark/>
          </w:tcPr>
          <w:p w14:paraId="42D939BD"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Control Chart</w:t>
            </w:r>
          </w:p>
        </w:tc>
        <w:tc>
          <w:tcPr>
            <w:tcW w:w="1098" w:type="dxa"/>
            <w:hideMark/>
          </w:tcPr>
          <w:p w14:paraId="2288DF1B"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Quantitative</w:t>
            </w:r>
          </w:p>
        </w:tc>
        <w:tc>
          <w:tcPr>
            <w:tcW w:w="961" w:type="dxa"/>
            <w:hideMark/>
          </w:tcPr>
          <w:p w14:paraId="77E3C14F"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2" w:type="dxa"/>
            <w:gridSpan w:val="2"/>
            <w:hideMark/>
          </w:tcPr>
          <w:p w14:paraId="777BDDDF" w14:textId="1CD6EFD9"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Yes</w:t>
            </w:r>
          </w:p>
        </w:tc>
        <w:tc>
          <w:tcPr>
            <w:tcW w:w="1393" w:type="dxa"/>
            <w:hideMark/>
          </w:tcPr>
          <w:p w14:paraId="65FB9CAF"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Not stated</w:t>
            </w:r>
          </w:p>
        </w:tc>
      </w:tr>
      <w:tr w:rsidR="00E42F62" w:rsidRPr="001F040C" w14:paraId="58433B7E" w14:textId="2D35874D" w:rsidTr="002118F0">
        <w:trPr>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022FA544" w14:textId="25F773A1"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"10.1136/", "ISSN" : "2050-1315", "PMID" : "27752312", "abstract" : "Over the last decade, patient volumes in the emergency department (ED) have grown disproportionately compared to the increase in staffing and resources at the Toronto Western Hospital, an academic tertiary care centre in Toronto, Canada. The resultant congestion has spilled over to the ED waiting room, where medically undifferentiated and potentially unstable patients must wait until a bed becomes available. The aim of this quality improvement project was to decrease the 90th percentile of wait time between triage and bed assignment (time-to-bed) by half, from 120 to 60 minutes, for our highest acuity patients. We engaged key stakeholders to identify barriers and potential strategies to achieve optimal flow of patients into the ED. We first identified multiple flow-interrupting challenges, including operational bottlenecks and cultural issues. We then generated change ideas to address two main underlying causes of ED congestion: unnecessary patient utilization of ED beds and communication breakdown causing bed turnaround delays. We subsequently performed seven tests of change through sequential plan-do-study-act (PDSA) cycles. The most significant gains were made by improving communication strategies: small gains were achieved through the optimization of in-house digital information management systems, while significant improvements were achieved through the implementation of a low-tech direct contact mechanism (a two-way radio or walkie-talkie). In the post-intervention phase, time-to-bed for the 90th percentile of high-acuity patients decreased from 120 minutes to 66 minutes, with special cause variation showing a significant shift in the weekly measurements. PROBLEM The Toronto Western Hospital (TWH) is an academic tertiary care centre in Toronto, Canada. In 2015, the TWH ED had approxi-mately 64,000 patient visits. Despite increas-ing demand for services by the community -indicated by a 6% annual growth in patient volume over the last ten years -there has not been a proportional increase in resources for staffing or infrastructure. Greater patient volumes in emergency departments (EDs) create congestion and can compromise the delivery of high quality patient care. 1 2 When all ED beds are", "author" : [ { "dropping-particle" : "", "family" : "Chartier", "given" : "Lucas Brien", "non-dropping-particle" : "", "parse-names" : false, "suffix" : "" }, { "dropping-particle" : "", "family" : "Simoes", "given" : "Licinia", "non-dropping-particle" : "", "parse-names" : false, "suffix" : "" }, { "dropping-particle" : "", "family" : "Kuipers", "given" : "Meredith", "non-dropping-particle" : "", "parse-names" : false, "suffix" : "" }, { "dropping-particle" : "", "family" : "Mcgovern", "given" : "Barb", "non-dropping-particle" : "", "parse-names" : false, "suffix" : "" } ], "container-title" : "BMJ Quality Improvement", "id" : "ITEM-1", "issue" : "5", "issued" : { "date-parts" : [ [ "2016" ] ] }, "page" : "1-5", "publisher-place" : "England", "title" : "Improving Emergency Department flow through optimized bed utilization", "type" : "article-journal", "volume" : "5" }, "uris" : [ "http://www.mendeley.com/documents/?uuid=bcbd6167-101f-4631-b8d5-f539860ca676" ] } ], "mendeley" : { "formattedCitation" : "[20]", "plainTextFormattedCitation" : "[20]", "previouslyFormattedCitation" : "[20]" }, "properties" : {  }, "schema" : "https://github.com/citation-style-language/schema/raw/master/csl-citation.json" }</w:instrText>
            </w:r>
            <w:r w:rsidRPr="001F040C">
              <w:rPr>
                <w:sz w:val="16"/>
                <w:szCs w:val="16"/>
              </w:rPr>
              <w:fldChar w:fldCharType="separate"/>
            </w:r>
            <w:r w:rsidRPr="0056067F">
              <w:rPr>
                <w:noProof/>
                <w:sz w:val="16"/>
                <w:szCs w:val="16"/>
              </w:rPr>
              <w:t>[20]</w:t>
            </w:r>
            <w:r w:rsidRPr="001F040C">
              <w:rPr>
                <w:sz w:val="16"/>
                <w:szCs w:val="16"/>
              </w:rPr>
              <w:fldChar w:fldCharType="end"/>
            </w:r>
            <w:r w:rsidRPr="001F040C">
              <w:rPr>
                <w:sz w:val="16"/>
                <w:szCs w:val="16"/>
              </w:rPr>
              <w:t xml:space="preserve"> Chartier</w:t>
            </w:r>
          </w:p>
        </w:tc>
        <w:tc>
          <w:tcPr>
            <w:tcW w:w="689" w:type="dxa"/>
            <w:hideMark/>
          </w:tcPr>
          <w:p w14:paraId="78E3C2E5" w14:textId="0C9939F1"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3</w:t>
            </w:r>
          </w:p>
        </w:tc>
        <w:tc>
          <w:tcPr>
            <w:tcW w:w="554" w:type="dxa"/>
            <w:hideMark/>
          </w:tcPr>
          <w:p w14:paraId="54B8C270"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6" w:type="dxa"/>
            <w:hideMark/>
          </w:tcPr>
          <w:p w14:paraId="4F081BED"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Multiple (isolated) iterative chains</w:t>
            </w:r>
          </w:p>
        </w:tc>
        <w:tc>
          <w:tcPr>
            <w:tcW w:w="808" w:type="dxa"/>
            <w:hideMark/>
          </w:tcPr>
          <w:p w14:paraId="052439C1"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571" w:type="dxa"/>
            <w:hideMark/>
          </w:tcPr>
          <w:p w14:paraId="59C84EBE"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7481C09D"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Testing</w:t>
            </w:r>
          </w:p>
        </w:tc>
        <w:tc>
          <w:tcPr>
            <w:tcW w:w="957" w:type="dxa"/>
            <w:hideMark/>
          </w:tcPr>
          <w:p w14:paraId="64616ACE"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N/A</w:t>
            </w:r>
          </w:p>
        </w:tc>
        <w:tc>
          <w:tcPr>
            <w:tcW w:w="690" w:type="dxa"/>
            <w:hideMark/>
          </w:tcPr>
          <w:p w14:paraId="084B6011"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1098" w:type="dxa"/>
            <w:hideMark/>
          </w:tcPr>
          <w:p w14:paraId="4EB12FFC"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Regular: Three datapoints or more</w:t>
            </w:r>
          </w:p>
        </w:tc>
        <w:tc>
          <w:tcPr>
            <w:tcW w:w="690" w:type="dxa"/>
            <w:hideMark/>
          </w:tcPr>
          <w:p w14:paraId="7E8ABF25"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5" w:type="dxa"/>
            <w:hideMark/>
          </w:tcPr>
          <w:p w14:paraId="2BD3DE29"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Control Chart</w:t>
            </w:r>
          </w:p>
        </w:tc>
        <w:tc>
          <w:tcPr>
            <w:tcW w:w="1098" w:type="dxa"/>
            <w:hideMark/>
          </w:tcPr>
          <w:p w14:paraId="79FE9E23"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Quantitative</w:t>
            </w:r>
          </w:p>
        </w:tc>
        <w:tc>
          <w:tcPr>
            <w:tcW w:w="961" w:type="dxa"/>
            <w:hideMark/>
          </w:tcPr>
          <w:p w14:paraId="38059D5A"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962" w:type="dxa"/>
            <w:gridSpan w:val="2"/>
            <w:hideMark/>
          </w:tcPr>
          <w:p w14:paraId="4A724A41" w14:textId="554FA444"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Yes</w:t>
            </w:r>
          </w:p>
        </w:tc>
        <w:tc>
          <w:tcPr>
            <w:tcW w:w="1393" w:type="dxa"/>
            <w:hideMark/>
          </w:tcPr>
          <w:p w14:paraId="1D97812C" w14:textId="19FB7035"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Internally developed knowledge - Logical visualising and description</w:t>
            </w:r>
          </w:p>
        </w:tc>
      </w:tr>
      <w:tr w:rsidR="00E42F62" w:rsidRPr="001F040C" w14:paraId="46C265CA" w14:textId="49EE26F7" w:rsidTr="002118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264E27B1" w14:textId="148F90A3"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"10.1136/bmjqs-2014-003556", "ISBN" : "2044-5415", "ISSN" : "20445415", "PMID" : "25633277", "abstract" : "Background Influenza vaccination is the most effective method for preventing influenza virus infection. Adult hospitalised patients form a particularly high-risk group for severe influenza given their advanced age and comorbidities. We sought to improve the influenza vaccination rates of hospitalised patients at the White River Junction Veterans Affairs Medical Center. Methods The improvement effort started in 2007 when our baseline vaccination rate was about 60%. An interprofessional team analysed the influenza vaccination process for hospitalised patients. During the course of six influenza seasons, eight Plan-Do-Study-Act cycles were used including a hospital-wide flu campaign, embedded orders in the electronic medical record (EMR) to facilitate ordering vaccinations by providers, daily reminders from ward clerks and standing orders for influenza vaccination on discharge. The measure was the monthly percentage of patients discharged from the hospital with an up-to-date influenza vaccination. Results The percentage of veterans discharged with an up-to-date influenza vaccination increased to over 80% in February 2009 and has remained high. Conclusions Although we are confident that our local efforts helped to improve the vaccination rate, external factors such as the 2009 H1N1 pandemic and universal vaccination may have primed our system to respond more readily to the implemented changes. Understanding all of the relevant factors that lead to vaccination uptake can be applied to future hospital influenza vaccination campaigns. In addition, our work demonstrates that an interprofessional approach is still required to apply the functionality of the EMR effectively.", "author" : [ { "dropping-particle" : "", "family" : "Cohen", "given" : "Emily Suzanne", "non-dropping-particle" : "", "parse-names" : false, "suffix" : "" }, { "dropping-particle" : "", "family" : "Ogrinc", "given" : "Greg", "non-dropping-particle" : "", "parse-names" : false, "suffix" : "" }, { "dropping-particle" : "", "family" : "Taylor", "given" : "Tom", "non-dropping-particle" : "", "parse-names" : false, "suffix" : "" }, { "dropping-particle" : "", "family" : "Brown", "given" : "Christine", "non-dropping-particle" : "", "parse-names" : false, "suffix" : "" }, { "dropping-particle" : "", "family" : "Geiling", "given" : "James", "non-dropping-particle" : "", "parse-names" : false, "suffix" : "" } ], "container-title" : "BMJ Quality and Safety", "id" : "ITEM-1", "issue" : "3", "issued" : { "date-parts" : [ [ "2015" ] ] }, "note" : "Henrik V. B. Laursen (2016-12-01 00:49:21)(Select): guld;", "page" : "221-227", "publisher-place" : "England", "title" : "Influenza vaccination rates for hospitalised patients: A multiyear quality improvement effort", "type" : "article-journal", "volume" : "24" }, "uris" : [ "http://www.mendeley.com/documents/?uuid=e0a4e47a-5719-45a0-948d-b1954f576ffa" ] } ], "mendeley" : { "formattedCitation" : "[21]", "plainTextFormattedCitation" : "[21]", "previouslyFormattedCitation" : "[21]" }, "properties" : {  }, "schema" : "https://github.com/citation-style-language/schema/raw/master/csl-citation.json" }</w:instrText>
            </w:r>
            <w:r w:rsidRPr="001F040C">
              <w:rPr>
                <w:sz w:val="16"/>
                <w:szCs w:val="16"/>
              </w:rPr>
              <w:fldChar w:fldCharType="separate"/>
            </w:r>
            <w:r w:rsidRPr="0056067F">
              <w:rPr>
                <w:noProof/>
                <w:sz w:val="16"/>
                <w:szCs w:val="16"/>
              </w:rPr>
              <w:t>[21]</w:t>
            </w:r>
            <w:r w:rsidRPr="001F040C">
              <w:rPr>
                <w:sz w:val="16"/>
                <w:szCs w:val="16"/>
              </w:rPr>
              <w:fldChar w:fldCharType="end"/>
            </w:r>
            <w:r w:rsidRPr="001F040C">
              <w:rPr>
                <w:sz w:val="16"/>
                <w:szCs w:val="16"/>
              </w:rPr>
              <w:t xml:space="preserve"> Cohen</w:t>
            </w:r>
          </w:p>
        </w:tc>
        <w:tc>
          <w:tcPr>
            <w:tcW w:w="689" w:type="dxa"/>
            <w:hideMark/>
          </w:tcPr>
          <w:p w14:paraId="1F557FC1" w14:textId="44F34F0F"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3</w:t>
            </w:r>
          </w:p>
        </w:tc>
        <w:tc>
          <w:tcPr>
            <w:tcW w:w="554" w:type="dxa"/>
            <w:hideMark/>
          </w:tcPr>
          <w:p w14:paraId="2E12C969"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6" w:type="dxa"/>
            <w:hideMark/>
          </w:tcPr>
          <w:p w14:paraId="21C580C3"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 xml:space="preserve">Mix of iterative chains </w:t>
            </w:r>
            <w:r w:rsidRPr="001F040C">
              <w:rPr>
                <w:sz w:val="16"/>
                <w:szCs w:val="16"/>
              </w:rPr>
              <w:lastRenderedPageBreak/>
              <w:t>and isolated cycles</w:t>
            </w:r>
          </w:p>
        </w:tc>
        <w:tc>
          <w:tcPr>
            <w:tcW w:w="808" w:type="dxa"/>
            <w:hideMark/>
          </w:tcPr>
          <w:p w14:paraId="30E9747C"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lastRenderedPageBreak/>
              <w:t>Yes</w:t>
            </w:r>
          </w:p>
        </w:tc>
        <w:tc>
          <w:tcPr>
            <w:tcW w:w="571" w:type="dxa"/>
            <w:hideMark/>
          </w:tcPr>
          <w:p w14:paraId="07268301"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6B7C7B8D"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Testing</w:t>
            </w:r>
          </w:p>
        </w:tc>
        <w:tc>
          <w:tcPr>
            <w:tcW w:w="957" w:type="dxa"/>
            <w:hideMark/>
          </w:tcPr>
          <w:p w14:paraId="16960720"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N/A</w:t>
            </w:r>
          </w:p>
        </w:tc>
        <w:tc>
          <w:tcPr>
            <w:tcW w:w="690" w:type="dxa"/>
            <w:hideMark/>
          </w:tcPr>
          <w:p w14:paraId="149C14AB"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1098" w:type="dxa"/>
            <w:hideMark/>
          </w:tcPr>
          <w:p w14:paraId="42D1A6E2"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 xml:space="preserve">Regular: Three datapoints or </w:t>
            </w:r>
            <w:r w:rsidRPr="001F040C">
              <w:rPr>
                <w:sz w:val="16"/>
                <w:szCs w:val="16"/>
              </w:rPr>
              <w:lastRenderedPageBreak/>
              <w:t>more</w:t>
            </w:r>
          </w:p>
        </w:tc>
        <w:tc>
          <w:tcPr>
            <w:tcW w:w="690" w:type="dxa"/>
            <w:hideMark/>
          </w:tcPr>
          <w:p w14:paraId="7FFBFFDE"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lastRenderedPageBreak/>
              <w:t>Yes</w:t>
            </w:r>
          </w:p>
        </w:tc>
        <w:tc>
          <w:tcPr>
            <w:tcW w:w="825" w:type="dxa"/>
            <w:hideMark/>
          </w:tcPr>
          <w:p w14:paraId="0193EAB4"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Control Chart</w:t>
            </w:r>
          </w:p>
        </w:tc>
        <w:tc>
          <w:tcPr>
            <w:tcW w:w="1098" w:type="dxa"/>
            <w:hideMark/>
          </w:tcPr>
          <w:p w14:paraId="229FA308"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Quantitative</w:t>
            </w:r>
          </w:p>
        </w:tc>
        <w:tc>
          <w:tcPr>
            <w:tcW w:w="961" w:type="dxa"/>
            <w:hideMark/>
          </w:tcPr>
          <w:p w14:paraId="613E20C1"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2" w:type="dxa"/>
            <w:gridSpan w:val="2"/>
            <w:hideMark/>
          </w:tcPr>
          <w:p w14:paraId="277B6FF5" w14:textId="03F970C1"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Yes</w:t>
            </w:r>
          </w:p>
        </w:tc>
        <w:tc>
          <w:tcPr>
            <w:tcW w:w="1393" w:type="dxa"/>
            <w:hideMark/>
          </w:tcPr>
          <w:p w14:paraId="4582D216" w14:textId="36171E7F"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 xml:space="preserve">Internally developed knowledge - </w:t>
            </w:r>
            <w:r w:rsidRPr="001F040C">
              <w:rPr>
                <w:sz w:val="16"/>
                <w:szCs w:val="16"/>
              </w:rPr>
              <w:lastRenderedPageBreak/>
              <w:t>Logical visualising and description</w:t>
            </w:r>
          </w:p>
        </w:tc>
      </w:tr>
      <w:tr w:rsidR="00E42F62" w:rsidRPr="001F040C" w14:paraId="3C7E347F" w14:textId="1ADE544D" w:rsidTr="002118F0">
        <w:trPr>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2AC7E162" w14:textId="281A1221" w:rsidR="00E42F62" w:rsidRPr="001F040C" w:rsidRDefault="00E42F62" w:rsidP="0087558F">
            <w:pPr>
              <w:rPr>
                <w:sz w:val="16"/>
                <w:szCs w:val="16"/>
              </w:rPr>
            </w:pPr>
            <w:r w:rsidRPr="001F040C">
              <w:rPr>
                <w:sz w:val="16"/>
                <w:szCs w:val="16"/>
              </w:rPr>
              <w:lastRenderedPageBreak/>
              <w:fldChar w:fldCharType="begin" w:fldLock="1"/>
            </w:r>
            <w:r>
              <w:rPr>
                <w:sz w:val="16"/>
                <w:szCs w:val="16"/>
              </w:rPr>
              <w:instrText>ADDIN CSL_CITATION { "citationItems" : [ { "id" : "ITEM-1", "itemData" : { "DOI" : "10.1136/bmjquality.u210384.w4457", "ISSN" : "2050-1315", "abstract" : "It is well established that patient feedback is key to service development and improvement in the modern NHS. Certain patient groups can be particularly difficult to get feedback from, including those with dementia. The Later Life Mental Health Liaison Team at the Bristol Royal Infirmary were consistently receiving very low levels of patient feedback, such that it was insufficient to properly contribute to future service development and improvement. This QIP aimed to increase this level of feedback to a target of 15% from an existing average of 3%. The intervention centred around getting feedback from patients face to face and was developed over a number of PDSA cycles. The feedback questions were based upon the NHS Friends and Family Test. Over four PDSA cycles levels of feedback increased to 21% which more than achieved the goal set out at the start. This was however achieved at a time cost and involved an increased success rate of existing systems as well as new ones put into place by the QIP.", "author" : [ { "dropping-particle" : "", "family" : "Cooper", "given" : "Daniel", "non-dropping-particle" : "", "parse-names" : false, "suffix" : "" } ], "container-title" : "BMJ Quality Improvement Reports", "id" : "ITEM-1", "issue" : "1", "issued" : { "date-parts" : [ [ "2016" ] ] }, "page" : "u210384.w4457", "publisher-place" : "England", "title" : "Improving the rate of Patient Feedback for a Later Life Mental Health Liaison Team", "type" : "article-journal", "volume" : "5" }, "uris" : [ "http://www.mendeley.com/documents/?uuid=1476c849-9171-4d15-bf8a-031cf673b7df" ] } ], "mendeley" : { "formattedCitation" : "[22]", "plainTextFormattedCitation" : "[22]", "previouslyFormattedCitation" : "[22]" }, "properties" : {  }, "schema" : "https://github.com/citation-style-language/schema/raw/master/csl-citation.json" }</w:instrText>
            </w:r>
            <w:r w:rsidRPr="001F040C">
              <w:rPr>
                <w:sz w:val="16"/>
                <w:szCs w:val="16"/>
              </w:rPr>
              <w:fldChar w:fldCharType="separate"/>
            </w:r>
            <w:r w:rsidRPr="0056067F">
              <w:rPr>
                <w:noProof/>
                <w:sz w:val="16"/>
                <w:szCs w:val="16"/>
              </w:rPr>
              <w:t>[22]</w:t>
            </w:r>
            <w:r w:rsidRPr="001F040C">
              <w:rPr>
                <w:sz w:val="16"/>
                <w:szCs w:val="16"/>
              </w:rPr>
              <w:fldChar w:fldCharType="end"/>
            </w:r>
            <w:r w:rsidRPr="001F040C">
              <w:rPr>
                <w:sz w:val="16"/>
                <w:szCs w:val="16"/>
              </w:rPr>
              <w:t xml:space="preserve"> Cooper</w:t>
            </w:r>
          </w:p>
        </w:tc>
        <w:tc>
          <w:tcPr>
            <w:tcW w:w="689" w:type="dxa"/>
            <w:hideMark/>
          </w:tcPr>
          <w:p w14:paraId="511E2EC3" w14:textId="64AB6D46"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3</w:t>
            </w:r>
          </w:p>
        </w:tc>
        <w:tc>
          <w:tcPr>
            <w:tcW w:w="554" w:type="dxa"/>
            <w:hideMark/>
          </w:tcPr>
          <w:p w14:paraId="0DF4D798"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6" w:type="dxa"/>
            <w:hideMark/>
          </w:tcPr>
          <w:p w14:paraId="04FF9327"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Iterative chain</w:t>
            </w:r>
          </w:p>
        </w:tc>
        <w:tc>
          <w:tcPr>
            <w:tcW w:w="808" w:type="dxa"/>
            <w:hideMark/>
          </w:tcPr>
          <w:p w14:paraId="5BBCE3BB"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571" w:type="dxa"/>
            <w:hideMark/>
          </w:tcPr>
          <w:p w14:paraId="78796F59"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65B1912E"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Testing</w:t>
            </w:r>
          </w:p>
        </w:tc>
        <w:tc>
          <w:tcPr>
            <w:tcW w:w="957" w:type="dxa"/>
            <w:hideMark/>
          </w:tcPr>
          <w:p w14:paraId="03551FB8"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N/A</w:t>
            </w:r>
          </w:p>
        </w:tc>
        <w:tc>
          <w:tcPr>
            <w:tcW w:w="690" w:type="dxa"/>
            <w:hideMark/>
          </w:tcPr>
          <w:p w14:paraId="73AE9528"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1098" w:type="dxa"/>
            <w:hideMark/>
          </w:tcPr>
          <w:p w14:paraId="0B9D0C09"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Irregular: Before and after, or per cycle</w:t>
            </w:r>
          </w:p>
        </w:tc>
        <w:tc>
          <w:tcPr>
            <w:tcW w:w="690" w:type="dxa"/>
            <w:hideMark/>
          </w:tcPr>
          <w:p w14:paraId="22E35A10"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5" w:type="dxa"/>
            <w:hideMark/>
          </w:tcPr>
          <w:p w14:paraId="0702D269"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N/A</w:t>
            </w:r>
          </w:p>
        </w:tc>
        <w:tc>
          <w:tcPr>
            <w:tcW w:w="1098" w:type="dxa"/>
            <w:hideMark/>
          </w:tcPr>
          <w:p w14:paraId="124EBB46"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Quantitative</w:t>
            </w:r>
          </w:p>
        </w:tc>
        <w:tc>
          <w:tcPr>
            <w:tcW w:w="961" w:type="dxa"/>
            <w:hideMark/>
          </w:tcPr>
          <w:p w14:paraId="71731796"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2" w:type="dxa"/>
            <w:gridSpan w:val="2"/>
            <w:hideMark/>
          </w:tcPr>
          <w:p w14:paraId="675CC74E" w14:textId="7EA7170A"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Yes</w:t>
            </w:r>
          </w:p>
        </w:tc>
        <w:tc>
          <w:tcPr>
            <w:tcW w:w="1393" w:type="dxa"/>
            <w:hideMark/>
          </w:tcPr>
          <w:p w14:paraId="6D56F83D" w14:textId="79DF01E0"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 xml:space="preserve">External existing knowledge </w:t>
            </w:r>
            <w:r>
              <w:rPr>
                <w:sz w:val="16"/>
                <w:szCs w:val="16"/>
              </w:rPr>
              <w:t>–</w:t>
            </w:r>
            <w:r w:rsidRPr="001F040C">
              <w:rPr>
                <w:sz w:val="16"/>
                <w:szCs w:val="16"/>
              </w:rPr>
              <w:t xml:space="preserve"> Literature</w:t>
            </w:r>
            <w:r>
              <w:rPr>
                <w:sz w:val="16"/>
                <w:szCs w:val="16"/>
              </w:rPr>
              <w:t xml:space="preserve"> </w:t>
            </w:r>
            <w:r w:rsidRPr="001F040C">
              <w:rPr>
                <w:sz w:val="16"/>
                <w:szCs w:val="16"/>
              </w:rPr>
              <w:t>(Guidelines)</w:t>
            </w:r>
          </w:p>
        </w:tc>
      </w:tr>
      <w:tr w:rsidR="00E42F62" w:rsidRPr="001F040C" w14:paraId="09416B90" w14:textId="75576165" w:rsidTr="002118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50B0BB2F" w14:textId="15B36ECD"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"10.1136/bmjquality.u204237.w3567", "ISSN" : "2050-1315", "PMID" : "26734424", "abstract" : "The unintentional omission of medication is one of the most commonly-reported administration errors on hospital wards throughout the world. The omission of a dose of medication can severely harm the patient affected, but to date there is limited evidence about cost-effective means for reducing the incidence of such errors. The current report describes a quality improvement project, conducted on the mental healthcare of older people (MHCOP) wards in East London NHS Foundation Trust, which led to a greater than 90% reduction in the rate of unintentionally omitted doses of medication. The project involved the publication of a fortnightly league table which ranked each of the wards by how many doses they had missed, with the ward missing the fewest doses receiving a prize. PDSA cycles were used to refine the concept, with the final incarnation of the fortnightly league table also incorporating the publication of a poster for each ward which showed how many weeks it had been since the ward missed a dose, and the ward's overall trend in missed doses. The project has resulted in the average missed dose rate on the MCHOP wards decreasing from 1.07% to 0.07%. In real terms, this represents a reduction from an estimated 2878 to 188 missed doses per year on the six MHCOP wards. By greatly reducing the risk of patients experiencing adverse drug events as a result of missed doses, this project has given rise to a potential cost-saving of around pound34,000 per year across the wards studied. The use of league tables represents a simple, cost-effective means of tackling the problem of doses of medication being unintentionally omitted on hospital wards.", "author" : [ { "dropping-particle" : "", "family" : "Cottney", "given" : "Alan", "non-dropping-particle" : "", "parse-names" : false, "suffix" : "" } ], "container-title" : "BMJ Quality Improvement Reports", "id" : "ITEM-1", "issue" : "1", "issued" : { "date-parts" : [ [ "2015" ] ] }, "note" : "Henrik V. B. Laursen (2016-11-23 23:59:12)(Select): suppl:http://qir.bmj.com/content/4/1/u204237.w3567/suppl/DC1;", "page" : "u204237.w3567", "publisher-place" : "England", "title" : "Using league tables to reduce missed dose medication errors on mental healthcare of older people wards", "type" : "article-journal", "volume" : "4" }, "uris" : [ "http://www.mendeley.com/documents/?uuid=4181eed1-16e3-4674-a503-97194a056f66" ] } ], "mendeley" : { "formattedCitation" : "[23]", "plainTextFormattedCitation" : "[23]", "previouslyFormattedCitation" : "[23]" }, "properties" : {  }, "schema" : "https://github.com/citation-style-language/schema/raw/master/csl-citation.json" }</w:instrText>
            </w:r>
            <w:r w:rsidRPr="001F040C">
              <w:rPr>
                <w:sz w:val="16"/>
                <w:szCs w:val="16"/>
              </w:rPr>
              <w:fldChar w:fldCharType="separate"/>
            </w:r>
            <w:r w:rsidRPr="0056067F">
              <w:rPr>
                <w:noProof/>
                <w:sz w:val="16"/>
                <w:szCs w:val="16"/>
              </w:rPr>
              <w:t>[23]</w:t>
            </w:r>
            <w:r w:rsidRPr="001F040C">
              <w:rPr>
                <w:sz w:val="16"/>
                <w:szCs w:val="16"/>
              </w:rPr>
              <w:fldChar w:fldCharType="end"/>
            </w:r>
            <w:r w:rsidRPr="001F040C">
              <w:rPr>
                <w:sz w:val="16"/>
                <w:szCs w:val="16"/>
              </w:rPr>
              <w:t xml:space="preserve"> Cottney</w:t>
            </w:r>
          </w:p>
        </w:tc>
        <w:tc>
          <w:tcPr>
            <w:tcW w:w="689" w:type="dxa"/>
            <w:hideMark/>
          </w:tcPr>
          <w:p w14:paraId="2709EC1E" w14:textId="5A4D6D8B"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3</w:t>
            </w:r>
          </w:p>
        </w:tc>
        <w:tc>
          <w:tcPr>
            <w:tcW w:w="554" w:type="dxa"/>
            <w:hideMark/>
          </w:tcPr>
          <w:p w14:paraId="42B3FFE8"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6" w:type="dxa"/>
            <w:hideMark/>
          </w:tcPr>
          <w:p w14:paraId="0E6D4C4A"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Iterative chain</w:t>
            </w:r>
          </w:p>
        </w:tc>
        <w:tc>
          <w:tcPr>
            <w:tcW w:w="808" w:type="dxa"/>
            <w:hideMark/>
          </w:tcPr>
          <w:p w14:paraId="121460AB"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571" w:type="dxa"/>
            <w:hideMark/>
          </w:tcPr>
          <w:p w14:paraId="32CD32EC"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0527676C"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Implementation</w:t>
            </w:r>
          </w:p>
        </w:tc>
        <w:tc>
          <w:tcPr>
            <w:tcW w:w="957" w:type="dxa"/>
            <w:hideMark/>
          </w:tcPr>
          <w:p w14:paraId="39EAF3C4"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N/A</w:t>
            </w:r>
          </w:p>
        </w:tc>
        <w:tc>
          <w:tcPr>
            <w:tcW w:w="690" w:type="dxa"/>
            <w:hideMark/>
          </w:tcPr>
          <w:p w14:paraId="05966B4A"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1098" w:type="dxa"/>
            <w:hideMark/>
          </w:tcPr>
          <w:p w14:paraId="769EBB7D"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Regular: Three datapoints or more</w:t>
            </w:r>
          </w:p>
        </w:tc>
        <w:tc>
          <w:tcPr>
            <w:tcW w:w="690" w:type="dxa"/>
            <w:hideMark/>
          </w:tcPr>
          <w:p w14:paraId="428BA0CC"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5" w:type="dxa"/>
            <w:hideMark/>
          </w:tcPr>
          <w:p w14:paraId="01A48BA7"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Control Chart</w:t>
            </w:r>
          </w:p>
        </w:tc>
        <w:tc>
          <w:tcPr>
            <w:tcW w:w="1098" w:type="dxa"/>
            <w:hideMark/>
          </w:tcPr>
          <w:p w14:paraId="208E3B78"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Quantitative</w:t>
            </w:r>
          </w:p>
        </w:tc>
        <w:tc>
          <w:tcPr>
            <w:tcW w:w="961" w:type="dxa"/>
            <w:hideMark/>
          </w:tcPr>
          <w:p w14:paraId="0B8C2E1C"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962" w:type="dxa"/>
            <w:gridSpan w:val="2"/>
            <w:hideMark/>
          </w:tcPr>
          <w:p w14:paraId="1BD19A0A" w14:textId="0C37D856"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Yes</w:t>
            </w:r>
          </w:p>
        </w:tc>
        <w:tc>
          <w:tcPr>
            <w:tcW w:w="1393" w:type="dxa"/>
            <w:hideMark/>
          </w:tcPr>
          <w:p w14:paraId="530F33C2"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External existing knowledge - Previous QI</w:t>
            </w:r>
          </w:p>
        </w:tc>
      </w:tr>
      <w:tr w:rsidR="00E42F62" w:rsidRPr="001F040C" w14:paraId="328DC9CA" w14:textId="219DC91E" w:rsidTr="002118F0">
        <w:trPr>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2DC83972" w14:textId="33B267F3"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"10.1136/bmjquality.u205852.w3226", "ISSN" : "2050-1315", "abstract" : "Hospital-Acquired venous thromboembolism (VTE) is a common cause of morbidity and mortality in older adults. In psychiatric patients these risks are increased due to multiple factors including poor mobility, restraint, catatonia, sedation, and conventional antipsychotic use. Diagnosis and treatment of psychiatric patients presenting with signs and symptoms of a VTE can be delayed due to a patient's communication difficulties, non-compliance, or attribution of symptoms to a psychosomatic cause. However, despite the increased risk, approved VTE prophylaxis protocols are infrequently used on Psychiatric wards. On one Older Adult Psychiatric Ward, two patients presented with VTE (a fatal pulmonary embolism and a symptomatic deep vein thrombosis) over a 6 month period demonstrating the necessity for prophylactic assessment. A baseline audit over 3 months showed that 63-83% of patients on the ward had received no assessment of VTE risk, on any given week, although this improved slightly following the critical incidents. A VTE prophylaxis protocol, based on NICE guidance for VTE risk assessment in Medical and Surgical patients, was developed with consideration given to additional Psychiatric risk factors. This took the form of a pro-forma with a tick-box design that included mobility assessment, VTE risk factors, bleeding risk factors, and guidance on prescribing decisions. This was implemented on an Older Adult Psychiatric ward and prophylaxis was provided to those meeting the threshold. Weekly audit of all pro-formas (including assessments completed within 48 hours of admission and prophylaxis prescription) was conducted after the pro-forma introduction from 1st February 2013 to 24th May 2013. Frequency of assessments increased after protocol implementation with between 36% and 85% of all patients being assessed for VTE risk post intervention. Fluctuations in numbers assessed may have related to ward pressures, staff changes, and practicalities of pro-forma use. After completion of the PDSA cycles the initiative was handed over to a specialist registrar for implementation across the other trust Older Adult Psychiatry wards, and further audit was planned to be conducted via junior doctors and established Quality Assurance systems. Discussion of integration of a condensed pro-forma into the trust electronic notes system is ongoing.", "author" : [ { "dropping-particle" : "", "family" : "Croxford", "given" : "Anna", "non-dropping-particle" : "", "parse-names" : false, "suffix" : "" }, { "dropping-particle" : "", "family" : "Clare", "given" : "Adam", "non-dropping-particle" : "", "parse-names" : false, "suffix" : "" }, { "dropping-particle" : "", "family" : "McCurdy", "given" : "Kathleen", "non-dropping-particle" : "", "parse-names" : false, "suffix" : "" } ], "container-title" : "BMJ Quality Improvement Reports", "id" : "ITEM-1", "issue" : "1", "issued" : { "date-parts" : [ [ "2015" ] ] }, "note" : "Henrik V. B. Laursen (2016-11-24 05:38:26)(Select): http://qir.bmj.com/content/4/1/u205852.w3226/suppl/DC1;", "page" : "u205852.w3226", "publisher-place" : "England", "title" : "Introduction of a Venous Thromboembolism Prophylaxis Protocol for Older Adult Psychiatric Patients.", "type" : "article-journal", "volume" : "4" }, "uris" : [ "http://www.mendeley.com/documents/?uuid=626a2e77-5ae1-4774-9d57-3e6058797f17" ] } ], "mendeley" : { "formattedCitation" : "[24]", "plainTextFormattedCitation" : "[24]", "previouslyFormattedCitation" : "[24]" }, "properties" : {  }, "schema" : "https://github.com/citation-style-language/schema/raw/master/csl-citation.json" }</w:instrText>
            </w:r>
            <w:r w:rsidRPr="001F040C">
              <w:rPr>
                <w:sz w:val="16"/>
                <w:szCs w:val="16"/>
              </w:rPr>
              <w:fldChar w:fldCharType="separate"/>
            </w:r>
            <w:r w:rsidRPr="0056067F">
              <w:rPr>
                <w:noProof/>
                <w:sz w:val="16"/>
                <w:szCs w:val="16"/>
              </w:rPr>
              <w:t>[24]</w:t>
            </w:r>
            <w:r w:rsidRPr="001F040C">
              <w:rPr>
                <w:sz w:val="16"/>
                <w:szCs w:val="16"/>
              </w:rPr>
              <w:fldChar w:fldCharType="end"/>
            </w:r>
            <w:r w:rsidRPr="001F040C">
              <w:rPr>
                <w:sz w:val="16"/>
                <w:szCs w:val="16"/>
              </w:rPr>
              <w:t xml:space="preserve"> Croxford</w:t>
            </w:r>
          </w:p>
        </w:tc>
        <w:tc>
          <w:tcPr>
            <w:tcW w:w="689" w:type="dxa"/>
            <w:hideMark/>
          </w:tcPr>
          <w:p w14:paraId="7550A4D9" w14:textId="596B9A7B"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4</w:t>
            </w:r>
          </w:p>
        </w:tc>
        <w:tc>
          <w:tcPr>
            <w:tcW w:w="554" w:type="dxa"/>
            <w:hideMark/>
          </w:tcPr>
          <w:p w14:paraId="31D12240"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6" w:type="dxa"/>
            <w:hideMark/>
          </w:tcPr>
          <w:p w14:paraId="3F1BD02F"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Iterative chain</w:t>
            </w:r>
          </w:p>
        </w:tc>
        <w:tc>
          <w:tcPr>
            <w:tcW w:w="808" w:type="dxa"/>
            <w:hideMark/>
          </w:tcPr>
          <w:p w14:paraId="290E7A3C"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571" w:type="dxa"/>
            <w:hideMark/>
          </w:tcPr>
          <w:p w14:paraId="2B741D80"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209C78D7"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Implementation</w:t>
            </w:r>
          </w:p>
        </w:tc>
        <w:tc>
          <w:tcPr>
            <w:tcW w:w="957" w:type="dxa"/>
            <w:hideMark/>
          </w:tcPr>
          <w:p w14:paraId="4F07A2EF"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N/A</w:t>
            </w:r>
          </w:p>
        </w:tc>
        <w:tc>
          <w:tcPr>
            <w:tcW w:w="690" w:type="dxa"/>
            <w:hideMark/>
          </w:tcPr>
          <w:p w14:paraId="730297FE"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1098" w:type="dxa"/>
            <w:hideMark/>
          </w:tcPr>
          <w:p w14:paraId="458DDE10"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Regular: Three datapoints or more</w:t>
            </w:r>
          </w:p>
        </w:tc>
        <w:tc>
          <w:tcPr>
            <w:tcW w:w="690" w:type="dxa"/>
            <w:hideMark/>
          </w:tcPr>
          <w:p w14:paraId="6E8CF024"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5" w:type="dxa"/>
            <w:hideMark/>
          </w:tcPr>
          <w:p w14:paraId="2FE5773C"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Run Chart</w:t>
            </w:r>
          </w:p>
        </w:tc>
        <w:tc>
          <w:tcPr>
            <w:tcW w:w="1098" w:type="dxa"/>
            <w:hideMark/>
          </w:tcPr>
          <w:p w14:paraId="111C10D7"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Quantitative</w:t>
            </w:r>
          </w:p>
        </w:tc>
        <w:tc>
          <w:tcPr>
            <w:tcW w:w="961" w:type="dxa"/>
            <w:hideMark/>
          </w:tcPr>
          <w:p w14:paraId="7CBECBFD"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962" w:type="dxa"/>
            <w:gridSpan w:val="2"/>
            <w:hideMark/>
          </w:tcPr>
          <w:p w14:paraId="3EA4987B" w14:textId="3D1C1715"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Yes</w:t>
            </w:r>
          </w:p>
        </w:tc>
        <w:tc>
          <w:tcPr>
            <w:tcW w:w="1393" w:type="dxa"/>
            <w:hideMark/>
          </w:tcPr>
          <w:p w14:paraId="4B7A6BFE" w14:textId="5ECD6235"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Internally developed knowledge - Logical visualising and description</w:t>
            </w:r>
          </w:p>
        </w:tc>
      </w:tr>
      <w:tr w:rsidR="00E42F62" w:rsidRPr="001F040C" w14:paraId="73CA99E1" w14:textId="594A35CF" w:rsidTr="002118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04830E0C" w14:textId="4137E506"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"10.1007/s11096-014-0047-2", "ISBN" : "2210-7711", "ISSN" : "22107703", "PMID" : "25468221", "abstract" : "Background In France, medication errors are the third leading cause of serious adverse events. Many studies have shown the positive impact of medication reconciliation (MR) on reducing medication errors at admission but this practice is still rarely implemented in French hospitals. Objective Implement and sustain a MR process at admission in two surgery units. The quality improvement approach used to meet this objective is described. Setting The gastrointestinal surgery and orthopedic surgery departments of a 407 inpatient bed French teaching hospital Methods A step by step collaborative approach based on plan-do-study-act (PDSA) cycles. Three cycles were successively performed with regular feedback during multidisciplinary meetings. Main outcome measure: mean unintended medication discrepancies (UMDs) per patients at admission. Results The three PDSA cycles and the monitoring phase allowed to implement, optimize and sustain a MR process in the two surgery units. Cycle 1, by showing a rate of 0.65 UMDs at admission (95 % CI 0.39-0.91), underlined the need for a MR process; cycle 2 showed how the close-collaboration between pharmacy and surgery units could help to reduce mean UMDs per patients at admission (0.18; 95 % CI 0.09-0.27) (p &lt; 0.001); finally, cycle 3 allowed the optimization of the MR process by reducing the delays of the best possible medication history availability. Conclusions This work highlights how a collaborative quality-improvement approach based on PDSA cycles can meet the challenge of implementing MR to improve medication management at admission", "author" : [ { "dropping-particle" : "", "family" : "Curatolo", "given" : "Niccolo", "non-dropping-particle" : "", "parse-names" : false, "suffix" : "" }, { "dropping-particle" : "", "family" : "Gutermann", "given" : "Loriane", "non-dropping-particle" : "", "parse-names" : false, "suffix" : "" }, { "dropping-particle" : "", "family" : "Devaquet", "given" : "Niaz", "non-dropping-particle" : "", "parse-names" : false, "suffix" : "" }, { "dropping-particle" : "", "family" : "Roy", "given" : "Sandrine", "non-dropping-particle" : "", "parse-names" : false, "suffix" : "" }, { "dropping-particle" : "", "family" : "Rieutord", "given" : "Andr\u00e9", "non-dropping-particle" : "", "parse-names" : false, "suffix" : "" } ], "container-title" : "International Journal of Clinical Pharmacy", "id" : "ITEM-1", "issue" : "1", "issued" : { "date-parts" : [ [ "2014" ] ] }, "page" : "113-120", "publisher-place" : "Netherlands", "title" : "Reducing medication errors at admission: 3 cycles to implement, improve and sustain medication reconciliation", "type" : "article-journal", "volume" : "37" }, "uris" : [ "http://www.mendeley.com/documents/?uuid=5514d651-cc10-4816-80d2-1b0ed7f32154" ] } ], "mendeley" : { "formattedCitation" : "[25]", "plainTextFormattedCitation" : "[25]", "previouslyFormattedCitation" : "[25]" }, "properties" : {  }, "schema" : "https://github.com/citation-style-language/schema/raw/master/csl-citation.json" }</w:instrText>
            </w:r>
            <w:r w:rsidRPr="001F040C">
              <w:rPr>
                <w:sz w:val="16"/>
                <w:szCs w:val="16"/>
              </w:rPr>
              <w:fldChar w:fldCharType="separate"/>
            </w:r>
            <w:r w:rsidRPr="0056067F">
              <w:rPr>
                <w:noProof/>
                <w:sz w:val="16"/>
                <w:szCs w:val="16"/>
              </w:rPr>
              <w:t>[25]</w:t>
            </w:r>
            <w:r w:rsidRPr="001F040C">
              <w:rPr>
                <w:sz w:val="16"/>
                <w:szCs w:val="16"/>
              </w:rPr>
              <w:fldChar w:fldCharType="end"/>
            </w:r>
            <w:r w:rsidRPr="001F040C">
              <w:rPr>
                <w:sz w:val="16"/>
                <w:szCs w:val="16"/>
              </w:rPr>
              <w:t xml:space="preserve"> Curatolo</w:t>
            </w:r>
          </w:p>
        </w:tc>
        <w:tc>
          <w:tcPr>
            <w:tcW w:w="689" w:type="dxa"/>
            <w:hideMark/>
          </w:tcPr>
          <w:p w14:paraId="32BE96A9" w14:textId="5A0E78AC"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3</w:t>
            </w:r>
          </w:p>
        </w:tc>
        <w:tc>
          <w:tcPr>
            <w:tcW w:w="554" w:type="dxa"/>
            <w:hideMark/>
          </w:tcPr>
          <w:p w14:paraId="54A6A2FE"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6" w:type="dxa"/>
            <w:hideMark/>
          </w:tcPr>
          <w:p w14:paraId="17C7BCB3"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Iterative chain</w:t>
            </w:r>
          </w:p>
        </w:tc>
        <w:tc>
          <w:tcPr>
            <w:tcW w:w="808" w:type="dxa"/>
            <w:hideMark/>
          </w:tcPr>
          <w:p w14:paraId="649ECB02"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571" w:type="dxa"/>
            <w:hideMark/>
          </w:tcPr>
          <w:p w14:paraId="3ADEFD78"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17AEB418"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Implementation</w:t>
            </w:r>
          </w:p>
        </w:tc>
        <w:tc>
          <w:tcPr>
            <w:tcW w:w="957" w:type="dxa"/>
            <w:hideMark/>
          </w:tcPr>
          <w:p w14:paraId="3E7BF01D"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N/A</w:t>
            </w:r>
          </w:p>
        </w:tc>
        <w:tc>
          <w:tcPr>
            <w:tcW w:w="690" w:type="dxa"/>
            <w:hideMark/>
          </w:tcPr>
          <w:p w14:paraId="33B76FCA"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1098" w:type="dxa"/>
            <w:hideMark/>
          </w:tcPr>
          <w:p w14:paraId="1F485766"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Irregular: Before and after, or per cycle</w:t>
            </w:r>
          </w:p>
        </w:tc>
        <w:tc>
          <w:tcPr>
            <w:tcW w:w="690" w:type="dxa"/>
            <w:hideMark/>
          </w:tcPr>
          <w:p w14:paraId="354DB4AE"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825" w:type="dxa"/>
            <w:hideMark/>
          </w:tcPr>
          <w:p w14:paraId="01193BC6"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N/A</w:t>
            </w:r>
          </w:p>
        </w:tc>
        <w:tc>
          <w:tcPr>
            <w:tcW w:w="1098" w:type="dxa"/>
            <w:hideMark/>
          </w:tcPr>
          <w:p w14:paraId="4016D620"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Quantitative</w:t>
            </w:r>
          </w:p>
        </w:tc>
        <w:tc>
          <w:tcPr>
            <w:tcW w:w="961" w:type="dxa"/>
            <w:hideMark/>
          </w:tcPr>
          <w:p w14:paraId="47215022"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962" w:type="dxa"/>
            <w:gridSpan w:val="2"/>
            <w:hideMark/>
          </w:tcPr>
          <w:p w14:paraId="640C0ABB" w14:textId="2E421CC1"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Yes</w:t>
            </w:r>
          </w:p>
        </w:tc>
        <w:tc>
          <w:tcPr>
            <w:tcW w:w="1393" w:type="dxa"/>
            <w:hideMark/>
          </w:tcPr>
          <w:p w14:paraId="3D0494BB"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Not stated</w:t>
            </w:r>
          </w:p>
        </w:tc>
      </w:tr>
      <w:tr w:rsidR="00E42F62" w:rsidRPr="001F040C" w14:paraId="1F2B536F" w14:textId="7000A8D3" w:rsidTr="002118F0">
        <w:trPr>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3E7E45AC" w14:textId="13B8AD9A"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"10.1136/bmjquality.u206996.w3776", "ISSN" : "2050-1315", "PMID" : "26734409", "abstract" : "Critical incident reporting involves highlighting events and near-misses which have a potential impact on patient care and patient safety. Reporting of critical incidents is a recognised tool in improving patient safety. Within the community paediatric setting in the Belfast Health &amp; Social Care Trust (BHSCT) there is a paucity of incident report forms. The purpose of this quality improvement project was to establish the barriers to reporting critical incidents and to implement plan-do-study-act (PDSA) cycles to create a climate for change. The methodology for this project was to firstly perform a baseline audit to review all submitted critical incident reports for the Community Paediatric team in the BHSCT for a six month period. A questionnaire was distributed to staff within the multidisciplinary team to establish examples of barriers to reporting. Interventions performed included introducing an agreed definition of a critical incident, distributing/presenting questionnaire findings to senior members of the various management teams and providing feedback to healthcare workers after presentation of a critical incident presentation. A review of incident reports was performed over the subsequent six month period to assess how the interventions impacted on incident reporting. Over 12 questionnaires 28 barriers to reporting critical incidents were reported which fell into five separate categories. Staff members were twice as likely to report negativity after reporting a critical incident. Overall critical incident reporting within the BHSCT Community Paediatric team improved from 11 incident reports (1.8 per month) to 22 incident reports (3.7 per month) after completion of the quality improvement project. This represents an increase of 100%.", "author" : [ { "dropping-particle" : "", "family" : "Donnelly", "given" : "Peter", "non-dropping-particle" : "", "parse-names" : false, "suffix" : "" } ], "container-title" : "BMJ Quality Improvement Reports", "id" : "ITEM-1", "issue" : "1", "issued" : { "date-parts" : [ [ "2015" ] ] }, "page" : "u206996.w3776", "title" : "Improving reporting of critical incidents through education and involvement.", "type" : "article-journal", "volume" : "4" }, "uris" : [ "http://www.mendeley.com/documents/?uuid=f88a2751-96cc-42cb-8ef3-1704077e6bdd" ] } ], "mendeley" : { "formattedCitation" : "[26]", "plainTextFormattedCitation" : "[26]", "previouslyFormattedCitation" : "[26]" }, "properties" : {  }, "schema" : "https://github.com/citation-style-language/schema/raw/master/csl-citation.json" }</w:instrText>
            </w:r>
            <w:r w:rsidRPr="001F040C">
              <w:rPr>
                <w:sz w:val="16"/>
                <w:szCs w:val="16"/>
              </w:rPr>
              <w:fldChar w:fldCharType="separate"/>
            </w:r>
            <w:r w:rsidRPr="0056067F">
              <w:rPr>
                <w:noProof/>
                <w:sz w:val="16"/>
                <w:szCs w:val="16"/>
              </w:rPr>
              <w:t>[26]</w:t>
            </w:r>
            <w:r w:rsidRPr="001F040C">
              <w:rPr>
                <w:sz w:val="16"/>
                <w:szCs w:val="16"/>
              </w:rPr>
              <w:fldChar w:fldCharType="end"/>
            </w:r>
            <w:r w:rsidRPr="001F040C">
              <w:rPr>
                <w:sz w:val="16"/>
                <w:szCs w:val="16"/>
              </w:rPr>
              <w:t xml:space="preserve"> Donnelly</w:t>
            </w:r>
          </w:p>
        </w:tc>
        <w:tc>
          <w:tcPr>
            <w:tcW w:w="689" w:type="dxa"/>
            <w:hideMark/>
          </w:tcPr>
          <w:p w14:paraId="0D43B7EC" w14:textId="1FAD5BA3"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3</w:t>
            </w:r>
          </w:p>
        </w:tc>
        <w:tc>
          <w:tcPr>
            <w:tcW w:w="554" w:type="dxa"/>
            <w:hideMark/>
          </w:tcPr>
          <w:p w14:paraId="79F38371"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6" w:type="dxa"/>
            <w:hideMark/>
          </w:tcPr>
          <w:p w14:paraId="0E06746C"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Mix of iterative chains and isolated cycles</w:t>
            </w:r>
          </w:p>
        </w:tc>
        <w:tc>
          <w:tcPr>
            <w:tcW w:w="808" w:type="dxa"/>
            <w:hideMark/>
          </w:tcPr>
          <w:p w14:paraId="28AD1C24"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571" w:type="dxa"/>
            <w:hideMark/>
          </w:tcPr>
          <w:p w14:paraId="141D60CE"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46177C80"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Testing and implementing</w:t>
            </w:r>
          </w:p>
        </w:tc>
        <w:tc>
          <w:tcPr>
            <w:tcW w:w="957" w:type="dxa"/>
            <w:hideMark/>
          </w:tcPr>
          <w:p w14:paraId="1CBA9ED2"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N/A</w:t>
            </w:r>
          </w:p>
        </w:tc>
        <w:tc>
          <w:tcPr>
            <w:tcW w:w="690" w:type="dxa"/>
            <w:hideMark/>
          </w:tcPr>
          <w:p w14:paraId="3E6B92BD"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1098" w:type="dxa"/>
            <w:hideMark/>
          </w:tcPr>
          <w:p w14:paraId="3FE93C32"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Regular: Three datapoints or more</w:t>
            </w:r>
          </w:p>
        </w:tc>
        <w:tc>
          <w:tcPr>
            <w:tcW w:w="690" w:type="dxa"/>
            <w:hideMark/>
          </w:tcPr>
          <w:p w14:paraId="71B71457"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5" w:type="dxa"/>
            <w:hideMark/>
          </w:tcPr>
          <w:p w14:paraId="17944711"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Run Chart</w:t>
            </w:r>
          </w:p>
        </w:tc>
        <w:tc>
          <w:tcPr>
            <w:tcW w:w="1098" w:type="dxa"/>
            <w:hideMark/>
          </w:tcPr>
          <w:p w14:paraId="2E771B96" w14:textId="2A5CC7D1"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 xml:space="preserve">Quantitative supplemented </w:t>
            </w:r>
          </w:p>
        </w:tc>
        <w:tc>
          <w:tcPr>
            <w:tcW w:w="961" w:type="dxa"/>
            <w:hideMark/>
          </w:tcPr>
          <w:p w14:paraId="2A6A1D1D"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2" w:type="dxa"/>
            <w:gridSpan w:val="2"/>
            <w:hideMark/>
          </w:tcPr>
          <w:p w14:paraId="43EBB049"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Not stated</w:t>
            </w:r>
          </w:p>
        </w:tc>
        <w:tc>
          <w:tcPr>
            <w:tcW w:w="1393" w:type="dxa"/>
            <w:hideMark/>
          </w:tcPr>
          <w:p w14:paraId="43D6B6B0" w14:textId="5ADA94AD"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Internally developed knowledge - Logical visualising and description</w:t>
            </w:r>
          </w:p>
        </w:tc>
      </w:tr>
      <w:tr w:rsidR="00E42F62" w:rsidRPr="001F040C" w14:paraId="5133A8EE" w14:textId="5ABCBB69" w:rsidTr="002118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5C2C8677" w14:textId="6EFEC993"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"10.1136/bmjquality.u202625.w3247", "ISSN" : "2050-1315", "PMID" : "26734372", "abstract" : "A large proportion of patients who die in hospital will be under the care of geriatric medicine. Mortality reviews have traditionally used trigger tools to try and identify preventable deaths, but the majority of hospital deaths are not preventable and lapses in care are often very complex. Over a period of 14 months we performed four PDSA cycles to change the focus of mortality meetings within care of the elderly and stroke medicine at Cumberland Infirmary to look beyond preventable deaths. The aim was to maximise learning from mortality meetings to improve patient care. We used collaborative working at a trust and departmental level, moving from trigger tool preparation to a narrative approach, and we set up strategies to focus and disseminate our learning. The mean number of cases discussed per meeting and the mean number of lessons identified per case discussed increased, as did the learning levels (trust, department, individual). Maintaining multidisciplinary input and consolidating lessons learnt was difficult because of clinical commitments and natural staff turnover.", "author" : [ { "dropping-particle" : "", "family" : "Dunbar", "given" : "Joanne", "non-dropping-particle" : "", "parse-names" : false, "suffix" : "" }, { "dropping-particle" : "", "family" : "George", "given" : "James", "non-dropping-particle" : "", "parse-names" : false, "suffix" : "" } ], "container-title" : "BMJ Quality Improvement Reports", "id" : "ITEM-1", "issue" : "1", "issued" : { "date-parts" : [ [ "2015" ] ] }, "note" : "Henrik V. B. Laursen (2016-11-24 05:26:33)(Select): http://qir.bmj.com/content/4/1/u202625.w3247/suppl/DC1;", "page" : "u202625.w3247", "publisher-place" : "England", "title" : "Mortality meetings in geriatric medicine: strategies for improvement", "type" : "article-journal", "volume" : "4" }, "uris" : [ "http://www.mendeley.com/documents/?uuid=49636a7b-db2f-4f4e-934f-1e3b90271622" ] } ], "mendeley" : { "formattedCitation" : "[27]", "plainTextFormattedCitation" : "[27]", "previouslyFormattedCitation" : "[27]" }, "properties" : {  }, "schema" : "https://github.com/citation-style-language/schema/raw/master/csl-citation.json" }</w:instrText>
            </w:r>
            <w:r w:rsidRPr="001F040C">
              <w:rPr>
                <w:sz w:val="16"/>
                <w:szCs w:val="16"/>
              </w:rPr>
              <w:fldChar w:fldCharType="separate"/>
            </w:r>
            <w:r w:rsidRPr="0056067F">
              <w:rPr>
                <w:noProof/>
                <w:sz w:val="16"/>
                <w:szCs w:val="16"/>
              </w:rPr>
              <w:t>[27]</w:t>
            </w:r>
            <w:r w:rsidRPr="001F040C">
              <w:rPr>
                <w:sz w:val="16"/>
                <w:szCs w:val="16"/>
              </w:rPr>
              <w:fldChar w:fldCharType="end"/>
            </w:r>
            <w:r w:rsidRPr="001F040C">
              <w:rPr>
                <w:sz w:val="16"/>
                <w:szCs w:val="16"/>
              </w:rPr>
              <w:t xml:space="preserve"> Dunbar</w:t>
            </w:r>
          </w:p>
        </w:tc>
        <w:tc>
          <w:tcPr>
            <w:tcW w:w="689" w:type="dxa"/>
            <w:hideMark/>
          </w:tcPr>
          <w:p w14:paraId="332F6576" w14:textId="3D83CA62"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3</w:t>
            </w:r>
          </w:p>
        </w:tc>
        <w:tc>
          <w:tcPr>
            <w:tcW w:w="554" w:type="dxa"/>
            <w:hideMark/>
          </w:tcPr>
          <w:p w14:paraId="3C543EBA"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826" w:type="dxa"/>
            <w:hideMark/>
          </w:tcPr>
          <w:p w14:paraId="06F73DC4"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Multiple isolated cycles</w:t>
            </w:r>
          </w:p>
        </w:tc>
        <w:tc>
          <w:tcPr>
            <w:tcW w:w="808" w:type="dxa"/>
            <w:hideMark/>
          </w:tcPr>
          <w:p w14:paraId="560933A9"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571" w:type="dxa"/>
            <w:hideMark/>
          </w:tcPr>
          <w:p w14:paraId="3A0FC1B9"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09879C32"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Testing</w:t>
            </w:r>
          </w:p>
        </w:tc>
        <w:tc>
          <w:tcPr>
            <w:tcW w:w="957" w:type="dxa"/>
            <w:hideMark/>
          </w:tcPr>
          <w:p w14:paraId="6C670545"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N/A</w:t>
            </w:r>
          </w:p>
        </w:tc>
        <w:tc>
          <w:tcPr>
            <w:tcW w:w="690" w:type="dxa"/>
            <w:hideMark/>
          </w:tcPr>
          <w:p w14:paraId="4742061A"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1098" w:type="dxa"/>
            <w:hideMark/>
          </w:tcPr>
          <w:p w14:paraId="4AF0EBC9"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Regular: Three datapoints or more</w:t>
            </w:r>
          </w:p>
        </w:tc>
        <w:tc>
          <w:tcPr>
            <w:tcW w:w="690" w:type="dxa"/>
            <w:hideMark/>
          </w:tcPr>
          <w:p w14:paraId="17925DC8"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5" w:type="dxa"/>
            <w:hideMark/>
          </w:tcPr>
          <w:p w14:paraId="65247A60"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Run Chart</w:t>
            </w:r>
          </w:p>
        </w:tc>
        <w:tc>
          <w:tcPr>
            <w:tcW w:w="1098" w:type="dxa"/>
            <w:hideMark/>
          </w:tcPr>
          <w:p w14:paraId="4377A1F9"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Quantitative</w:t>
            </w:r>
          </w:p>
        </w:tc>
        <w:tc>
          <w:tcPr>
            <w:tcW w:w="961" w:type="dxa"/>
            <w:hideMark/>
          </w:tcPr>
          <w:p w14:paraId="5F8D92EA"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2" w:type="dxa"/>
            <w:gridSpan w:val="2"/>
            <w:hideMark/>
          </w:tcPr>
          <w:p w14:paraId="554A0375" w14:textId="2E391175"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Yes</w:t>
            </w:r>
          </w:p>
        </w:tc>
        <w:tc>
          <w:tcPr>
            <w:tcW w:w="1393" w:type="dxa"/>
            <w:hideMark/>
          </w:tcPr>
          <w:p w14:paraId="1373814A" w14:textId="3DB068EA"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Internally developed knowledge - Logical visualising and description</w:t>
            </w:r>
          </w:p>
        </w:tc>
      </w:tr>
      <w:tr w:rsidR="00E42F62" w:rsidRPr="001F040C" w14:paraId="0A56780C" w14:textId="4D7497C2" w:rsidTr="002118F0">
        <w:trPr>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45E4A361" w14:textId="602765B1"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"10.1136/bmjquality.u208961.w3675", "ISBN" : "2050-1315", "ISSN" : "2050-1315", "PMID" : "27559472", "abstract" : "Standardization of Inflammatory Bowel Disease (IBD) care through participation in the ImproveCareNow (ICN) Network has improved outcomes for pediatric patients with IBD, but under the current care model, our improvements have plateaued. Current ICN model care guidelines recommend health supervision visits every six months. We identified a gap in our practice's ability to ensure either a routine six month follow-up or a rapid follow-up after a disease flare, and a significant number of patients with active disease status during a six month period lacked timely reassessment after interventions or medication changes. Telemedicine provides an alternative method of care delivery to address these gaps, but has had limited use in patients with IBD. A multi-step approach to offer alternative follow-up care options via telemedicine was developed with potential impact on remission rates and quality of life. Short term goals of the pilot were to improve telemedicine access for patients with IBD were to 1) increase the percent of patients with active disease with a follow-up completed within two months of a visit from 40% to 70%, 2) increase the percent of patients with a visit scheduled within two months of their last sick visit from 20% to 70% (interim measure), 3) increase the number of eVisits from zero visits per month to two visits per month during pilot phase, 4) increase electronic communication with patients from zero messages per month to 200 messages per month, 5) no change in complications or adverse events (defined as an unplanned visit or ED (emergency department) encounter within 30 days of an eVisit. The expected outcomes of the e-visit model were to: maintain baseline care standards and health screening capabilities, improve access to care, and provide equivalent care delivery (no increase in the number of unplanned clinical encounters). Using the IHI model for improvement (Plan-Do-Study-Act) we have seen a progressive increase in the rate of patient signups for the electronic medical record patient portal, with a baseline median of 20% per clinic compared with a current median of approximately 70% after six months. We successfully implemented e-messaging in its pilot form among five providers and have seen steady uptake in patient use from 5 patient initiated messages during the first month to 76 messages/month over the past three months. E-visits have replaced a total of 32 visits to date. Medications, nutrition, and disease activity were appropr\u2026", "author" : [ { "dropping-particle" : "", "family" : "Dykes", "given" : "Dana", "non-dropping-particle" : "", "parse-names" : false, "suffix" : "" }, { "dropping-particle" : "", "family" : "Williams", "given" : "Elizabeth", "non-dropping-particle" : "", "parse-names" : false, "suffix" : "" }, { "dropping-particle" : "", "family" : "Margolis", "given" : "Peter", "non-dropping-particle" : "", "parse-names" : false, "suffix" : "" }, { "dropping-particle" : "", "family" : "Ruschman", "given" : "Jennifer", "non-dropping-particle" : "", "parse-names" : false, "suffix" : "" }, { "dropping-particle" : "", "family" : "Bick", "given" : "Julianne", "non-dropping-particle" : "", "parse-names" : false, "suffix" : "" }, { "dropping-particle" : "", "family" : "Saeed", "given" : "Shehzad", "non-dropping-particle" : "", "parse-names" : false, "suffix" : "" }, { "dropping-particle" : "", "family" : "Opipari", "given" : "Lisa", "non-dropping-particle" : "", "parse-names" : false, "suffix" : "" } ], "container-title" : "BMJ Quality Improvement Reports", "id" : "ITEM-1", "issue" : "1", "issued" : { "date-parts" : [ [ "2016" ] ] }, "page" : "u208961.w3675", "title" : "Improving pediatric Inflammatory Bowel Disease (IBD) follow-up", "type" : "article-journal", "volume" : "5" }, "uris" : [ "http://www.mendeley.com/documents/?uuid=158dbf65-9ad3-4954-8065-2bb33a27948f" ] } ], "mendeley" : { "formattedCitation" : "[28]", "plainTextFormattedCitation" : "[28]", "previouslyFormattedCitation" : "[28]" }, "properties" : {  }, "schema" : "https://github.com/citation-style-language/schema/raw/master/csl-citation.json" }</w:instrText>
            </w:r>
            <w:r w:rsidRPr="001F040C">
              <w:rPr>
                <w:sz w:val="16"/>
                <w:szCs w:val="16"/>
              </w:rPr>
              <w:fldChar w:fldCharType="separate"/>
            </w:r>
            <w:r w:rsidRPr="0056067F">
              <w:rPr>
                <w:noProof/>
                <w:sz w:val="16"/>
                <w:szCs w:val="16"/>
              </w:rPr>
              <w:t>[28]</w:t>
            </w:r>
            <w:r w:rsidRPr="001F040C">
              <w:rPr>
                <w:sz w:val="16"/>
                <w:szCs w:val="16"/>
              </w:rPr>
              <w:fldChar w:fldCharType="end"/>
            </w:r>
            <w:r w:rsidRPr="001F040C">
              <w:rPr>
                <w:sz w:val="16"/>
                <w:szCs w:val="16"/>
              </w:rPr>
              <w:t xml:space="preserve"> Dykes</w:t>
            </w:r>
          </w:p>
        </w:tc>
        <w:tc>
          <w:tcPr>
            <w:tcW w:w="689" w:type="dxa"/>
            <w:hideMark/>
          </w:tcPr>
          <w:p w14:paraId="6F5C8FCF" w14:textId="5897652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3</w:t>
            </w:r>
          </w:p>
        </w:tc>
        <w:tc>
          <w:tcPr>
            <w:tcW w:w="554" w:type="dxa"/>
            <w:hideMark/>
          </w:tcPr>
          <w:p w14:paraId="4D05F4A8"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6" w:type="dxa"/>
            <w:hideMark/>
          </w:tcPr>
          <w:p w14:paraId="78879FA1"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Multiple (isolated) iterative chains</w:t>
            </w:r>
          </w:p>
        </w:tc>
        <w:tc>
          <w:tcPr>
            <w:tcW w:w="808" w:type="dxa"/>
            <w:hideMark/>
          </w:tcPr>
          <w:p w14:paraId="0603D216"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571" w:type="dxa"/>
            <w:hideMark/>
          </w:tcPr>
          <w:p w14:paraId="5B9F4D5D"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0967CB8B"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Implementation</w:t>
            </w:r>
          </w:p>
        </w:tc>
        <w:tc>
          <w:tcPr>
            <w:tcW w:w="957" w:type="dxa"/>
            <w:hideMark/>
          </w:tcPr>
          <w:p w14:paraId="6B17B57C"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N/A</w:t>
            </w:r>
          </w:p>
        </w:tc>
        <w:tc>
          <w:tcPr>
            <w:tcW w:w="690" w:type="dxa"/>
            <w:hideMark/>
          </w:tcPr>
          <w:p w14:paraId="079A50DC"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1098" w:type="dxa"/>
            <w:hideMark/>
          </w:tcPr>
          <w:p w14:paraId="461CB04F"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Regular: Three datapoints or more</w:t>
            </w:r>
          </w:p>
        </w:tc>
        <w:tc>
          <w:tcPr>
            <w:tcW w:w="690" w:type="dxa"/>
            <w:hideMark/>
          </w:tcPr>
          <w:p w14:paraId="55A49CDE"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5" w:type="dxa"/>
            <w:hideMark/>
          </w:tcPr>
          <w:p w14:paraId="2722C625"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Control Chart</w:t>
            </w:r>
          </w:p>
        </w:tc>
        <w:tc>
          <w:tcPr>
            <w:tcW w:w="1098" w:type="dxa"/>
            <w:hideMark/>
          </w:tcPr>
          <w:p w14:paraId="7C183694" w14:textId="77E838CB"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 xml:space="preserve">Quantitative supplemented </w:t>
            </w:r>
          </w:p>
        </w:tc>
        <w:tc>
          <w:tcPr>
            <w:tcW w:w="961" w:type="dxa"/>
            <w:hideMark/>
          </w:tcPr>
          <w:p w14:paraId="47F2D45C"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2" w:type="dxa"/>
            <w:gridSpan w:val="2"/>
            <w:hideMark/>
          </w:tcPr>
          <w:p w14:paraId="49C9AC5B" w14:textId="0F4ADFD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Yes</w:t>
            </w:r>
          </w:p>
        </w:tc>
        <w:tc>
          <w:tcPr>
            <w:tcW w:w="1393" w:type="dxa"/>
            <w:hideMark/>
          </w:tcPr>
          <w:p w14:paraId="58E5FE37" w14:textId="50482781"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 xml:space="preserve">External existing knowledge </w:t>
            </w:r>
            <w:r>
              <w:rPr>
                <w:sz w:val="16"/>
                <w:szCs w:val="16"/>
              </w:rPr>
              <w:t>–</w:t>
            </w:r>
            <w:r w:rsidRPr="001F040C">
              <w:rPr>
                <w:sz w:val="16"/>
                <w:szCs w:val="16"/>
              </w:rPr>
              <w:t xml:space="preserve"> Literature</w:t>
            </w:r>
            <w:r>
              <w:rPr>
                <w:sz w:val="16"/>
                <w:szCs w:val="16"/>
              </w:rPr>
              <w:t xml:space="preserve"> </w:t>
            </w:r>
            <w:r w:rsidRPr="001F040C">
              <w:rPr>
                <w:sz w:val="16"/>
                <w:szCs w:val="16"/>
              </w:rPr>
              <w:t>(EBM)</w:t>
            </w:r>
          </w:p>
        </w:tc>
      </w:tr>
      <w:tr w:rsidR="00E42F62" w:rsidRPr="001F040C" w14:paraId="3FE6370D" w14:textId="422CFFE5" w:rsidTr="002118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324825B3" w14:textId="5CC5ACBC"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"10.1038/jp.2015.219", "ISSN" : "14765543", "PMID" : "26796128", "abstract" : "OBJECTIVE Unplanned extubation events (UPEs) in neonates are hazardous to patient safety. Our goal was to reduce UPE rate (#UPEs per 100 ventilator days) by 50% in 12 months at our 25-bed level III inborn unit. STUDY DESIGN Baseline data were gathered prospectively for 7 months. Three Plan-Do-Study-Act (PDSA) cycles targeting main causes of UPEs were developed over the next 20 months. Causes of UPEs were analyzed using Pareto charts; and a U control chart was created with QI Charts(\u00a9). Standard rules for detecting special cause variation were applied. RESULT Mean UPE rate decreased from 16.1 to 4.5 per 100 ventilator days, a 72% decrease, exceeding our goal. Analysis of U-chart demonstrated special cause variation, with eight consecutive points below the mean. Improvement was sustained throughout the study period. CONCLUSION UPEs in neonates can be reduced with process standardization and frontline staff education, emphasizing vigilant endotracheal tube (ETT) maintenance.", "author" : [ { "dropping-particle" : "", "family" : "Font\u00e1nez-Nieves", "given" : "T. D.", "non-dropping-particle" : "", "parse-names" : false, "suffix" : "" }, { "dropping-particle" : "", "family" : "Frost", "given" : "M.", "non-dropping-particle" : "", "parse-names" : false, "suffix" : "" }, { "dropping-particle" : "", "family" : "Anday", "given" : "E.", "non-dropping-particle" : "", "parse-names" : false, "suffix" : "" }, { "dropping-particle" : "", "family" : "Davis", "given" : "D.", "non-dropping-particle" : "", "parse-names" : false, "suffix" : "" }, { "dropping-particle" : "", "family" : "Cooperberg", "given" : "D.", "non-dropping-particle" : "", "parse-names" : false, "suffix" : "" }, { "dropping-particle" : "", "family" : "Carey", "given" : "A. J.", "non-dropping-particle" : "", "parse-names" : false, "suffix" : "" } ], "container-title" : "Journal of Perinatology", "id" : "ITEM-1", "issue" : "6", "issued" : { "date-parts" : [ [ "2016" ] ] }, "page" : "469-473", "title" : "Prevention of unplanned extubations in neonates through process standardization", "type" : "article-journal", "volume" : "36" }, "uris" : [ "http://www.mendeley.com/documents/?uuid=27366e38-0899-4b38-90d3-cd8bc124f798" ] } ], "mendeley" : { "formattedCitation" : "[29]", "plainTextFormattedCitation" : "[29]", "previouslyFormattedCitation" : "[29]" }, "properties" : {  }, "schema" : "https://github.com/citation-style-language/schema/raw/master/csl-citation.json" }</w:instrText>
            </w:r>
            <w:r w:rsidRPr="001F040C">
              <w:rPr>
                <w:sz w:val="16"/>
                <w:szCs w:val="16"/>
              </w:rPr>
              <w:fldChar w:fldCharType="separate"/>
            </w:r>
            <w:r w:rsidRPr="0056067F">
              <w:rPr>
                <w:noProof/>
                <w:sz w:val="16"/>
                <w:szCs w:val="16"/>
              </w:rPr>
              <w:t>[29]</w:t>
            </w:r>
            <w:r w:rsidRPr="001F040C">
              <w:rPr>
                <w:sz w:val="16"/>
                <w:szCs w:val="16"/>
              </w:rPr>
              <w:fldChar w:fldCharType="end"/>
            </w:r>
            <w:r w:rsidRPr="001F040C">
              <w:rPr>
                <w:sz w:val="16"/>
                <w:szCs w:val="16"/>
              </w:rPr>
              <w:t xml:space="preserve"> Fontanez-Nieves</w:t>
            </w:r>
          </w:p>
        </w:tc>
        <w:tc>
          <w:tcPr>
            <w:tcW w:w="689" w:type="dxa"/>
            <w:hideMark/>
          </w:tcPr>
          <w:p w14:paraId="14DB067E" w14:textId="6992F44A"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3</w:t>
            </w:r>
          </w:p>
        </w:tc>
        <w:tc>
          <w:tcPr>
            <w:tcW w:w="554" w:type="dxa"/>
            <w:hideMark/>
          </w:tcPr>
          <w:p w14:paraId="3194C7AC"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6" w:type="dxa"/>
            <w:hideMark/>
          </w:tcPr>
          <w:p w14:paraId="33BCD84B"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Iterative chain</w:t>
            </w:r>
          </w:p>
        </w:tc>
        <w:tc>
          <w:tcPr>
            <w:tcW w:w="808" w:type="dxa"/>
            <w:hideMark/>
          </w:tcPr>
          <w:p w14:paraId="6EC281AC"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571" w:type="dxa"/>
            <w:hideMark/>
          </w:tcPr>
          <w:p w14:paraId="36F587D0"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046818CC"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Implementation</w:t>
            </w:r>
          </w:p>
        </w:tc>
        <w:tc>
          <w:tcPr>
            <w:tcW w:w="957" w:type="dxa"/>
            <w:hideMark/>
          </w:tcPr>
          <w:p w14:paraId="1E4CCC80"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N/A</w:t>
            </w:r>
          </w:p>
        </w:tc>
        <w:tc>
          <w:tcPr>
            <w:tcW w:w="690" w:type="dxa"/>
            <w:hideMark/>
          </w:tcPr>
          <w:p w14:paraId="034E1C53"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1098" w:type="dxa"/>
            <w:hideMark/>
          </w:tcPr>
          <w:p w14:paraId="66A15D1D"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Regular: Three datapoints or more</w:t>
            </w:r>
          </w:p>
        </w:tc>
        <w:tc>
          <w:tcPr>
            <w:tcW w:w="690" w:type="dxa"/>
            <w:hideMark/>
          </w:tcPr>
          <w:p w14:paraId="577E0DE2"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5" w:type="dxa"/>
            <w:hideMark/>
          </w:tcPr>
          <w:p w14:paraId="19E77A9C"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Control Chart</w:t>
            </w:r>
          </w:p>
        </w:tc>
        <w:tc>
          <w:tcPr>
            <w:tcW w:w="1098" w:type="dxa"/>
            <w:hideMark/>
          </w:tcPr>
          <w:p w14:paraId="60576E8A"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Quantitative</w:t>
            </w:r>
          </w:p>
        </w:tc>
        <w:tc>
          <w:tcPr>
            <w:tcW w:w="961" w:type="dxa"/>
            <w:hideMark/>
          </w:tcPr>
          <w:p w14:paraId="153882FF"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962" w:type="dxa"/>
            <w:gridSpan w:val="2"/>
            <w:hideMark/>
          </w:tcPr>
          <w:p w14:paraId="34062277" w14:textId="4DFF2498"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Yes</w:t>
            </w:r>
          </w:p>
        </w:tc>
        <w:tc>
          <w:tcPr>
            <w:tcW w:w="1393" w:type="dxa"/>
            <w:hideMark/>
          </w:tcPr>
          <w:p w14:paraId="6A65010D" w14:textId="0FAD0351"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 xml:space="preserve">External existing knowledge </w:t>
            </w:r>
            <w:r>
              <w:rPr>
                <w:sz w:val="16"/>
                <w:szCs w:val="16"/>
              </w:rPr>
              <w:t>–</w:t>
            </w:r>
            <w:r w:rsidRPr="001F040C">
              <w:rPr>
                <w:sz w:val="16"/>
                <w:szCs w:val="16"/>
              </w:rPr>
              <w:t xml:space="preserve"> Literature</w:t>
            </w:r>
            <w:r>
              <w:rPr>
                <w:sz w:val="16"/>
                <w:szCs w:val="16"/>
              </w:rPr>
              <w:t xml:space="preserve"> </w:t>
            </w:r>
            <w:r w:rsidRPr="001F040C">
              <w:rPr>
                <w:sz w:val="16"/>
                <w:szCs w:val="16"/>
              </w:rPr>
              <w:t>(EBM)</w:t>
            </w:r>
          </w:p>
        </w:tc>
      </w:tr>
      <w:tr w:rsidR="00E42F62" w:rsidRPr="001F040C" w14:paraId="00CBB17D" w14:textId="6B8B6AAB" w:rsidTr="002118F0">
        <w:trPr>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7DDAB3B4" w14:textId="38AA1B5C"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"10.1136/bmjquality.u210039.w4218", "ISSN" : "2050-1315", "PMID" : "26893889", "abstract" : "Serial betahCG testing can be a helpful tool in deciding how to manage pregnancy of unknown location. Its use in emergency gynaecology clinics can prevent unnecessary admission and intervention. However, despite NICE Guidelines on when it is safe to opt for conservative management, it was identified that there was a problem with over-testing of betahCG when patients could be discharged with instructions to repeat a urinary pregnancy test in two weeks. Two PDSA cycles were undertaken to improve the awareness of NICE guidelines: the first involved formal and informal educational sessions and the second involved the inclusion of a guideline summary on the front of patients' notes when they were having serial betahCG tests for doctors to refer to. Case notes were reviewed for 157 women who had betahCG tests at baseline and 48 hours. Of these, 139 were suitable for serial betahCG testing, and 83 of these were suitable for discharge after 48 hours. Of the 83 patients that were eligible for discharge, there were 31 unnecessary betahCG tests done, 23 of which were prior to intervention. A significant improvement was noted, with between 4-10 unnecessary betahCG tests per fortnight prior to intervention, 0-3 following the first intervention, and 0-2 following the second. Reduction in unnecessary betahCG testing has positive implications for patients, who do not have to take unnecessary time off work, prolong an already very distressing period, and have unnecessary blood tests. There are also cost and time saving implications for the hospital.", "author" : [ { "dropping-particle" : "", "family" : "Frost", "given" : "Lucy", "non-dropping-particle" : "", "parse-names" : false, "suffix" : "" } ], "container-title" : "BMJ Quality Improvement Reports", "id" : "ITEM-1", "issue" : "1", "issued" : { "date-parts" : [ [ "2016" ] ] }, "page" : "u210039.w4218", "title" : "Reducing the overuse of \u03b2hCG measurements in the emergency gynaecology clinic", "type" : "article-journal", "volume" : "5" }, "uris" : [ "http://www.mendeley.com/documents/?uuid=90675ccc-8fe6-4248-91fe-9ce9112fa427" ] } ], "mendeley" : { "formattedCitation" : "[30]", "plainTextFormattedCitation" : "[30]", "previouslyFormattedCitation" : "[30]" }, "properties" : {  }, "schema" : "https://github.com/citation-style-language/schema/raw/master/csl-citation.json" }</w:instrText>
            </w:r>
            <w:r w:rsidRPr="001F040C">
              <w:rPr>
                <w:sz w:val="16"/>
                <w:szCs w:val="16"/>
              </w:rPr>
              <w:fldChar w:fldCharType="separate"/>
            </w:r>
            <w:r w:rsidRPr="0056067F">
              <w:rPr>
                <w:noProof/>
                <w:sz w:val="16"/>
                <w:szCs w:val="16"/>
              </w:rPr>
              <w:t>[30]</w:t>
            </w:r>
            <w:r w:rsidRPr="001F040C">
              <w:rPr>
                <w:sz w:val="16"/>
                <w:szCs w:val="16"/>
              </w:rPr>
              <w:fldChar w:fldCharType="end"/>
            </w:r>
            <w:r w:rsidRPr="001F040C">
              <w:rPr>
                <w:sz w:val="16"/>
                <w:szCs w:val="16"/>
              </w:rPr>
              <w:t xml:space="preserve"> Frost</w:t>
            </w:r>
          </w:p>
        </w:tc>
        <w:tc>
          <w:tcPr>
            <w:tcW w:w="689" w:type="dxa"/>
            <w:hideMark/>
          </w:tcPr>
          <w:p w14:paraId="4A2CF341" w14:textId="27D76748"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4</w:t>
            </w:r>
          </w:p>
        </w:tc>
        <w:tc>
          <w:tcPr>
            <w:tcW w:w="554" w:type="dxa"/>
            <w:hideMark/>
          </w:tcPr>
          <w:p w14:paraId="397CEFFC"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826" w:type="dxa"/>
            <w:hideMark/>
          </w:tcPr>
          <w:p w14:paraId="090F7B8E"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Multiple isolated cycles</w:t>
            </w:r>
          </w:p>
        </w:tc>
        <w:tc>
          <w:tcPr>
            <w:tcW w:w="808" w:type="dxa"/>
            <w:hideMark/>
          </w:tcPr>
          <w:p w14:paraId="3203A45E"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571" w:type="dxa"/>
            <w:hideMark/>
          </w:tcPr>
          <w:p w14:paraId="50C58350"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444B73BF"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Implementation</w:t>
            </w:r>
          </w:p>
        </w:tc>
        <w:tc>
          <w:tcPr>
            <w:tcW w:w="957" w:type="dxa"/>
            <w:hideMark/>
          </w:tcPr>
          <w:p w14:paraId="40FEA5B8"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N/A</w:t>
            </w:r>
          </w:p>
        </w:tc>
        <w:tc>
          <w:tcPr>
            <w:tcW w:w="690" w:type="dxa"/>
            <w:hideMark/>
          </w:tcPr>
          <w:p w14:paraId="042848EE"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1098" w:type="dxa"/>
            <w:hideMark/>
          </w:tcPr>
          <w:p w14:paraId="18829812"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Regular: Three datapoints or more</w:t>
            </w:r>
          </w:p>
        </w:tc>
        <w:tc>
          <w:tcPr>
            <w:tcW w:w="690" w:type="dxa"/>
            <w:hideMark/>
          </w:tcPr>
          <w:p w14:paraId="6510BA8F"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5" w:type="dxa"/>
            <w:hideMark/>
          </w:tcPr>
          <w:p w14:paraId="4DD1FFDA"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Run Chart</w:t>
            </w:r>
          </w:p>
        </w:tc>
        <w:tc>
          <w:tcPr>
            <w:tcW w:w="1098" w:type="dxa"/>
            <w:hideMark/>
          </w:tcPr>
          <w:p w14:paraId="0C512A5C"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Quantitative</w:t>
            </w:r>
          </w:p>
        </w:tc>
        <w:tc>
          <w:tcPr>
            <w:tcW w:w="961" w:type="dxa"/>
            <w:hideMark/>
          </w:tcPr>
          <w:p w14:paraId="20D2CEEF"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962" w:type="dxa"/>
            <w:gridSpan w:val="2"/>
            <w:hideMark/>
          </w:tcPr>
          <w:p w14:paraId="5259738D" w14:textId="397CFEB9"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Yes</w:t>
            </w:r>
          </w:p>
        </w:tc>
        <w:tc>
          <w:tcPr>
            <w:tcW w:w="1393" w:type="dxa"/>
            <w:hideMark/>
          </w:tcPr>
          <w:p w14:paraId="4CB2C210" w14:textId="4C64AB43"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Internally developed knowledge - Logical visualising and description</w:t>
            </w:r>
          </w:p>
        </w:tc>
      </w:tr>
      <w:tr w:rsidR="00E42F62" w:rsidRPr="001F040C" w14:paraId="51C49EE6" w14:textId="264F0AB3" w:rsidTr="002118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2164BB70" w14:textId="3809842E"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"10.1136/bmjquality.u203938.w3268", "ISSN" : "2050-1315", "PMID" : "26734368", "abstract" : "AbstractAround 110,000 people spend time in critical care units in England and Wales each year. The transition of care from the intensive care unit to the general ward exposes patients to potential harms from changes in healthcare providers and environment. Nurses working on general wards report anxiety and uncertainty when receiving patients from critical care. An innovative form of enhanced capability critical care outreach called iMobile' is being provided at King's College Hospital (KCH). Part of the remit of iMobile is to review patients who have been transferred from critical care to general wards. The iMobile team wished to improve the quality of critical care discharge summaries. A collaborative evidence-based quality improvement project was therefore undertaken by the iMobile team at KCH in conjunction with researchers from King's Improvement Science (KIS). Plan, Do, Study, Act (PDSA) methodology was used. Three PDSA cycles were undertaken. Methods adopted comprised: a scoping literature review to identify relevant guidelines and research evidence to inform all aspects of the quality improvement project; a process mapping exercise; informal focus groups / interviews with staff; patient story-telling work with people who had experienced critical care and subsequent discharge to a general ward; and regular audits of the quality of both medical and nursing critical care discharge summaries. The following behaviour change interventions were adopted, taking into account evidence of effectiveness from published systematic reviews and considering the local context: regular audit and feedback of the quality of discharge summaries, feedback of patient experience, and championing and education delivered by local opinion leaders. The audit results were mixed across the trajectory of the project, demonstrating the difficulty of sustaining positive change. This was particularly important as critical care bed occupancy and through-put fluctuates which then impacts on work-load, with new cohorts of staff regularly passing through critical care. In addition to presenting the results of this quality improvement project, we also reflect on the lessons learned and make suggestions for future projects.", "author" : [ { "dropping-particle" : "", "family" : "Goulding", "given" : "Lucy", "non-dropping-particle" : "", "parse-names" : false, "suffix" : "" }, { "dropping-particle" : "", "family" : "Parke", "given" : "Hannah", "non-dropping-particle" : "", "parse-names" : false, "suffix" : "" }, { "dropping-particle" : "", "family" : "Maharaj", "given" : "Ritesh", "non-dropping-particle" : "", "parse-names" : false, "suffix" : "" }, { "dropping-particle" : "", "family" : "Loveridge", "given" : "Robert", "non-dropping-particle" : "", "parse-names" : false, "suffix" : "" }, { "dropping-particle" : "", "family" : "McLoone", "given" : "Anne", "non-dropping-particle" : "", "parse-names" : false, "suffix" : "" }, { "dropping-particle" : "", "family" : "Hadfield", "given" : "Sophie", "non-dropping-particle" : "", "parse-names" : false, "suffix" : "" }, { "dropping-particle" : "", "family" : "Helme", "given" : "Eloise", "non-dropping-particle" : "", "parse-names" : false, "suffix" : "" }, { "dropping-particle" : "", "family" : "Hopkins", "given" : "Philip", "non-dropping-particle" : "", "parse-names" : false, "suffix" : "" }, { "dropping-particle" : "", "family" : "Sandall", "given" : "Jane", "non-dropping-particle" : "", "parse-names" : false, "suffix" : "" } ], "container-title" : "BMJ Quality Improvement Reports", "id" : "ITEM-1", "issue" : "1", "issued" : { "date-parts" : [ [ "2015" ] ] }, "note" : "Henrik V. B. Laursen (2016-11-24 19:53:46)(Select): suppl: http://qir.bmj.com/content/4/1/u203938.w3268/suppl/DC1;", "page" : "u203938.w3268", "publisher-place" : "England", "title" : "Improving critical care discharge summaries: a collaborative quality improvement project using PDSA", "type" : "article-journal", "volume" : "4" }, "uris" : [ "http://www.mendeley.com/documents/?uuid=983319db-a6cb-4f55-8a20-dbaad1efc538" ] } ], "mendeley" : { "formattedCitation" : "[31]", "plainTextFormattedCitation" : "[31]", "previouslyFormattedCitation" : "[31]" }, "properties" : {  }, "schema" : "https://github.com/citation-style-language/schema/raw/master/csl-citation.json" }</w:instrText>
            </w:r>
            <w:r w:rsidRPr="001F040C">
              <w:rPr>
                <w:sz w:val="16"/>
                <w:szCs w:val="16"/>
              </w:rPr>
              <w:fldChar w:fldCharType="separate"/>
            </w:r>
            <w:r w:rsidRPr="0056067F">
              <w:rPr>
                <w:noProof/>
                <w:sz w:val="16"/>
                <w:szCs w:val="16"/>
              </w:rPr>
              <w:t>[31]</w:t>
            </w:r>
            <w:r w:rsidRPr="001F040C">
              <w:rPr>
                <w:sz w:val="16"/>
                <w:szCs w:val="16"/>
              </w:rPr>
              <w:fldChar w:fldCharType="end"/>
            </w:r>
            <w:r w:rsidRPr="001F040C">
              <w:rPr>
                <w:sz w:val="16"/>
                <w:szCs w:val="16"/>
              </w:rPr>
              <w:t xml:space="preserve"> Goulding</w:t>
            </w:r>
          </w:p>
        </w:tc>
        <w:tc>
          <w:tcPr>
            <w:tcW w:w="689" w:type="dxa"/>
            <w:hideMark/>
          </w:tcPr>
          <w:p w14:paraId="307785EA" w14:textId="71CEEE8B"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3</w:t>
            </w:r>
          </w:p>
        </w:tc>
        <w:tc>
          <w:tcPr>
            <w:tcW w:w="554" w:type="dxa"/>
            <w:hideMark/>
          </w:tcPr>
          <w:p w14:paraId="74593942"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6" w:type="dxa"/>
            <w:hideMark/>
          </w:tcPr>
          <w:p w14:paraId="1DF699F8"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Iterative chain</w:t>
            </w:r>
          </w:p>
        </w:tc>
        <w:tc>
          <w:tcPr>
            <w:tcW w:w="808" w:type="dxa"/>
            <w:hideMark/>
          </w:tcPr>
          <w:p w14:paraId="187D7A11"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571" w:type="dxa"/>
            <w:hideMark/>
          </w:tcPr>
          <w:p w14:paraId="20C08FC8"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1658A893"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Implementation</w:t>
            </w:r>
          </w:p>
        </w:tc>
        <w:tc>
          <w:tcPr>
            <w:tcW w:w="957" w:type="dxa"/>
            <w:hideMark/>
          </w:tcPr>
          <w:p w14:paraId="79EBB6CA"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N/A</w:t>
            </w:r>
          </w:p>
        </w:tc>
        <w:tc>
          <w:tcPr>
            <w:tcW w:w="690" w:type="dxa"/>
            <w:hideMark/>
          </w:tcPr>
          <w:p w14:paraId="62D060D0"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1098" w:type="dxa"/>
            <w:hideMark/>
          </w:tcPr>
          <w:p w14:paraId="6F1EE819"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Irregular: Before and after, or per cycle</w:t>
            </w:r>
          </w:p>
        </w:tc>
        <w:tc>
          <w:tcPr>
            <w:tcW w:w="690" w:type="dxa"/>
            <w:hideMark/>
          </w:tcPr>
          <w:p w14:paraId="0FBAED70"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5" w:type="dxa"/>
            <w:hideMark/>
          </w:tcPr>
          <w:p w14:paraId="113399F6"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N/A</w:t>
            </w:r>
          </w:p>
        </w:tc>
        <w:tc>
          <w:tcPr>
            <w:tcW w:w="1098" w:type="dxa"/>
            <w:hideMark/>
          </w:tcPr>
          <w:p w14:paraId="03A635A8" w14:textId="22D7CCF1"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 xml:space="preserve">Quantitative supplemented </w:t>
            </w:r>
          </w:p>
        </w:tc>
        <w:tc>
          <w:tcPr>
            <w:tcW w:w="961" w:type="dxa"/>
            <w:hideMark/>
          </w:tcPr>
          <w:p w14:paraId="1A6525DB"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962" w:type="dxa"/>
            <w:gridSpan w:val="2"/>
            <w:hideMark/>
          </w:tcPr>
          <w:p w14:paraId="356A0266" w14:textId="6A8F7B4E"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Yes</w:t>
            </w:r>
          </w:p>
        </w:tc>
        <w:tc>
          <w:tcPr>
            <w:tcW w:w="1393" w:type="dxa"/>
            <w:hideMark/>
          </w:tcPr>
          <w:p w14:paraId="3EEAD39A"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Combination of external and internal</w:t>
            </w:r>
          </w:p>
        </w:tc>
      </w:tr>
      <w:tr w:rsidR="00E42F62" w:rsidRPr="001F040C" w14:paraId="11E609D9" w14:textId="3CC7B7E7" w:rsidTr="002118F0">
        <w:trPr>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7F10C33B" w14:textId="42867EE7"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"10.1136/bmjquality.u207288.w2926", "ISSN" : "2050-1315", "PMID" : "26734449", "abstract" : "Sexual health contributes greatly to quality of life. Research shows that stroke survivors want to learn and talk about sexual health, but are not given information. In keeping with the Canadian Best Practice Recommendations for Stroke Care, this project aimed to provide all stroke rehabilitation inpatients with the opportunity to discuss sexual health concerns with healthcare providers at West Park Healthcare Centre, a rehabilitation and complex continuing care centre in Toronto. Gap analysis conducted via staff member interviews and retrospective chart reviews showed that close to no patients were given the opportunity to discuss sexual health concerns at baseline. Plan-Do-Study-Act (PDSA) methodology was used as the project framework. The changes implemented included a reminder system, standardization of care processes for sexual health, patient-centred time points for the delivery of sexual health discussions, and the development of a sexual health supported conversation tool for patients with aphasia. By the end of the ten month project period and after three PDSA cycles, the percentage of patients provided with the opportunity to discuss sexual health during inpatient rehabilitation increased to 80%. This quality improvement project successfully implemented the Canadian Best Practice Recommendations for Stroke Care with respect to sexual health. Lessons learned included the importance of early baseline data collection and advance planning for tools used in QI projects. Future projects may focus on improving the discussion of sexual health concerns during outpatient stroke rehabilitation.", "author" : [ { "dropping-particle" : "", "family" : "Guo", "given" : "Meiqi", "non-dropping-particle" : "", "parse-names" : false, "suffix" : "" }, { "dropping-particle" : "", "family" : "Bosnyak", "given" : "Stephanie", "non-dropping-particle" : "", "parse-names" : false, "suffix" : "" }, { "dropping-particle" : "", "family" : "Bontempo", "given" : "Tiziana", "non-dropping-particle" : "", "parse-names" : false, "suffix" : "" }, { "dropping-particle" : "", "family" : "Enns", "given" : "Amie", "non-dropping-particle" : "", "parse-names" : false, "suffix" : "" }, { "dropping-particle" : "", "family" : "Fourie", "given" : "Candice", "non-dropping-particle" : "", "parse-names" : false, "suffix" : "" }, { "dropping-particle" : "", "family" : "Ismail", "given" : "Farooq", "non-dropping-particle" : "", "parse-names" : false, "suffix" : "" }, { "dropping-particle" : "", "family" : "Lo", "given" : "Alex", "non-dropping-particle" : "", "parse-names" : false, "suffix" : "" } ], "container-title" : "BMJ Quality Improvement Reports", "id" : "ITEM-1", "issue" : "1", "issued" : { "date-parts" : [ [ "2015" ] ] }, "note" : "Henrik V. B. Laursen (2016-11-24 05:36:48)(Select): suppll: http://qir.bmj.com/content/4/1/u207288.w2926/suppl/DC1\n;", "page" : "u207288.w2926", "publisher-place" : "England", "title" : "Let's Talk About Sex! - Improving sexual health for patients in stroke rehabilitation", "type" : "article-journal", "volume" : "4" }, "uris" : [ "http://www.mendeley.com/documents/?uuid=8555023e-c783-407c-85a2-9c4ef7542fbf" ] } ], "mendeley" : { "formattedCitation" : "[32]", "plainTextFormattedCitation" : "[32]", "previouslyFormattedCitation" : "[32]" }, "properties" : {  }, "schema" : "https://github.com/citation-style-language/schema/raw/master/csl-citation.json" }</w:instrText>
            </w:r>
            <w:r w:rsidRPr="001F040C">
              <w:rPr>
                <w:sz w:val="16"/>
                <w:szCs w:val="16"/>
              </w:rPr>
              <w:fldChar w:fldCharType="separate"/>
            </w:r>
            <w:r w:rsidRPr="0056067F">
              <w:rPr>
                <w:noProof/>
                <w:sz w:val="16"/>
                <w:szCs w:val="16"/>
              </w:rPr>
              <w:t>[32]</w:t>
            </w:r>
            <w:r w:rsidRPr="001F040C">
              <w:rPr>
                <w:sz w:val="16"/>
                <w:szCs w:val="16"/>
              </w:rPr>
              <w:fldChar w:fldCharType="end"/>
            </w:r>
            <w:r w:rsidRPr="001F040C">
              <w:rPr>
                <w:sz w:val="16"/>
                <w:szCs w:val="16"/>
              </w:rPr>
              <w:t xml:space="preserve"> Guo</w:t>
            </w:r>
          </w:p>
        </w:tc>
        <w:tc>
          <w:tcPr>
            <w:tcW w:w="689" w:type="dxa"/>
            <w:hideMark/>
          </w:tcPr>
          <w:p w14:paraId="411E9AEE" w14:textId="2FDBFDFB"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3</w:t>
            </w:r>
          </w:p>
        </w:tc>
        <w:tc>
          <w:tcPr>
            <w:tcW w:w="554" w:type="dxa"/>
            <w:hideMark/>
          </w:tcPr>
          <w:p w14:paraId="4E2A76E6"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6" w:type="dxa"/>
            <w:hideMark/>
          </w:tcPr>
          <w:p w14:paraId="4E20389C"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Iterative chain</w:t>
            </w:r>
          </w:p>
        </w:tc>
        <w:tc>
          <w:tcPr>
            <w:tcW w:w="808" w:type="dxa"/>
            <w:hideMark/>
          </w:tcPr>
          <w:p w14:paraId="45289775"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571" w:type="dxa"/>
            <w:hideMark/>
          </w:tcPr>
          <w:p w14:paraId="414734BA"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63BE9983"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Testing</w:t>
            </w:r>
          </w:p>
        </w:tc>
        <w:tc>
          <w:tcPr>
            <w:tcW w:w="957" w:type="dxa"/>
            <w:hideMark/>
          </w:tcPr>
          <w:p w14:paraId="78BE26FF"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N/A</w:t>
            </w:r>
          </w:p>
        </w:tc>
        <w:tc>
          <w:tcPr>
            <w:tcW w:w="690" w:type="dxa"/>
            <w:hideMark/>
          </w:tcPr>
          <w:p w14:paraId="31EB0C1C"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1098" w:type="dxa"/>
            <w:hideMark/>
          </w:tcPr>
          <w:p w14:paraId="213C513C"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 xml:space="preserve">Regular: Three datapoints or </w:t>
            </w:r>
            <w:r w:rsidRPr="001F040C">
              <w:rPr>
                <w:sz w:val="16"/>
                <w:szCs w:val="16"/>
              </w:rPr>
              <w:lastRenderedPageBreak/>
              <w:t>more</w:t>
            </w:r>
          </w:p>
        </w:tc>
        <w:tc>
          <w:tcPr>
            <w:tcW w:w="690" w:type="dxa"/>
            <w:hideMark/>
          </w:tcPr>
          <w:p w14:paraId="22053414"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lastRenderedPageBreak/>
              <w:t>Yes</w:t>
            </w:r>
          </w:p>
        </w:tc>
        <w:tc>
          <w:tcPr>
            <w:tcW w:w="825" w:type="dxa"/>
            <w:hideMark/>
          </w:tcPr>
          <w:p w14:paraId="3CABAF78"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Run Chart</w:t>
            </w:r>
          </w:p>
        </w:tc>
        <w:tc>
          <w:tcPr>
            <w:tcW w:w="1098" w:type="dxa"/>
            <w:hideMark/>
          </w:tcPr>
          <w:p w14:paraId="21775E05"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Quantitative</w:t>
            </w:r>
          </w:p>
        </w:tc>
        <w:tc>
          <w:tcPr>
            <w:tcW w:w="961" w:type="dxa"/>
            <w:hideMark/>
          </w:tcPr>
          <w:p w14:paraId="7B5EADF8"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2" w:type="dxa"/>
            <w:gridSpan w:val="2"/>
            <w:hideMark/>
          </w:tcPr>
          <w:p w14:paraId="7A450039" w14:textId="79E6CBDB"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Yes</w:t>
            </w:r>
          </w:p>
        </w:tc>
        <w:tc>
          <w:tcPr>
            <w:tcW w:w="1393" w:type="dxa"/>
            <w:hideMark/>
          </w:tcPr>
          <w:p w14:paraId="442671BC"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Combination of external and internal</w:t>
            </w:r>
          </w:p>
        </w:tc>
      </w:tr>
      <w:tr w:rsidR="00E42F62" w:rsidRPr="001F040C" w14:paraId="4CFF3FC3" w14:textId="3C12A19B" w:rsidTr="002118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4114876C" w14:textId="09CA06E6" w:rsidR="00E42F62" w:rsidRPr="001F040C" w:rsidRDefault="00E42F62" w:rsidP="0087558F">
            <w:pPr>
              <w:rPr>
                <w:sz w:val="16"/>
                <w:szCs w:val="16"/>
              </w:rPr>
            </w:pPr>
            <w:r w:rsidRPr="001F040C">
              <w:rPr>
                <w:sz w:val="16"/>
                <w:szCs w:val="16"/>
              </w:rPr>
              <w:lastRenderedPageBreak/>
              <w:fldChar w:fldCharType="begin" w:fldLock="1"/>
            </w:r>
            <w:r>
              <w:rPr>
                <w:sz w:val="16"/>
                <w:szCs w:val="16"/>
              </w:rPr>
              <w:instrText>ADDIN CSL_CITATION { "citationItems" : [ { "id" : "ITEM-1", "itemData" : { "DOI" : "10.1136/bmjquality.u204775.w2440", "ISBN" : "2050-1315", "ISSN" : "2050-1315", "PMID" : "26734369", "abstract" : "AbstractChecklists have been shown to improve care and reduce morbidity and mortality in the healthcare setting.[1] Their application in safety-critical industries outside of medicine continues to offer a strong argument for their application to medicine.[2] The daily in-patient medical ward round is a complex process and includes multiple potential risks to patient safety. This project aims to evaluate the effectiveness of a ward round review checklist on one general medical ward in a district general hospital in the UK. A baseline audit was performed, examining case-notes for a set of pre-defined outcome measures relevant to patient safety. Compliance with documentation of each outcome measure was assessed prior to the introduction of a ward round checklist. This was followed by a quality improvement project through the use of PDSA cycles, with the aim of introducing and developing a ward round checklist over a nine month period. Following the introduction of a checklist, overall compliance with documentation of each outcome measure improved from 45% to 89%. In conclusion, a quality improvement project involving the introduction of a ward round checklist for daily use has resulted in improved documentation of outcome measures that are relevant to patient safety. Teamwork and leadership skills from clinicians committed to improving patient safety is essential to sustaining improvements in traditional ward round practice.", "author" : [ { "dropping-particle" : "", "family" : "Hale", "given" : "G.", "non-dropping-particle" : "", "parse-names" : false, "suffix" : "" }, { "dropping-particle" : "", "family" : "McNab", "given" : "D.", "non-dropping-particle" : "", "parse-names" : false, "suffix" : "" } ], "container-title" : "BMJ Quality Improvement Reports", "id" : "ITEM-1", "issue" : "1", "issued" : { "date-parts" : [ [ "2015" ] ] }, "note" : "Henrik V. B. Laursen (2016-11-24 21:35:37)(Select): suppl: http://qir.bmj.com/content/4/1/u204775.w2440/suppl/DC1;", "page" : "u204775.w2440-u204775.w2440", "publisher-place" : "England", "title" : "Developing a ward round checklist to improve patient safety", "type" : "article-journal", "volume" : "4" }, "uris" : [ "http://www.mendeley.com/documents/?uuid=a5b8c96c-0952-4984-a4bf-56dcccedc684" ] } ], "mendeley" : { "formattedCitation" : "[33]", "plainTextFormattedCitation" : "[33]", "previouslyFormattedCitation" : "[33]" }, "properties" : {  }, "schema" : "https://github.com/citation-style-language/schema/raw/master/csl-citation.json" }</w:instrText>
            </w:r>
            <w:r w:rsidRPr="001F040C">
              <w:rPr>
                <w:sz w:val="16"/>
                <w:szCs w:val="16"/>
              </w:rPr>
              <w:fldChar w:fldCharType="separate"/>
            </w:r>
            <w:r w:rsidRPr="0056067F">
              <w:rPr>
                <w:noProof/>
                <w:sz w:val="16"/>
                <w:szCs w:val="16"/>
              </w:rPr>
              <w:t>[33]</w:t>
            </w:r>
            <w:r w:rsidRPr="001F040C">
              <w:rPr>
                <w:sz w:val="16"/>
                <w:szCs w:val="16"/>
              </w:rPr>
              <w:fldChar w:fldCharType="end"/>
            </w:r>
            <w:r w:rsidRPr="001F040C">
              <w:rPr>
                <w:sz w:val="16"/>
                <w:szCs w:val="16"/>
              </w:rPr>
              <w:t xml:space="preserve"> Hale</w:t>
            </w:r>
          </w:p>
        </w:tc>
        <w:tc>
          <w:tcPr>
            <w:tcW w:w="689" w:type="dxa"/>
            <w:hideMark/>
          </w:tcPr>
          <w:p w14:paraId="4B9C1FE9" w14:textId="39C940C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3</w:t>
            </w:r>
          </w:p>
        </w:tc>
        <w:tc>
          <w:tcPr>
            <w:tcW w:w="554" w:type="dxa"/>
            <w:hideMark/>
          </w:tcPr>
          <w:p w14:paraId="3F811A24"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6" w:type="dxa"/>
            <w:hideMark/>
          </w:tcPr>
          <w:p w14:paraId="56D4B184"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Iterative chain</w:t>
            </w:r>
          </w:p>
        </w:tc>
        <w:tc>
          <w:tcPr>
            <w:tcW w:w="808" w:type="dxa"/>
            <w:hideMark/>
          </w:tcPr>
          <w:p w14:paraId="38AAF802"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571" w:type="dxa"/>
            <w:hideMark/>
          </w:tcPr>
          <w:p w14:paraId="11F94384"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229FC9D0"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Implementation</w:t>
            </w:r>
          </w:p>
        </w:tc>
        <w:tc>
          <w:tcPr>
            <w:tcW w:w="957" w:type="dxa"/>
            <w:hideMark/>
          </w:tcPr>
          <w:p w14:paraId="201C69D1"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N/A</w:t>
            </w:r>
          </w:p>
        </w:tc>
        <w:tc>
          <w:tcPr>
            <w:tcW w:w="690" w:type="dxa"/>
            <w:hideMark/>
          </w:tcPr>
          <w:p w14:paraId="7D14406D"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1098" w:type="dxa"/>
            <w:hideMark/>
          </w:tcPr>
          <w:p w14:paraId="0CF89D12"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Regular: Three datapoints or more</w:t>
            </w:r>
          </w:p>
        </w:tc>
        <w:tc>
          <w:tcPr>
            <w:tcW w:w="690" w:type="dxa"/>
            <w:hideMark/>
          </w:tcPr>
          <w:p w14:paraId="38AE7E9A"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5" w:type="dxa"/>
            <w:hideMark/>
          </w:tcPr>
          <w:p w14:paraId="193BA33A"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Run Chart</w:t>
            </w:r>
          </w:p>
        </w:tc>
        <w:tc>
          <w:tcPr>
            <w:tcW w:w="1098" w:type="dxa"/>
            <w:hideMark/>
          </w:tcPr>
          <w:p w14:paraId="1FF1B446"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Quantitative</w:t>
            </w:r>
          </w:p>
        </w:tc>
        <w:tc>
          <w:tcPr>
            <w:tcW w:w="961" w:type="dxa"/>
            <w:hideMark/>
          </w:tcPr>
          <w:p w14:paraId="169DB0DB"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2" w:type="dxa"/>
            <w:gridSpan w:val="2"/>
            <w:hideMark/>
          </w:tcPr>
          <w:p w14:paraId="3A9689B7" w14:textId="5414FB2D"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Yes</w:t>
            </w:r>
          </w:p>
        </w:tc>
        <w:tc>
          <w:tcPr>
            <w:tcW w:w="1393" w:type="dxa"/>
            <w:hideMark/>
          </w:tcPr>
          <w:p w14:paraId="3C2E083F" w14:textId="13201BA1"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Internally developed knowledge - Logical visualising and description</w:t>
            </w:r>
          </w:p>
        </w:tc>
      </w:tr>
      <w:tr w:rsidR="00E42F62" w:rsidRPr="001F040C" w14:paraId="3EA76B57" w14:textId="5A27ED0E" w:rsidTr="002118F0">
        <w:trPr>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773E04BD" w14:textId="09C34033"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"10.1136/bmjquality.u209711.w4039", "ISSN" : "2050-1315", "abstract" : "Domperidone is a dopamine D2 receptor antagonist acting on the chemoreceptor trigger zone in the medulla and also in the gut, causing antiemetic and gastrokinetic effects respectively. In the past, domperidone was considered largely safe, with many indications and few contraindications listed in the product literature. In 2014, Domperidone became indicated only for the prevention of nausea and vomiting and the duration of treatment was limited to seven days. Furthermore, the maximum daily dose was limited to thirty milligrams. A quality improvement project was undertaken at Holland Park Surgery to improve compliance with MHRA guidelines. Prescriptions of domperidone in the previous nine months were assessed for compliance with the MHRA advice. Domperidone was prescribed for 23 patients; of these 4 were single acute prescriptions, 3 were repeats which had been stopped and 16 were on active repeat at the time of the search. All patients who had active repeat prescriptions had exceeded the recommended duration of treatment. MHRA contraindications were found in 6 (37%) of active repeat prescriptions. The strategy for improvement involved three PDSA cycles and involved engaging with patients for medication reviews and staff to improve prescribing practices. After the third PDSA cycle we demonstrated that all repeat prescriptions had been stopped and that new prescriptions were compliant with MHRA advice.", "author" : [ { "dropping-particle" : "", "family" : "Hall", "given" : "William", "non-dropping-particle" : "", "parse-names" : false, "suffix" : "" } ], "container-title" : "BMJ Quality Improvement Reports", "id" : "ITEM-1", "issue" : "1", "issued" : { "date-parts" : [ [ "2016" ] ] }, "page" : "u209711.w4039", "title" : "Improving the safety of prescriptions of domperidone in primary care: implementing MHRA advice.", "type" : "article-journal", "volume" : "5" }, "uris" : [ "http://www.mendeley.com/documents/?uuid=8e557d57-345a-4267-9f52-9066ba3e98d8" ] } ], "mendeley" : { "formattedCitation" : "[34]", "plainTextFormattedCitation" : "[34]", "previouslyFormattedCitation" : "[34]" }, "properties" : {  }, "schema" : "https://github.com/citation-style-language/schema/raw/master/csl-citation.json" }</w:instrText>
            </w:r>
            <w:r w:rsidRPr="001F040C">
              <w:rPr>
                <w:sz w:val="16"/>
                <w:szCs w:val="16"/>
              </w:rPr>
              <w:fldChar w:fldCharType="separate"/>
            </w:r>
            <w:r w:rsidRPr="0056067F">
              <w:rPr>
                <w:noProof/>
                <w:sz w:val="16"/>
                <w:szCs w:val="16"/>
              </w:rPr>
              <w:t>[34]</w:t>
            </w:r>
            <w:r w:rsidRPr="001F040C">
              <w:rPr>
                <w:sz w:val="16"/>
                <w:szCs w:val="16"/>
              </w:rPr>
              <w:fldChar w:fldCharType="end"/>
            </w:r>
            <w:r w:rsidRPr="001F040C">
              <w:rPr>
                <w:sz w:val="16"/>
                <w:szCs w:val="16"/>
              </w:rPr>
              <w:t xml:space="preserve"> Hall</w:t>
            </w:r>
          </w:p>
        </w:tc>
        <w:tc>
          <w:tcPr>
            <w:tcW w:w="689" w:type="dxa"/>
            <w:hideMark/>
          </w:tcPr>
          <w:p w14:paraId="2148ABE4" w14:textId="7EEB2DB9"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3</w:t>
            </w:r>
          </w:p>
        </w:tc>
        <w:tc>
          <w:tcPr>
            <w:tcW w:w="554" w:type="dxa"/>
            <w:hideMark/>
          </w:tcPr>
          <w:p w14:paraId="7BF70C96"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6" w:type="dxa"/>
            <w:hideMark/>
          </w:tcPr>
          <w:p w14:paraId="4FAAD0A0"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Iterative chain</w:t>
            </w:r>
          </w:p>
        </w:tc>
        <w:tc>
          <w:tcPr>
            <w:tcW w:w="808" w:type="dxa"/>
            <w:hideMark/>
          </w:tcPr>
          <w:p w14:paraId="671266F6"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571" w:type="dxa"/>
            <w:hideMark/>
          </w:tcPr>
          <w:p w14:paraId="4804C73B"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7A5BF06E"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Testing</w:t>
            </w:r>
          </w:p>
        </w:tc>
        <w:tc>
          <w:tcPr>
            <w:tcW w:w="957" w:type="dxa"/>
            <w:hideMark/>
          </w:tcPr>
          <w:p w14:paraId="5811F31C"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N/A</w:t>
            </w:r>
          </w:p>
        </w:tc>
        <w:tc>
          <w:tcPr>
            <w:tcW w:w="690" w:type="dxa"/>
            <w:hideMark/>
          </w:tcPr>
          <w:p w14:paraId="43A858EE"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1098" w:type="dxa"/>
            <w:hideMark/>
          </w:tcPr>
          <w:p w14:paraId="2C68818C"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Regular: Three datapoints or more</w:t>
            </w:r>
          </w:p>
        </w:tc>
        <w:tc>
          <w:tcPr>
            <w:tcW w:w="690" w:type="dxa"/>
            <w:hideMark/>
          </w:tcPr>
          <w:p w14:paraId="403E9E98"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5" w:type="dxa"/>
            <w:hideMark/>
          </w:tcPr>
          <w:p w14:paraId="3D56F2AE"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Run Chart</w:t>
            </w:r>
          </w:p>
        </w:tc>
        <w:tc>
          <w:tcPr>
            <w:tcW w:w="1098" w:type="dxa"/>
            <w:hideMark/>
          </w:tcPr>
          <w:p w14:paraId="4BA8BF4C"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Quantitative</w:t>
            </w:r>
          </w:p>
        </w:tc>
        <w:tc>
          <w:tcPr>
            <w:tcW w:w="961" w:type="dxa"/>
            <w:hideMark/>
          </w:tcPr>
          <w:p w14:paraId="23BFA865"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2" w:type="dxa"/>
            <w:gridSpan w:val="2"/>
            <w:hideMark/>
          </w:tcPr>
          <w:p w14:paraId="0AABDFBF" w14:textId="21EBDE34"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Yes</w:t>
            </w:r>
          </w:p>
        </w:tc>
        <w:tc>
          <w:tcPr>
            <w:tcW w:w="1393" w:type="dxa"/>
            <w:hideMark/>
          </w:tcPr>
          <w:p w14:paraId="7EB34693" w14:textId="3087CE1E"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Internally developed knowledge - Logical visualising and description</w:t>
            </w:r>
          </w:p>
        </w:tc>
      </w:tr>
      <w:tr w:rsidR="00E42F62" w:rsidRPr="001F040C" w14:paraId="3CDAC3FD" w14:textId="420C8488" w:rsidTr="002118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37CDBED9" w14:textId="6B78EEE8"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"10.1136/bmjquality.u209656.w4000", "ISSN" : "2050-1315", "PMID" : "26734390", "abstract" : "Delirium is a frequent complication of critical illness with an increased risk of death which is difficult to treat effectively. We describe a seven year quality improvement programme that aimed to reduce rates of delirium on intensive care (ICU). We completed two PDSA programmes with a number of changes including alterations to sedation practice and environmental changes to the ICU itself. Rates of delirium reduced from 70% to 44% after the first cycle of change. Rates of delirium were further reduced to 29% after the second cycle of change. The rates are now lower than predicted by the validated prediction tool PRE-DELIRIC. This project demonstrates that a multifaceted approach to prevention of delirium on ICU can deliver sustained reductions in rates of delirium. The impact of the second cycle of change was less than the first, suggesting that further reductions may prove more challenging.", "author" : [ { "dropping-particle" : "", "family" : "Hanison", "given" : "James", "non-dropping-particle" : "", "parse-names" : false, "suffix" : "" }, { "dropping-particle" : "", "family" : "Conway", "given" : "Daniel", "non-dropping-particle" : "", "parse-names" : false, "suffix" : "" } ], "container-title" : "BMJ Quality Improvement Reports", "id" : "ITEM-1", "issue" : "1", "issued" : { "date-parts" : [ [ "2015" ] ] }, "page" : "u209656.w4000", "publisher-place" : "England", "title" : "A multifaceted approach to prevention of delirium on intensive care", "type" : "article-journal", "volume" : "4" }, "uris" : [ "http://www.mendeley.com/documents/?uuid=753d429a-e56c-4002-acdd-ff1ca60db6a4" ] } ], "mendeley" : { "formattedCitation" : "[35]", "plainTextFormattedCitation" : "[35]", "previouslyFormattedCitation" : "[35]" }, "properties" : {  }, "schema" : "https://github.com/citation-style-language/schema/raw/master/csl-citation.json" }</w:instrText>
            </w:r>
            <w:r w:rsidRPr="001F040C">
              <w:rPr>
                <w:sz w:val="16"/>
                <w:szCs w:val="16"/>
              </w:rPr>
              <w:fldChar w:fldCharType="separate"/>
            </w:r>
            <w:r w:rsidRPr="0056067F">
              <w:rPr>
                <w:noProof/>
                <w:sz w:val="16"/>
                <w:szCs w:val="16"/>
              </w:rPr>
              <w:t>[35]</w:t>
            </w:r>
            <w:r w:rsidRPr="001F040C">
              <w:rPr>
                <w:sz w:val="16"/>
                <w:szCs w:val="16"/>
              </w:rPr>
              <w:fldChar w:fldCharType="end"/>
            </w:r>
            <w:r w:rsidRPr="001F040C">
              <w:rPr>
                <w:sz w:val="16"/>
                <w:szCs w:val="16"/>
              </w:rPr>
              <w:t xml:space="preserve"> Hanison</w:t>
            </w:r>
          </w:p>
        </w:tc>
        <w:tc>
          <w:tcPr>
            <w:tcW w:w="689" w:type="dxa"/>
            <w:hideMark/>
          </w:tcPr>
          <w:p w14:paraId="6B1F674B" w14:textId="5E0F19F6"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3</w:t>
            </w:r>
          </w:p>
        </w:tc>
        <w:tc>
          <w:tcPr>
            <w:tcW w:w="554" w:type="dxa"/>
            <w:hideMark/>
          </w:tcPr>
          <w:p w14:paraId="2ECA87A2"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826" w:type="dxa"/>
            <w:hideMark/>
          </w:tcPr>
          <w:p w14:paraId="2AC20E2C"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Multiple isolated cycles</w:t>
            </w:r>
          </w:p>
        </w:tc>
        <w:tc>
          <w:tcPr>
            <w:tcW w:w="808" w:type="dxa"/>
            <w:hideMark/>
          </w:tcPr>
          <w:p w14:paraId="71A669ED"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571" w:type="dxa"/>
            <w:hideMark/>
          </w:tcPr>
          <w:p w14:paraId="183A8EEE"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1989EE3F"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Testing</w:t>
            </w:r>
          </w:p>
        </w:tc>
        <w:tc>
          <w:tcPr>
            <w:tcW w:w="957" w:type="dxa"/>
            <w:hideMark/>
          </w:tcPr>
          <w:p w14:paraId="2F65D49F"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N/A</w:t>
            </w:r>
          </w:p>
        </w:tc>
        <w:tc>
          <w:tcPr>
            <w:tcW w:w="690" w:type="dxa"/>
            <w:hideMark/>
          </w:tcPr>
          <w:p w14:paraId="709AAFE0"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1098" w:type="dxa"/>
            <w:hideMark/>
          </w:tcPr>
          <w:p w14:paraId="795A1597"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Irregular: Before and after, or per cycle</w:t>
            </w:r>
          </w:p>
        </w:tc>
        <w:tc>
          <w:tcPr>
            <w:tcW w:w="690" w:type="dxa"/>
            <w:hideMark/>
          </w:tcPr>
          <w:p w14:paraId="0FFB2D61"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5" w:type="dxa"/>
            <w:hideMark/>
          </w:tcPr>
          <w:p w14:paraId="3208AEE4"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N/A</w:t>
            </w:r>
          </w:p>
        </w:tc>
        <w:tc>
          <w:tcPr>
            <w:tcW w:w="1098" w:type="dxa"/>
            <w:hideMark/>
          </w:tcPr>
          <w:p w14:paraId="122A33B4"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Quantitative</w:t>
            </w:r>
          </w:p>
        </w:tc>
        <w:tc>
          <w:tcPr>
            <w:tcW w:w="961" w:type="dxa"/>
            <w:hideMark/>
          </w:tcPr>
          <w:p w14:paraId="780E2FD1"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2" w:type="dxa"/>
            <w:gridSpan w:val="2"/>
            <w:hideMark/>
          </w:tcPr>
          <w:p w14:paraId="534D644E" w14:textId="67CD287A"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Yes</w:t>
            </w:r>
          </w:p>
        </w:tc>
        <w:tc>
          <w:tcPr>
            <w:tcW w:w="1393" w:type="dxa"/>
            <w:hideMark/>
          </w:tcPr>
          <w:p w14:paraId="5B0DD615"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Not stated</w:t>
            </w:r>
          </w:p>
        </w:tc>
      </w:tr>
      <w:tr w:rsidR="00E42F62" w:rsidRPr="001F040C" w14:paraId="134D4931" w14:textId="79BC7ADC" w:rsidTr="002118F0">
        <w:trPr>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2F9D8B04" w14:textId="7A0EEBE5"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"10.1542/peds.2015-0461", "ISBN" : "0031-4005", "ISSN" : "0031-4005", "PMID" : "26912205", "abstract" : "BACKGROUND AND OBJECTIVES: Many patients recently discharged from an asthma admission do not fill discharge prescriptions. If unable to adhere to a discharge plan, patients with asthma are at risk for re-presentation to care. We sought to increase the proportion of patients discharged from an asthma admission in possession of their medications (meds in hand) from a baseline of 0% to &gt;75%. METHODS: A multidisciplinary improvement team performed 3 plan-do-study-act cycles over 2 years and, using a statistical process control chart, tracked the proportion of patients admitted with asthma discharged with meds in hand as the primary outcome. An exploratory, retrospective analysis of insurance data was conducted with a convenience sample of Medicaid-insured patients, comparing postdischarge utilization between patients discharged with meds in hand and usual care. Generalized estimating equations accounted for nonindependence in the data. RESULTS: Changes to the discharge process culminated in the development of a discharge medication delivery service. Outpatient pharmacist delivery of discharge medications to patient rooms achieved the project aim of 75% of patients discharged with meds in hand. In a subset of patients for whom all insurance claims were available, those discharged with meds in hand had lower odds of all-cause re-presentation to the emergency department within 30 days of discharge, compared with patients discharged with usual care (odds ratio, 0.22; 95% confidence interval, 0.05-0.99). CONCLUSIONS: Our initiative led to several discharge process improvements, including the creation of a medication delivery service that increased the proportion of patients discharged in possession of their medications and may have decreased unplanned visits after discharge.", "author" : [ { "dropping-particle" : "", "family" : "Hatoun", "given" : "J.", "non-dropping-particle" : "", "parse-names" : false, "suffix" : "" }, { "dropping-particle" : "", "family" : "Bair-Merritt", "given" : "M.", "non-dropping-particle" : "", "parse-names" : false, "suffix" : "" }, { "dropping-particle" : "", "family" : "Cabral", "given" : "H.", "non-dropping-particle" : "", "parse-names" : false, "suffix" : "" }, { "dropping-particle" : "", "family" : "Moses", "given" : "J.", "non-dropping-particle" : "", "parse-names" : false, "suffix" : "" } ], "container-title" : "Pediatrics", "id" : "ITEM-1", "issue" : "3", "issued" : { "date-parts" : [ [ "2016" ] ] }, "note" : "Henrik V. B. Laursen (2016-11-24 05:44:14)(Select): ingen adgang via aub;", "page" : "e20150461-e20150461", "publisher" : "by the American Academy of Pediatrics", "publisher-place" : "United States", "title" : "Increasing Medication Possession at Discharge for Patients With Asthma: The Meds-in-Hand Project", "type" : "article-journal", "volume" : "137" }, "uris" : [ "http://www.mendeley.com/documents/?uuid=1c375313-247b-4df6-afa6-544269e38458" ] } ], "mendeley" : { "formattedCitation" : "[36]", "plainTextFormattedCitation" : "[36]", "previouslyFormattedCitation" : "[36]" }, "properties" : {  }, "schema" : "https://github.com/citation-style-language/schema/raw/master/csl-citation.json" }</w:instrText>
            </w:r>
            <w:r w:rsidRPr="001F040C">
              <w:rPr>
                <w:sz w:val="16"/>
                <w:szCs w:val="16"/>
              </w:rPr>
              <w:fldChar w:fldCharType="separate"/>
            </w:r>
            <w:r w:rsidRPr="0056067F">
              <w:rPr>
                <w:noProof/>
                <w:sz w:val="16"/>
                <w:szCs w:val="16"/>
              </w:rPr>
              <w:t>[36]</w:t>
            </w:r>
            <w:r w:rsidRPr="001F040C">
              <w:rPr>
                <w:sz w:val="16"/>
                <w:szCs w:val="16"/>
              </w:rPr>
              <w:fldChar w:fldCharType="end"/>
            </w:r>
            <w:r w:rsidRPr="001F040C">
              <w:rPr>
                <w:sz w:val="16"/>
                <w:szCs w:val="16"/>
              </w:rPr>
              <w:t xml:space="preserve"> Hatoun</w:t>
            </w:r>
          </w:p>
        </w:tc>
        <w:tc>
          <w:tcPr>
            <w:tcW w:w="689" w:type="dxa"/>
            <w:hideMark/>
          </w:tcPr>
          <w:p w14:paraId="49EAE494" w14:textId="02FA064D"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3</w:t>
            </w:r>
          </w:p>
        </w:tc>
        <w:tc>
          <w:tcPr>
            <w:tcW w:w="554" w:type="dxa"/>
            <w:hideMark/>
          </w:tcPr>
          <w:p w14:paraId="534FF095"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6" w:type="dxa"/>
            <w:hideMark/>
          </w:tcPr>
          <w:p w14:paraId="3CCD76C5"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Iterative chain</w:t>
            </w:r>
          </w:p>
        </w:tc>
        <w:tc>
          <w:tcPr>
            <w:tcW w:w="808" w:type="dxa"/>
            <w:hideMark/>
          </w:tcPr>
          <w:p w14:paraId="315239F6"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571" w:type="dxa"/>
            <w:hideMark/>
          </w:tcPr>
          <w:p w14:paraId="3A865667"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4EAD848F"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Testing</w:t>
            </w:r>
          </w:p>
        </w:tc>
        <w:tc>
          <w:tcPr>
            <w:tcW w:w="957" w:type="dxa"/>
            <w:hideMark/>
          </w:tcPr>
          <w:p w14:paraId="6B4695A1"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N/A</w:t>
            </w:r>
          </w:p>
        </w:tc>
        <w:tc>
          <w:tcPr>
            <w:tcW w:w="690" w:type="dxa"/>
            <w:hideMark/>
          </w:tcPr>
          <w:p w14:paraId="0DE728AB"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1098" w:type="dxa"/>
            <w:hideMark/>
          </w:tcPr>
          <w:p w14:paraId="780FE03D"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Regular: Three datapoints or more</w:t>
            </w:r>
          </w:p>
        </w:tc>
        <w:tc>
          <w:tcPr>
            <w:tcW w:w="690" w:type="dxa"/>
            <w:hideMark/>
          </w:tcPr>
          <w:p w14:paraId="141A863D"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5" w:type="dxa"/>
            <w:hideMark/>
          </w:tcPr>
          <w:p w14:paraId="589C9239"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Control Chart</w:t>
            </w:r>
          </w:p>
        </w:tc>
        <w:tc>
          <w:tcPr>
            <w:tcW w:w="1098" w:type="dxa"/>
            <w:hideMark/>
          </w:tcPr>
          <w:p w14:paraId="09A27A2A"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Quantitative</w:t>
            </w:r>
          </w:p>
        </w:tc>
        <w:tc>
          <w:tcPr>
            <w:tcW w:w="961" w:type="dxa"/>
            <w:hideMark/>
          </w:tcPr>
          <w:p w14:paraId="39354E7D"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962" w:type="dxa"/>
            <w:gridSpan w:val="2"/>
            <w:hideMark/>
          </w:tcPr>
          <w:p w14:paraId="4D10D1D9" w14:textId="6504A1CE"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Yes</w:t>
            </w:r>
          </w:p>
        </w:tc>
        <w:tc>
          <w:tcPr>
            <w:tcW w:w="1393" w:type="dxa"/>
            <w:hideMark/>
          </w:tcPr>
          <w:p w14:paraId="194F53C4" w14:textId="022B797D"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Internally developed knowledge - Logical visualising and description</w:t>
            </w:r>
          </w:p>
        </w:tc>
      </w:tr>
      <w:tr w:rsidR="00E42F62" w:rsidRPr="001F040C" w14:paraId="3156C414" w14:textId="0B276777" w:rsidTr="002118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16FD9F1D" w14:textId="612B33CF"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"10.1542/hpeds.2014-0235", "ISBN" : "2154-1663 (Print)\\r2154-1671", "ISSN" : "21541663", "PMID" : "26330247", "abstract" : "OBJECTIVE: Previous studies have shown that inpatients and families in academic settings have a limited ability to recall either their medical team members or the roles of those members. This is an important issue for patient and family satisfaction as well as patient safety. The objective of this study was to increase families' recognition of medical team members' roles. METHODS: We established a multidisciplinary quality improvement leadership team, measured family recognition of medical team members and their roles, and conducted 2 PDSA (Plan-Do-Study-Act) cycles. The first intervention was standardization of the content and delivery of our verbal team introductions to ensure inclusion of essential elements and family engagement. The second intervention was addition of an informational white board in each patient room. The prospective study included 105 families in the preintervention phase, 103 post-PDSA cycle 1, and 92 post-PDSA cycle 2. RESULTS: After conduction of 2 PDSA cycles, the recognition of the attending role increased from 49% to 87% (P = .000), the resident role from 39% to 73% (P = .000), and the medical student from 75% to 89% (P = .038). CONCLUSIONS: The multidisciplinary quality improvement model was effective in improving family recognition of the roles of attending physicians, resident physicians, and medical students. Consistent attention to engaging the families and explaining our roles as well as providing informational white boards are effective interventions to facilitate this process.", "author" : [ { "dropping-particle" : "", "family" : "Hayes", "given" : "Rebecca M.", "non-dropping-particle" : "", "parse-names" : false, "suffix" : "" }, { "dropping-particle" : "", "family" : "Wickline", "given" : "Afton", "non-dropping-particle" : "", "parse-names" : false, "suffix" : "" }, { "dropping-particle" : "", "family" : "Hensley", "given" : "Christina", "non-dropping-particle" : "", "parse-names" : false, "suffix" : "" }, { "dropping-particle" : "", "family" : "Cowen", "given" : "Kelsey", "non-dropping-particle" : "", "parse-names" : false, "suffix" : "" }, { "dropping-particle" : "", "family" : "Jessie", "given" : "Ashley", "non-dropping-particle" : "", "parse-names" : false, "suffix" : "" }, { "dropping-particle" : "", "family" : "Akers", "given" : "Melanie", "non-dropping-particle" : "", "parse-names" : false, "suffix" : "" }, { "dropping-particle" : "", "family" : "Dolan", "given" : "Jenna", "non-dropping-particle" : "", "parse-names" : false, "suffix" : "" }, { "dropping-particle" : "", "family" : "Pritt", "given" : "Audra", "non-dropping-particle" : "", "parse-names" : false, "suffix" : "" }, { "dropping-particle" : "", "family" : "Goodrich", "given" : "Shea", "non-dropping-particle" : "", "parse-names" : false, "suffix" : "" }, { "dropping-particle" : "", "family" : "O'Neill", "given" : "Kelly", "non-dropping-particle" : "", "parse-names" : false, "suffix" : "" }, { "dropping-particle" : "", "family" : "Flesher", "given" : "Susan L.", "non-dropping-particle" : "", "parse-names" : false, "suffix" : "" } ], "container-title" : "Hospital pediatrics", "id" : "ITEM-1", "issue" : "9", "issued" : { "date-parts" : [ [ "2015" ] ] }, "page" : "480-486", "title" : "A Quality Improvement Project to Improve Family Recognition of Medical Team Member Roles", "type" : "article-journal", "volume" : "5" }, "uris" : [ "http://www.mendeley.com/documents/?uuid=fecabf0b-797d-4aba-8e68-9a190c1a7cf9" ] } ], "mendeley" : { "formattedCitation" : "[37]", "plainTextFormattedCitation" : "[37]", "previouslyFormattedCitation" : "[37]" }, "properties" : {  }, "schema" : "https://github.com/citation-style-language/schema/raw/master/csl-citation.json" }</w:instrText>
            </w:r>
            <w:r w:rsidRPr="001F040C">
              <w:rPr>
                <w:sz w:val="16"/>
                <w:szCs w:val="16"/>
              </w:rPr>
              <w:fldChar w:fldCharType="separate"/>
            </w:r>
            <w:r w:rsidRPr="0056067F">
              <w:rPr>
                <w:noProof/>
                <w:sz w:val="16"/>
                <w:szCs w:val="16"/>
              </w:rPr>
              <w:t>[37]</w:t>
            </w:r>
            <w:r w:rsidRPr="001F040C">
              <w:rPr>
                <w:sz w:val="16"/>
                <w:szCs w:val="16"/>
              </w:rPr>
              <w:fldChar w:fldCharType="end"/>
            </w:r>
            <w:r w:rsidRPr="001F040C">
              <w:rPr>
                <w:sz w:val="16"/>
                <w:szCs w:val="16"/>
              </w:rPr>
              <w:t xml:space="preserve"> Hayes</w:t>
            </w:r>
          </w:p>
        </w:tc>
        <w:tc>
          <w:tcPr>
            <w:tcW w:w="689" w:type="dxa"/>
            <w:hideMark/>
          </w:tcPr>
          <w:p w14:paraId="1ACDEBDC" w14:textId="735AC514"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3</w:t>
            </w:r>
          </w:p>
        </w:tc>
        <w:tc>
          <w:tcPr>
            <w:tcW w:w="554" w:type="dxa"/>
            <w:hideMark/>
          </w:tcPr>
          <w:p w14:paraId="68DE25F8"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826" w:type="dxa"/>
            <w:hideMark/>
          </w:tcPr>
          <w:p w14:paraId="2D638D23"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Multiple isolated cycles</w:t>
            </w:r>
          </w:p>
        </w:tc>
        <w:tc>
          <w:tcPr>
            <w:tcW w:w="808" w:type="dxa"/>
            <w:hideMark/>
          </w:tcPr>
          <w:p w14:paraId="5F2A3CB9"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571" w:type="dxa"/>
            <w:hideMark/>
          </w:tcPr>
          <w:p w14:paraId="72686A35"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2ABF6DC3"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Testing</w:t>
            </w:r>
          </w:p>
        </w:tc>
        <w:tc>
          <w:tcPr>
            <w:tcW w:w="957" w:type="dxa"/>
            <w:hideMark/>
          </w:tcPr>
          <w:p w14:paraId="6ECA04EA"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N/A</w:t>
            </w:r>
          </w:p>
        </w:tc>
        <w:tc>
          <w:tcPr>
            <w:tcW w:w="690" w:type="dxa"/>
            <w:hideMark/>
          </w:tcPr>
          <w:p w14:paraId="572B7F5D"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1098" w:type="dxa"/>
            <w:hideMark/>
          </w:tcPr>
          <w:p w14:paraId="3AC20474"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Irregular: Before and after, or per cycle</w:t>
            </w:r>
          </w:p>
        </w:tc>
        <w:tc>
          <w:tcPr>
            <w:tcW w:w="690" w:type="dxa"/>
            <w:hideMark/>
          </w:tcPr>
          <w:p w14:paraId="40319EAC"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5" w:type="dxa"/>
            <w:hideMark/>
          </w:tcPr>
          <w:p w14:paraId="4AA0FFBB"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N/A</w:t>
            </w:r>
          </w:p>
        </w:tc>
        <w:tc>
          <w:tcPr>
            <w:tcW w:w="1098" w:type="dxa"/>
            <w:hideMark/>
          </w:tcPr>
          <w:p w14:paraId="1D7F7B35"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Quantitative</w:t>
            </w:r>
          </w:p>
        </w:tc>
        <w:tc>
          <w:tcPr>
            <w:tcW w:w="961" w:type="dxa"/>
            <w:hideMark/>
          </w:tcPr>
          <w:p w14:paraId="3EA664AA"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962" w:type="dxa"/>
            <w:gridSpan w:val="2"/>
            <w:hideMark/>
          </w:tcPr>
          <w:p w14:paraId="1070A162" w14:textId="5250BA16"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Yes</w:t>
            </w:r>
          </w:p>
        </w:tc>
        <w:tc>
          <w:tcPr>
            <w:tcW w:w="1393" w:type="dxa"/>
            <w:hideMark/>
          </w:tcPr>
          <w:p w14:paraId="4BEBD4FD" w14:textId="5C2A638C"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Internally developed knowledge - Logical visualising and description</w:t>
            </w:r>
          </w:p>
        </w:tc>
      </w:tr>
      <w:tr w:rsidR="00E42F62" w:rsidRPr="001F040C" w14:paraId="343274B8" w14:textId="321EF942" w:rsidTr="002118F0">
        <w:trPr>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68AD08C2" w14:textId="3681FCA5"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"10.4158/EP161514.OR", "ISSN" : "1530-891X", "PMID" : "27849384", "abstract" : "OBJECTIVE: Outpatient specialty consultations rely on the timeliness and completeness of referral information to facilitate a valuable patient-specialist interaction. This project aimed to increase essential diagnostic information availability at the initial consultation for patients referred for common endocrine conditions frequently lacking such data-diabetes mellitus, thyroid nodule, thyrotoxicosis, and hypercalcemia. METHODS: At an endocrinology clinic at an academic medical center in rural New England, providers see several thousand new patients annually, the majority of whom are referred by providers external to the clinic's healthcare system. Through consensus, endocrinology clinic providers agreed on the two or three data elements essential for a meaningful initial consultation for each. A quality improvement team employed a planned series of interventions based on previously published methods and an innovative approach: dissemination of a referral guideline, an assessment of referral adequacy in the endocrinology clinic workflow, coupled with focused requests for missing items, and a pre-visit lab appointment. RESULTS: Between April 2015 and March 2016, 762 referrals were reviewed. At baseline for the four conditions, referrals contained all essential elements only 27.5% (22 of 80) of the time. Over a 7-month period, the team implemented the interventions, with subsequent referrals containing all essential elements increasing to 75.5% (P&lt;.0001), largely attributable to the pre-visit lab appointment. CONCLUSION: Incoming referrals that lack essential information are a significant problem in specialty care and may adversely affect patient experience, provider satisfaction, and clinic efficiency. Improvement may require innovative approaches, such as the potentially transferable and generalizable ones employed here. ABBREVIATIONS: DHMC = Dartmouth-Hitchcock Medical Center EHR = electronic health record PDSA = Plan-Do-Study-Act.", "author" : [ { "dropping-particle" : "", "family" : "Hendrickson", "given" : "Chase D.", "non-dropping-particle" : "", "parse-names" : false, "suffix" : "" }, { "dropping-particle" : "", "family" : "Saini", "given" : "Saumya", "non-dropping-particle" : "", "parse-names" : false, "suffix" : "" }, { "dropping-particle" : "", "family" : "Pothuloori", "given" : "Avin", "non-dropping-particle" : "", "parse-names" : false, "suffix" : "" }, { "dropping-particle" : "", "family" : "Mecchella", "given" : "John N.", "non-dropping-particle" : "", "parse-names" : false, "suffix" : "" } ], "container-title" : "Endocrine Practice", "id" : "ITEM-1", "issue" : "2", "issued" : { "date-parts" : [ [ "2017" ] ] }, "page" : "190-198", "title" : "Assessing Referrals and Improving Information Availability for Consultations in an Academic Endocrinology Clinic", "type" : "article", "volume" : "23" }, "uris" : [ "http://www.mendeley.com/documents/?uuid=582b1c10-e66a-4ad2-b2d0-a22768cf9d83" ] } ], "mendeley" : { "formattedCitation" : "[38]", "plainTextFormattedCitation" : "[38]", "previouslyFormattedCitation" : "[38]" }, "properties" : {  }, "schema" : "https://github.com/citation-style-language/schema/raw/master/csl-citation.json" }</w:instrText>
            </w:r>
            <w:r w:rsidRPr="001F040C">
              <w:rPr>
                <w:sz w:val="16"/>
                <w:szCs w:val="16"/>
              </w:rPr>
              <w:fldChar w:fldCharType="separate"/>
            </w:r>
            <w:r w:rsidRPr="0056067F">
              <w:rPr>
                <w:noProof/>
                <w:sz w:val="16"/>
                <w:szCs w:val="16"/>
              </w:rPr>
              <w:t>[38]</w:t>
            </w:r>
            <w:r w:rsidRPr="001F040C">
              <w:rPr>
                <w:sz w:val="16"/>
                <w:szCs w:val="16"/>
              </w:rPr>
              <w:fldChar w:fldCharType="end"/>
            </w:r>
            <w:r w:rsidRPr="001F040C">
              <w:rPr>
                <w:sz w:val="16"/>
                <w:szCs w:val="16"/>
              </w:rPr>
              <w:t xml:space="preserve"> Hendricks</w:t>
            </w:r>
          </w:p>
        </w:tc>
        <w:tc>
          <w:tcPr>
            <w:tcW w:w="689" w:type="dxa"/>
            <w:hideMark/>
          </w:tcPr>
          <w:p w14:paraId="5135DDFB" w14:textId="5D6A80C6"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3</w:t>
            </w:r>
          </w:p>
        </w:tc>
        <w:tc>
          <w:tcPr>
            <w:tcW w:w="554" w:type="dxa"/>
            <w:hideMark/>
          </w:tcPr>
          <w:p w14:paraId="1A91C86B"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6" w:type="dxa"/>
            <w:hideMark/>
          </w:tcPr>
          <w:p w14:paraId="65C2695D"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Iterative chain</w:t>
            </w:r>
          </w:p>
        </w:tc>
        <w:tc>
          <w:tcPr>
            <w:tcW w:w="808" w:type="dxa"/>
            <w:hideMark/>
          </w:tcPr>
          <w:p w14:paraId="6E511356"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571" w:type="dxa"/>
            <w:hideMark/>
          </w:tcPr>
          <w:p w14:paraId="375FC26E"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6FB2B6EC"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Testing</w:t>
            </w:r>
          </w:p>
        </w:tc>
        <w:tc>
          <w:tcPr>
            <w:tcW w:w="957" w:type="dxa"/>
            <w:hideMark/>
          </w:tcPr>
          <w:p w14:paraId="1445BA49"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N/A</w:t>
            </w:r>
          </w:p>
        </w:tc>
        <w:tc>
          <w:tcPr>
            <w:tcW w:w="690" w:type="dxa"/>
            <w:hideMark/>
          </w:tcPr>
          <w:p w14:paraId="52082F07"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1098" w:type="dxa"/>
            <w:hideMark/>
          </w:tcPr>
          <w:p w14:paraId="1F00F557"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Regular: Three datapoints or more</w:t>
            </w:r>
          </w:p>
        </w:tc>
        <w:tc>
          <w:tcPr>
            <w:tcW w:w="690" w:type="dxa"/>
            <w:hideMark/>
          </w:tcPr>
          <w:p w14:paraId="02D0BD43"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5" w:type="dxa"/>
            <w:hideMark/>
          </w:tcPr>
          <w:p w14:paraId="1CF95EBA"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Run Chart</w:t>
            </w:r>
          </w:p>
        </w:tc>
        <w:tc>
          <w:tcPr>
            <w:tcW w:w="1098" w:type="dxa"/>
            <w:hideMark/>
          </w:tcPr>
          <w:p w14:paraId="25B3BF92" w14:textId="4BDE0381"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 xml:space="preserve">Quantitative supplemented </w:t>
            </w:r>
          </w:p>
        </w:tc>
        <w:tc>
          <w:tcPr>
            <w:tcW w:w="961" w:type="dxa"/>
            <w:hideMark/>
          </w:tcPr>
          <w:p w14:paraId="7BC8FEC8"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2" w:type="dxa"/>
            <w:gridSpan w:val="2"/>
            <w:hideMark/>
          </w:tcPr>
          <w:p w14:paraId="68E32814" w14:textId="58F9987E"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Yes</w:t>
            </w:r>
          </w:p>
        </w:tc>
        <w:tc>
          <w:tcPr>
            <w:tcW w:w="1393" w:type="dxa"/>
            <w:hideMark/>
          </w:tcPr>
          <w:p w14:paraId="6D8576FB"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Combination of external and internal</w:t>
            </w:r>
          </w:p>
        </w:tc>
      </w:tr>
      <w:tr w:rsidR="00E42F62" w:rsidRPr="001F040C" w14:paraId="3FDECB7F" w14:textId="5235FE01" w:rsidTr="002118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0EB4824D" w14:textId="02096DCB"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"10.1542/peds.2015-2929", "ISBN" : "0031-4005", "ISSN" : "0031-4005", "PMID" : "27194629", "abstract" : "Dr Holmes conceptualized and designed the improvement initiative and the plan of study; led the project team meetings in phase 1; drafted the initial abstract, introduction, and discussion sections of the manuscript; and reviewed and revised the manuscript; Ms Atwood reviewed and abstracted patient charts, carried out the initial data analysis, drafted the initial results section of the manuscript, drafted the initial tables and fi gures, and reviewed and revised the manuscript; Dr Whalen participated in the project team meetings as newborn nursery medical director, led the community prenatal education sessions, and reviewed and revised the manuscript; Ms Beliveau led the project team meetings in phase 2, drafted the initial methods section of the manuscript, and reviewed and revised the manuscript; Ms Jarvis reviewed and abstracted patient charts, carried out the preliminary data analysis, and reviewed and revised the manuscript; Dr Matulis assisted with data analysis, constructed analyses of means and control charts, and reviewed and revised the manuscript; Dr Ralston participated in the project team meetings as pediatric hospital medicine section chief, assisted in data analysis, and reviewed and revised the manuscript; and all authors approved the fi nal manuscript as submitted.", "author" : [ { "dropping-particle" : "V.", "family" : "Holmes", "given" : "A.", "non-dropping-particle" : "", "parse-names" : false, "suffix" : "" }, { "dropping-particle" : "", "family" : "Atwood", "given" : "E. C.", "non-dropping-particle" : "", "parse-names" : false, "suffix" : "" }, { "dropping-particle" : "", "family" : "Whalen", "given" : "B.", "non-dropping-particle" : "", "parse-names" : false, "suffix" : "" }, { "dropping-particle" : "", "family" : "Beliveau", "given" : "J.", "non-dropping-particle" : "", "parse-names" : false, "suffix" : "" }, { "dropping-particle" : "", "family" : "Jarvis", "given" : "J. D.", "non-dropping-particle" : "", "parse-names" : false, "suffix" : "" }, { "dropping-particle" : "", "family" : "Matulis", "given" : "J. C.", "non-dropping-particle" : "", "parse-names" : false, "suffix" : "" }, { "dropping-particle" : "", "family" : "Ralston", "given" : "S. L.", "non-dropping-particle" : "", "parse-names" : false, "suffix" : "" } ], "container-title" : "Pediatrics", "id" : "ITEM-1", "issue" : "6", "issued" : { "date-parts" : [ [ "2016" ] ] }, "note" : "Henrik V. B. Laursen (2016-11-24 01:33:57)(Select): ingen adgang v aub\n;", "page" : "e20152929-e20152929", "publisher" : "by the American Academy of Pediatrics", "publisher-place" : "United States", "title" : "Rooming-In to Treat Neonatal Abstinence Syndrome: Improved Family-Centered Care at Lower Cost", "type" : "article-journal", "volume" : "137" }, "uris" : [ "http://www.mendeley.com/documents/?uuid=2bb3b559-7a65-47e1-850e-15b8c751766c" ] } ], "mendeley" : { "formattedCitation" : "[39]", "plainTextFormattedCitation" : "[39]", "previouslyFormattedCitation" : "[39]" }, "properties" : {  }, "schema" : "https://github.com/citation-style-language/schema/raw/master/csl-citation.json" }</w:instrText>
            </w:r>
            <w:r w:rsidRPr="001F040C">
              <w:rPr>
                <w:sz w:val="16"/>
                <w:szCs w:val="16"/>
              </w:rPr>
              <w:fldChar w:fldCharType="separate"/>
            </w:r>
            <w:r w:rsidRPr="0056067F">
              <w:rPr>
                <w:noProof/>
                <w:sz w:val="16"/>
                <w:szCs w:val="16"/>
              </w:rPr>
              <w:t>[39]</w:t>
            </w:r>
            <w:r w:rsidRPr="001F040C">
              <w:rPr>
                <w:sz w:val="16"/>
                <w:szCs w:val="16"/>
              </w:rPr>
              <w:fldChar w:fldCharType="end"/>
            </w:r>
            <w:r w:rsidRPr="001F040C">
              <w:rPr>
                <w:sz w:val="16"/>
                <w:szCs w:val="16"/>
              </w:rPr>
              <w:t xml:space="preserve"> Holmes</w:t>
            </w:r>
          </w:p>
        </w:tc>
        <w:tc>
          <w:tcPr>
            <w:tcW w:w="689" w:type="dxa"/>
            <w:hideMark/>
          </w:tcPr>
          <w:p w14:paraId="3DF77414" w14:textId="45F44026"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3</w:t>
            </w:r>
          </w:p>
        </w:tc>
        <w:tc>
          <w:tcPr>
            <w:tcW w:w="554" w:type="dxa"/>
            <w:hideMark/>
          </w:tcPr>
          <w:p w14:paraId="592CEE45"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6" w:type="dxa"/>
            <w:hideMark/>
          </w:tcPr>
          <w:p w14:paraId="2BBDA017"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Mix of iterative chains and isolated cycles</w:t>
            </w:r>
          </w:p>
        </w:tc>
        <w:tc>
          <w:tcPr>
            <w:tcW w:w="808" w:type="dxa"/>
            <w:hideMark/>
          </w:tcPr>
          <w:p w14:paraId="24B34FB9"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571" w:type="dxa"/>
            <w:hideMark/>
          </w:tcPr>
          <w:p w14:paraId="0E063CFC"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961" w:type="dxa"/>
            <w:gridSpan w:val="2"/>
            <w:hideMark/>
          </w:tcPr>
          <w:p w14:paraId="205E3BAF"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Testing and implementing</w:t>
            </w:r>
          </w:p>
        </w:tc>
        <w:tc>
          <w:tcPr>
            <w:tcW w:w="957" w:type="dxa"/>
            <w:hideMark/>
          </w:tcPr>
          <w:p w14:paraId="3FD8114D"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Unclear</w:t>
            </w:r>
          </w:p>
        </w:tc>
        <w:tc>
          <w:tcPr>
            <w:tcW w:w="690" w:type="dxa"/>
            <w:hideMark/>
          </w:tcPr>
          <w:p w14:paraId="5F1C86D8"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1098" w:type="dxa"/>
            <w:hideMark/>
          </w:tcPr>
          <w:p w14:paraId="646DFE6F"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Regular: Three datapoints or more</w:t>
            </w:r>
          </w:p>
        </w:tc>
        <w:tc>
          <w:tcPr>
            <w:tcW w:w="690" w:type="dxa"/>
            <w:hideMark/>
          </w:tcPr>
          <w:p w14:paraId="6AC6CCBA"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5" w:type="dxa"/>
            <w:hideMark/>
          </w:tcPr>
          <w:p w14:paraId="67A8E4B1"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Control Chart</w:t>
            </w:r>
          </w:p>
        </w:tc>
        <w:tc>
          <w:tcPr>
            <w:tcW w:w="1098" w:type="dxa"/>
            <w:hideMark/>
          </w:tcPr>
          <w:p w14:paraId="555A5482" w14:textId="1F39506B"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 xml:space="preserve">Quantitative supplemented </w:t>
            </w:r>
          </w:p>
        </w:tc>
        <w:tc>
          <w:tcPr>
            <w:tcW w:w="961" w:type="dxa"/>
            <w:hideMark/>
          </w:tcPr>
          <w:p w14:paraId="0568E2E3"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962" w:type="dxa"/>
            <w:gridSpan w:val="2"/>
            <w:hideMark/>
          </w:tcPr>
          <w:p w14:paraId="23D4C1E8" w14:textId="391B6BFA"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Yes</w:t>
            </w:r>
          </w:p>
        </w:tc>
        <w:tc>
          <w:tcPr>
            <w:tcW w:w="1393" w:type="dxa"/>
            <w:hideMark/>
          </w:tcPr>
          <w:p w14:paraId="341FB7E6"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Combination of external and internal</w:t>
            </w:r>
          </w:p>
        </w:tc>
      </w:tr>
      <w:tr w:rsidR="00E42F62" w:rsidRPr="001F040C" w14:paraId="189887F4" w14:textId="494A7875" w:rsidTr="002118F0">
        <w:trPr>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613191EA" w14:textId="45BA01BE"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"10.1097/NCQ.0000000000000076", "ISBN" : "0000000000000", "ISSN" : "15505065", "PMID" : "24977790", "abstract" : "This article describes a hospital unit's successful central line\u2013associated bloodstream infection reduction project. The focus is on decreasing and sustaining a low rate of infection by targeting improvement in central line maintenance. The Consolidated Framework for Implementation Re-search's 5 interacting domains (the intervention, inner and outer settings, individuals involved, and process) were used to guide the selection of 4 Plan-Do-Study-Act interventions. The rate decreased the rate from 3.2 to 0.6 infections per 1000 catheter-days. Key words: bacterial infections/prevention and control, central line\u2013associated bloodstream infections (CLAB-SIs), central venous/adverse effects, Consolidated Framework for Implementation Research, evidence-based nursing, Plan-Do-Study-Act T HE quest to eliminate central line\u2013 associated bloodstream infections (CLABSIs) continues to challenge health care clinicians. Approximately 70% of CLABSIs ap-pear preventable. 1 It has long been accepted that increased duration of a central line leads to higher infection rates 2 ; consequently, there may be more infections outside the intensive care units where central venous access is needed for extended periods of time. 3 During this time, patients can be colonized with hospital-acquired organisms and a catheter may be manipulated multiple times per day for the administration of fluids, drugs, and blood products. 4 Accessing the central line for blood drawing creates an additional opportunity for contamination. The Institute for Health Care Improve-ment's best practice recommendations are to use the Central Line Bundle that in-corporates a multimodal approach includ-ing hand washing, full barrier precautions, chlorhexidine for skin antisepsis, avoidance of femoral catheters, and removal of unneces-sary catheters. 5 However, in this group of hos-pitalized patients with long-term catheters, novel methods of surveillance, prevention, and treatment need to be developed to fur-ther reduce the incidence of CLABSIs. 6 The purpose of this article was to describe one acute care unit's successful nursing CLABSI re-duction project and the elements used to im-plement and sustain the results over 5 years.", "author" : [ { "dropping-particle" : "", "family" : "Jones", "given" : "Carla M.", "non-dropping-particle" : "", "parse-names" : false, "suffix" : "" }, { "dropping-particle" : "", "family" : "Stewart", "given" : "Cheryl", "non-dropping-particle" : "", "parse-names" : false, "suffix" : "" }, { "dropping-particle" : "", "family" : "Roszell", "given" : "Sheila Serr", "non-dropping-particle" : "", "parse-names" : false, "suffix" : "" } ], "container-title" : "Journal of Nursing Care Quality", "id" : "ITEM-1", "issue" : "1", "issued" : { "date-parts" : [ [ "2015" ] ] }, "note" : "Henrik V. B. Laursen (2016-11-24 22:41:17)(Select): ingen adgang via aub;", "page" : "24-30", "publisher-place" : "United States", "title" : "Beyond best practice implementing a unit-based CLABSI project", "type" : "article-journal", "volume" : "30" }, "uris" : [ "http://www.mendeley.com/documents/?uuid=afdec411-9e57-4c5b-8f90-b8441d480c14" ] } ], "mendeley" : { "formattedCitation" : "[40]", "plainTextFormattedCitation" : "[40]", "previouslyFormattedCitation" : "[40]" }, "properties" : {  }, "schema" : "https://github.com/citation-style-language/schema/raw/master/csl-citation.json" }</w:instrText>
            </w:r>
            <w:r w:rsidRPr="001F040C">
              <w:rPr>
                <w:sz w:val="16"/>
                <w:szCs w:val="16"/>
              </w:rPr>
              <w:fldChar w:fldCharType="separate"/>
            </w:r>
            <w:r w:rsidRPr="0056067F">
              <w:rPr>
                <w:noProof/>
                <w:sz w:val="16"/>
                <w:szCs w:val="16"/>
              </w:rPr>
              <w:t>[40]</w:t>
            </w:r>
            <w:r w:rsidRPr="001F040C">
              <w:rPr>
                <w:sz w:val="16"/>
                <w:szCs w:val="16"/>
              </w:rPr>
              <w:fldChar w:fldCharType="end"/>
            </w:r>
            <w:r w:rsidRPr="001F040C">
              <w:rPr>
                <w:sz w:val="16"/>
                <w:szCs w:val="16"/>
              </w:rPr>
              <w:t xml:space="preserve"> Jones</w:t>
            </w:r>
          </w:p>
        </w:tc>
        <w:tc>
          <w:tcPr>
            <w:tcW w:w="689" w:type="dxa"/>
            <w:hideMark/>
          </w:tcPr>
          <w:p w14:paraId="45B7A27D" w14:textId="2FBE5F4F"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3</w:t>
            </w:r>
          </w:p>
        </w:tc>
        <w:tc>
          <w:tcPr>
            <w:tcW w:w="554" w:type="dxa"/>
            <w:hideMark/>
          </w:tcPr>
          <w:p w14:paraId="30E15F24"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826" w:type="dxa"/>
            <w:hideMark/>
          </w:tcPr>
          <w:p w14:paraId="510BB7BA"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Multiple isolated cycles</w:t>
            </w:r>
          </w:p>
        </w:tc>
        <w:tc>
          <w:tcPr>
            <w:tcW w:w="808" w:type="dxa"/>
            <w:hideMark/>
          </w:tcPr>
          <w:p w14:paraId="499437A2"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571" w:type="dxa"/>
            <w:hideMark/>
          </w:tcPr>
          <w:p w14:paraId="56270C41"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330E019D"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Implementation</w:t>
            </w:r>
          </w:p>
        </w:tc>
        <w:tc>
          <w:tcPr>
            <w:tcW w:w="957" w:type="dxa"/>
            <w:hideMark/>
          </w:tcPr>
          <w:p w14:paraId="0A0D844A"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N/A</w:t>
            </w:r>
          </w:p>
        </w:tc>
        <w:tc>
          <w:tcPr>
            <w:tcW w:w="690" w:type="dxa"/>
            <w:hideMark/>
          </w:tcPr>
          <w:p w14:paraId="4398D330"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1098" w:type="dxa"/>
            <w:hideMark/>
          </w:tcPr>
          <w:p w14:paraId="58EABD24"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Regular: Three datapoints or more</w:t>
            </w:r>
          </w:p>
        </w:tc>
        <w:tc>
          <w:tcPr>
            <w:tcW w:w="690" w:type="dxa"/>
            <w:hideMark/>
          </w:tcPr>
          <w:p w14:paraId="4066ECB6"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5" w:type="dxa"/>
            <w:hideMark/>
          </w:tcPr>
          <w:p w14:paraId="4793EBC4"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Run Chart</w:t>
            </w:r>
          </w:p>
        </w:tc>
        <w:tc>
          <w:tcPr>
            <w:tcW w:w="1098" w:type="dxa"/>
            <w:hideMark/>
          </w:tcPr>
          <w:p w14:paraId="10C89C64"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Quantitative</w:t>
            </w:r>
          </w:p>
        </w:tc>
        <w:tc>
          <w:tcPr>
            <w:tcW w:w="961" w:type="dxa"/>
            <w:hideMark/>
          </w:tcPr>
          <w:p w14:paraId="7B24682A"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2" w:type="dxa"/>
            <w:gridSpan w:val="2"/>
            <w:hideMark/>
          </w:tcPr>
          <w:p w14:paraId="3EBD0A2B" w14:textId="5DF5B683"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Yes</w:t>
            </w:r>
          </w:p>
        </w:tc>
        <w:tc>
          <w:tcPr>
            <w:tcW w:w="1393" w:type="dxa"/>
            <w:hideMark/>
          </w:tcPr>
          <w:p w14:paraId="753BF7A6"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Combination of external and internal</w:t>
            </w:r>
          </w:p>
        </w:tc>
      </w:tr>
      <w:tr w:rsidR="00E42F62" w:rsidRPr="001F040C" w14:paraId="04125BE5" w14:textId="057AD6C0" w:rsidTr="002118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2EA45DCE" w14:textId="6559E17B"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"10.1136/bmjquality.u205967.w2458", "ISSN" : "2050-1315", "PMID" : "27933148", "abstract" : "The aim of the project was to improve patient experience for people in Tower Hamlets Specialist Addictions Unit in order to increase satisfaction by 25% in 12 months starting in August 2014. The team used the model for improvement as part of ELFT's quality improvement programme to support iterative cycles of testing and learning. This involved support from the Trust's quality improvement team. The theory of change was visualised through a driver diagram. A number of outcomes were measured and plotted over time - patient satisfaction, staff satisfaction, and attendance to peer support groups. The impact of changes was then observed using the plan, do, study, act (PDSA) cycles. The changes that positively influenced the outcomes were continued and ones without such impact were discontinued. The most successful intervention to improve patient satisfaction so far was the introduction of peer support facilitation for the \"Breakfast club\" - recovery orientated meeting of patients with less emphasis on the medical aspects of treatment. Staff satisfaction is proven to be one of the best determinants of patient experience, so this is also measured and plotted over time together with patient's satisfaction and attendance. Service user satisfaction improves attendance and outcomes in this difficult-to-engage group of patients (people with both substance misuse and mental health problems). Patient perspectives and priorities might be quite different to that of the clinical team, further supporting the importance of involving and engaging them in any quality improvement work. Involving peer support workers in improving engagement of people with substance misuse related problems appears essential.", "author" : [ { "dropping-particle" : "", "family" : "Kulik", "given" : "Wiktor", "non-dropping-particle" : "", "parse-names" : false, "suffix" : "" }, { "dropping-particle" : "", "family" : "Shah", "given" : "Amar", "non-dropping-particle" : "", "parse-names" : false, "suffix" : "" } ], "container-title" : "BMJ Quality Improvement Reports", "id" : "ITEM-1", "issue" : "1", "issued" : { "date-parts" : [ [ "2016" ] ] }, "page" : "u205967.w2458", "title" : "Role of peer support workers in improving patient experience in Tower Hamlets Specialist Addiction Unit", "type" : "article-journal", "volume" : "5" }, "uris" : [ "http://www.mendeley.com/documents/?uuid=8e11daa3-5ce1-4739-a5b5-33a6b456be8b" ] } ], "mendeley" : { "formattedCitation" : "[41]", "plainTextFormattedCitation" : "[41]", "previouslyFormattedCitation" : "[41]" }, "properties" : {  }, "schema" : "https://github.com/citation-style-language/schema/raw/master/csl-citation.json" }</w:instrText>
            </w:r>
            <w:r w:rsidRPr="001F040C">
              <w:rPr>
                <w:sz w:val="16"/>
                <w:szCs w:val="16"/>
              </w:rPr>
              <w:fldChar w:fldCharType="separate"/>
            </w:r>
            <w:r w:rsidRPr="0056067F">
              <w:rPr>
                <w:noProof/>
                <w:sz w:val="16"/>
                <w:szCs w:val="16"/>
              </w:rPr>
              <w:t>[41]</w:t>
            </w:r>
            <w:r w:rsidRPr="001F040C">
              <w:rPr>
                <w:sz w:val="16"/>
                <w:szCs w:val="16"/>
              </w:rPr>
              <w:fldChar w:fldCharType="end"/>
            </w:r>
            <w:r w:rsidRPr="001F040C">
              <w:rPr>
                <w:sz w:val="16"/>
                <w:szCs w:val="16"/>
              </w:rPr>
              <w:t>Kulik</w:t>
            </w:r>
          </w:p>
        </w:tc>
        <w:tc>
          <w:tcPr>
            <w:tcW w:w="689" w:type="dxa"/>
            <w:hideMark/>
          </w:tcPr>
          <w:p w14:paraId="72AF6A38" w14:textId="1C0C6AFC"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4</w:t>
            </w:r>
          </w:p>
        </w:tc>
        <w:tc>
          <w:tcPr>
            <w:tcW w:w="554" w:type="dxa"/>
            <w:hideMark/>
          </w:tcPr>
          <w:p w14:paraId="4E8AE3FF"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6" w:type="dxa"/>
            <w:hideMark/>
          </w:tcPr>
          <w:p w14:paraId="41599F01"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Iterative chain</w:t>
            </w:r>
          </w:p>
        </w:tc>
        <w:tc>
          <w:tcPr>
            <w:tcW w:w="808" w:type="dxa"/>
            <w:hideMark/>
          </w:tcPr>
          <w:p w14:paraId="2635BC63"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571" w:type="dxa"/>
            <w:hideMark/>
          </w:tcPr>
          <w:p w14:paraId="7688DF54"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7BEC90A6"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Testing</w:t>
            </w:r>
          </w:p>
        </w:tc>
        <w:tc>
          <w:tcPr>
            <w:tcW w:w="957" w:type="dxa"/>
            <w:hideMark/>
          </w:tcPr>
          <w:p w14:paraId="791BC963"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N/A</w:t>
            </w:r>
          </w:p>
        </w:tc>
        <w:tc>
          <w:tcPr>
            <w:tcW w:w="690" w:type="dxa"/>
            <w:hideMark/>
          </w:tcPr>
          <w:p w14:paraId="3A09C750"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1098" w:type="dxa"/>
            <w:hideMark/>
          </w:tcPr>
          <w:p w14:paraId="243014B7"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Regular: Three datapoints or more</w:t>
            </w:r>
          </w:p>
        </w:tc>
        <w:tc>
          <w:tcPr>
            <w:tcW w:w="690" w:type="dxa"/>
            <w:hideMark/>
          </w:tcPr>
          <w:p w14:paraId="63978359"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5" w:type="dxa"/>
            <w:hideMark/>
          </w:tcPr>
          <w:p w14:paraId="4696E97D"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Run Chart</w:t>
            </w:r>
          </w:p>
        </w:tc>
        <w:tc>
          <w:tcPr>
            <w:tcW w:w="1098" w:type="dxa"/>
            <w:hideMark/>
          </w:tcPr>
          <w:p w14:paraId="2688396D" w14:textId="74CEE991"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 xml:space="preserve">Quantitative supplemented </w:t>
            </w:r>
          </w:p>
        </w:tc>
        <w:tc>
          <w:tcPr>
            <w:tcW w:w="961" w:type="dxa"/>
            <w:hideMark/>
          </w:tcPr>
          <w:p w14:paraId="530FDC58"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962" w:type="dxa"/>
            <w:gridSpan w:val="2"/>
            <w:hideMark/>
          </w:tcPr>
          <w:p w14:paraId="2284FC54" w14:textId="4380B413"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Yes</w:t>
            </w:r>
          </w:p>
        </w:tc>
        <w:tc>
          <w:tcPr>
            <w:tcW w:w="1393" w:type="dxa"/>
            <w:hideMark/>
          </w:tcPr>
          <w:p w14:paraId="62D0EC9E"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Combination of external and internal</w:t>
            </w:r>
          </w:p>
        </w:tc>
      </w:tr>
      <w:tr w:rsidR="00E42F62" w:rsidRPr="001F040C" w14:paraId="62C2ADB1" w14:textId="460E5A74" w:rsidTr="002118F0">
        <w:trPr>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4F5C0248" w14:textId="19A41572"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"10.1016/j.jacr.2015.12.003 [doi]", "ISSN" : "1558349X", "abstract" : "Percutaneous renal transplant biopsy (PRTB) is the gold standard for evaluating allograft rejection after renal transplant. Hemorrhage is the predominant complication. We describe the implementation of a standardized protocol for PRTB at a single institution, with the aim of reducing bleeding complications. Utilizing the plan-do-study-act model for quality improvement, we created and deployed a protocol centered on controlling patient's hypertension, platelet function, and anticoagulation status. The 4-year study encompassed a total of 880 PRTBs, before and after implementation of the protocol. Total complication rate, which was 5.8% in the 2 years leading up to implementation of the protocol, was reduced to 2.9% after the protocol was introduced (P = .04). A standardized approach to PRTB can potentially lower complication rates; we present a framework for implementating a quality improvement protocol at other institutions.", "author" : [ { "dropping-particle" : "", "family" : "Li", "given" : "C H", "non-dropping-particle" : "", "parse-names" : false, "suffix" : "" }, { "dropping-particle" : "", "family" : "Traube", "given" : "L E", "non-dropping-particle" : "", "parse-names" : false, "suffix" : "" }, { "dropping-particle" : "", "family" : "Lu", "given" : "D S", "non-dropping-particle" : "", "parse-names" : false, "suffix" : "" }, { "dropping-particle" : "", "family" : "Raman", "given" : "S S", "non-dropping-particle" : "", "parse-names" : false, "suffix" : "" }, { "dropping-particle" : "", "family" : "...", "given" : "", "non-dropping-particle" : "", "parse-names" : false, "suffix" : "" } ], "container-title" : "Journal of the American \u2026", "id" : "ITEM-1", "issue" : "5 PG  - 549-553", "issued" : { "date-parts" : [ [ "2016" ] ] }, "note" : "S\u00f8ren Valgreen Knudsen (2016-12-01 03:30:16)(Select): de bruger det meget kort, men det er vel PDSA anvendelse; Henrik V. B. Laursen (2016-11-24 20:41:04)(Select): ingen adgang via aub;", "page" : "549-553", "publisher" : "American College of Radiology. Published by Elsevier Inc. All rights reserved", "publisher-place" : "United States", "title" : "Implementation and Results of a Percutaneous Renal Allograft Biopsy Protocol to Reduce Complication Rate", "type" : "article-journal", "volume" : "13" }, "uris" : [ "http://www.mendeley.com/documents/?uuid=01a90724-9165-45c7-b265-759b6af1161c" ] } ], "mendeley" : { "formattedCitation" : "[42]", "plainTextFormattedCitation" : "[42]", "previouslyFormattedCitation" : "[42]" }, "properties" : {  }, "schema" : "https://github.com/citation-style-language/schema/raw/master/csl-citation.json" }</w:instrText>
            </w:r>
            <w:r w:rsidRPr="001F040C">
              <w:rPr>
                <w:sz w:val="16"/>
                <w:szCs w:val="16"/>
              </w:rPr>
              <w:fldChar w:fldCharType="separate"/>
            </w:r>
            <w:r w:rsidRPr="0056067F">
              <w:rPr>
                <w:noProof/>
                <w:sz w:val="16"/>
                <w:szCs w:val="16"/>
              </w:rPr>
              <w:t>[42]</w:t>
            </w:r>
            <w:r w:rsidRPr="001F040C">
              <w:rPr>
                <w:sz w:val="16"/>
                <w:szCs w:val="16"/>
              </w:rPr>
              <w:fldChar w:fldCharType="end"/>
            </w:r>
            <w:r w:rsidRPr="001F040C">
              <w:rPr>
                <w:sz w:val="16"/>
                <w:szCs w:val="16"/>
              </w:rPr>
              <w:t xml:space="preserve"> Li</w:t>
            </w:r>
          </w:p>
        </w:tc>
        <w:tc>
          <w:tcPr>
            <w:tcW w:w="689" w:type="dxa"/>
            <w:hideMark/>
          </w:tcPr>
          <w:p w14:paraId="17D076CD" w14:textId="43050AB6"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4</w:t>
            </w:r>
          </w:p>
        </w:tc>
        <w:tc>
          <w:tcPr>
            <w:tcW w:w="554" w:type="dxa"/>
            <w:hideMark/>
          </w:tcPr>
          <w:p w14:paraId="336A4681"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826" w:type="dxa"/>
            <w:hideMark/>
          </w:tcPr>
          <w:p w14:paraId="0F1F86E7"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08" w:type="dxa"/>
            <w:hideMark/>
          </w:tcPr>
          <w:p w14:paraId="4786FCB2"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571" w:type="dxa"/>
            <w:hideMark/>
          </w:tcPr>
          <w:p w14:paraId="20991C05"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2CD4C01D"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Testing</w:t>
            </w:r>
          </w:p>
        </w:tc>
        <w:tc>
          <w:tcPr>
            <w:tcW w:w="957" w:type="dxa"/>
            <w:hideMark/>
          </w:tcPr>
          <w:p w14:paraId="7ECE29DE"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N/A</w:t>
            </w:r>
          </w:p>
        </w:tc>
        <w:tc>
          <w:tcPr>
            <w:tcW w:w="690" w:type="dxa"/>
            <w:hideMark/>
          </w:tcPr>
          <w:p w14:paraId="462928F4"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1098" w:type="dxa"/>
            <w:hideMark/>
          </w:tcPr>
          <w:p w14:paraId="3414E37F"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A single data point, after cycle</w:t>
            </w:r>
          </w:p>
        </w:tc>
        <w:tc>
          <w:tcPr>
            <w:tcW w:w="690" w:type="dxa"/>
            <w:hideMark/>
          </w:tcPr>
          <w:p w14:paraId="20684439"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5" w:type="dxa"/>
            <w:hideMark/>
          </w:tcPr>
          <w:p w14:paraId="5B0E0450"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N/A</w:t>
            </w:r>
          </w:p>
        </w:tc>
        <w:tc>
          <w:tcPr>
            <w:tcW w:w="1098" w:type="dxa"/>
            <w:hideMark/>
          </w:tcPr>
          <w:p w14:paraId="43C86773"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Quantitative</w:t>
            </w:r>
          </w:p>
        </w:tc>
        <w:tc>
          <w:tcPr>
            <w:tcW w:w="961" w:type="dxa"/>
            <w:hideMark/>
          </w:tcPr>
          <w:p w14:paraId="7A358050"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2" w:type="dxa"/>
            <w:gridSpan w:val="2"/>
            <w:hideMark/>
          </w:tcPr>
          <w:p w14:paraId="71887F96" w14:textId="170BF3BF"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Yes</w:t>
            </w:r>
          </w:p>
        </w:tc>
        <w:tc>
          <w:tcPr>
            <w:tcW w:w="1393" w:type="dxa"/>
            <w:hideMark/>
          </w:tcPr>
          <w:p w14:paraId="1C938785"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Combination of external and internal</w:t>
            </w:r>
          </w:p>
        </w:tc>
      </w:tr>
      <w:tr w:rsidR="00E42F62" w:rsidRPr="001F040C" w14:paraId="24673031" w14:textId="30B512B8" w:rsidTr="002118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618E37DD" w14:textId="59FF5B52"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"10.1177/1043454215610490", "ISBN" : "1043-4542", "ISSN" : "15328457", "PMID" : "26668214", "abstract" : "The administration of chemotherapy to children with cancer is a high-risk process that must be performed in a safe and consistent manner with high reliability. Clinical trials play a major role in the treatment of children with cancer; conformance to chemotherapy protocol requirements and accurate documentation in the medical record are critical. Inconsistencies in the administration and documentation of chemotherapy were identified as opportunities for errors to occur. A major process improvement was initiated to establish best practices for nurses who administer chemotherapy to children. An interdisciplinary team was formed to evaluate the current process and to develop best practices based on current evidence, protocol requirements, available resources, and safety requirements. The process improvement focused on the establishment of standardized and safe administration techniques, exact administration times, and consistent electronic documentation that could easily be retrieved in medical record audits. Quality improvement tools including SBAR (Situation, Background, Assessment, Recommendation), process mapping, PDSA (Plan, Do. Study, Act) cycles, and quality metrics were used with this process improvement. The team established best practices in chemotherapy administration to children that have proven to be safe and reliable. Follow-up data have demonstrated that the project was highly successful and improved accuracy, patient and nurse safety, and effectiveness of chemotherapy administration.", "author" : [ { "dropping-particle" : "", "family" : "Looper", "given" : "Karen", "non-dropping-particle" : "", "parse-names" : false, "suffix" : "" }, { "dropping-particle" : "", "family" : "Winchester", "given" : "Kari", "non-dropping-particle" : "", "parse-names" : false, "suffix" : "" }, { "dropping-particle" : "", "family" : "Robinson", "given" : "Deborah", "non-dropping-particle" : "", "parse-names" : false, "suffix" : "" }, { "dropping-particle" : "", "family" : "Price", "given" : "Andrea", "non-dropping-particle" : "", "parse-names" : false, "suffix" : "" }, { "dropping-particle" : "", "family" : "Langley", "given" : "Rachel", "non-dropping-particle" : "", "parse-names" : false, "suffix" : "" }, { "dropping-particle" : "", "family" : "Martin", "given" : "Gina", "non-dropping-particle" : "", "parse-names" : false, "suffix" : "" }, { "dropping-particle" : "", "family" : "Jones", "given" : "Sally", "non-dropping-particle" : "", "parse-names" : false, "suffix" : "" }, { "dropping-particle" : "", "family" : "Holloway", "given" : "Jodi", "non-dropping-particle" : "", "parse-names" : false, "suffix" : "" }, { "dropping-particle" : "", "family" : "Rosenberg", "given" : "Susanne", "non-dropping-particle" : "", "parse-names" : false, "suffix" : "" }, { "dropping-particle" : "", "family" : "Flake", "given" : "Susan", "non-dropping-particle" : "", "parse-names" : false, "suffix" : "" } ], "container-title" : "Journal of Pediatric Oncology Nursing", "id" : "ITEM-1", "issue" : "3", "issued" : { "date-parts" : [ [ "2015" ] ] }, "page" : "165-172", "publisher" : "by Association of Pediatric Hematology/Oncology Nurses", "publisher-place" : "United States", "title" : "Best Practices for Chemotherapy Administration in Pediatric Oncology: Quality and Safety Process Improvements (2015)", "type" : "article-journal", "volume" : "33" }, "uris" : [ "http://www.mendeley.com/documents/?uuid=9f6fdaf4-90bb-443f-82ed-5f47faedcdda" ] } ], "mendeley" : { "formattedCitation" : "[43]", "plainTextFormattedCitation" : "[43]", "previouslyFormattedCitation" : "[43]" }, "properties" : {  }, "schema" : "https://github.com/citation-style-language/schema/raw/master/csl-citation.json" }</w:instrText>
            </w:r>
            <w:r w:rsidRPr="001F040C">
              <w:rPr>
                <w:sz w:val="16"/>
                <w:szCs w:val="16"/>
              </w:rPr>
              <w:fldChar w:fldCharType="separate"/>
            </w:r>
            <w:r w:rsidRPr="0056067F">
              <w:rPr>
                <w:noProof/>
                <w:sz w:val="16"/>
                <w:szCs w:val="16"/>
              </w:rPr>
              <w:t>[43]</w:t>
            </w:r>
            <w:r w:rsidRPr="001F040C">
              <w:rPr>
                <w:sz w:val="16"/>
                <w:szCs w:val="16"/>
              </w:rPr>
              <w:fldChar w:fldCharType="end"/>
            </w:r>
            <w:r w:rsidRPr="001F040C">
              <w:rPr>
                <w:sz w:val="16"/>
                <w:szCs w:val="16"/>
              </w:rPr>
              <w:t xml:space="preserve"> Looper</w:t>
            </w:r>
          </w:p>
        </w:tc>
        <w:tc>
          <w:tcPr>
            <w:tcW w:w="689" w:type="dxa"/>
            <w:hideMark/>
          </w:tcPr>
          <w:p w14:paraId="28020DF3" w14:textId="0217FD62"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3</w:t>
            </w:r>
          </w:p>
        </w:tc>
        <w:tc>
          <w:tcPr>
            <w:tcW w:w="554" w:type="dxa"/>
            <w:hideMark/>
          </w:tcPr>
          <w:p w14:paraId="71DDF5FF"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6" w:type="dxa"/>
            <w:hideMark/>
          </w:tcPr>
          <w:p w14:paraId="6B3325DB"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Iterative chain</w:t>
            </w:r>
          </w:p>
        </w:tc>
        <w:tc>
          <w:tcPr>
            <w:tcW w:w="808" w:type="dxa"/>
            <w:hideMark/>
          </w:tcPr>
          <w:p w14:paraId="244023E4"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571" w:type="dxa"/>
            <w:hideMark/>
          </w:tcPr>
          <w:p w14:paraId="4BADB9DE"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961" w:type="dxa"/>
            <w:gridSpan w:val="2"/>
            <w:hideMark/>
          </w:tcPr>
          <w:p w14:paraId="62C063E5"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Testing</w:t>
            </w:r>
          </w:p>
        </w:tc>
        <w:tc>
          <w:tcPr>
            <w:tcW w:w="957" w:type="dxa"/>
            <w:hideMark/>
          </w:tcPr>
          <w:p w14:paraId="6DF8F912"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Non-increasing</w:t>
            </w:r>
          </w:p>
        </w:tc>
        <w:tc>
          <w:tcPr>
            <w:tcW w:w="690" w:type="dxa"/>
            <w:hideMark/>
          </w:tcPr>
          <w:p w14:paraId="03782174"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1098" w:type="dxa"/>
            <w:hideMark/>
          </w:tcPr>
          <w:p w14:paraId="32A800A2"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Regular: Three datapoints or more</w:t>
            </w:r>
          </w:p>
        </w:tc>
        <w:tc>
          <w:tcPr>
            <w:tcW w:w="690" w:type="dxa"/>
            <w:hideMark/>
          </w:tcPr>
          <w:p w14:paraId="722D281B"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825" w:type="dxa"/>
            <w:hideMark/>
          </w:tcPr>
          <w:p w14:paraId="49688B2B"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Run Chart</w:t>
            </w:r>
          </w:p>
        </w:tc>
        <w:tc>
          <w:tcPr>
            <w:tcW w:w="1098" w:type="dxa"/>
            <w:hideMark/>
          </w:tcPr>
          <w:p w14:paraId="4AAFD819"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Quantitative</w:t>
            </w:r>
          </w:p>
        </w:tc>
        <w:tc>
          <w:tcPr>
            <w:tcW w:w="961" w:type="dxa"/>
            <w:hideMark/>
          </w:tcPr>
          <w:p w14:paraId="57020B00"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2" w:type="dxa"/>
            <w:gridSpan w:val="2"/>
            <w:hideMark/>
          </w:tcPr>
          <w:p w14:paraId="046CE9A0" w14:textId="5683DE28"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Yes</w:t>
            </w:r>
          </w:p>
        </w:tc>
        <w:tc>
          <w:tcPr>
            <w:tcW w:w="1393" w:type="dxa"/>
            <w:hideMark/>
          </w:tcPr>
          <w:p w14:paraId="614B64CE"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Not stated</w:t>
            </w:r>
          </w:p>
        </w:tc>
      </w:tr>
      <w:tr w:rsidR="00E42F62" w:rsidRPr="001F040C" w14:paraId="70FFFA87" w14:textId="5364A878" w:rsidTr="002118F0">
        <w:trPr>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25B09D39" w14:textId="1BF4D85A"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"10.1136/bmjquality.u209473.w3887 [doi]", "ISSN" : "2050-1315", "abstract" : "Gulshan &amp; Nanji Orthopaedic and Plastics Center at the North York General Hospital is the second busiest site after the emergency department serving more than 26,000 patients annually. Increase in patient flow, overworked staff, and recent renovations to the hospital have resulted in patients experiencing long wait times, and thusly patient dissatisfaction and stress. Several factors contribute to patient dissatisfaction and stress: i) poor and unfriendly signage; ii) inconsistent utilization of the numbering system; and iii) difficulty navigating to and from the imaging center. A multidisciplinary QI team was assembled to improve the patient experience. We developed a questionnaire to assess patient stress levels at the baseline. Overall, more than half of the patients (54.8%) strongly agreed or agreed to having a stressful waiting experience. Subsequently, based on patient feedback and staff perspectives, we implemented two PDSA cycles. For PDSA 1, we placed a floor graphic (i.e. black tape) to assist patients in navigating from the clinic to the imaging centre and back. For PDSA 2, we involved creating a single 21\"x32\" patient-friendly sign at the entrance to welcome patients, with clear instructions outlining registration procedures. Surveys were re-administered to assess patient stress levels. A combination of both interventions caused a statistically significant reduction in patient stress levels based on the Kruskal-Wallis and Mann-Whitney U Tests. The present project highlighted the importance of involving stakeholders as well as frontline staff when undertaking quality improvement projects as a way to identify bottlenecks as well as establish sustainable solutions. Additionally, the team recognized the importance of incorporating empirical based solutions and involving experts in the field to optimize results. The present project successfully implemented strategies to improve patient satisfaction and reduce stress in a high flow community clinic. These endpoints were achieved by incorporating patient friendly signage, as well as improving patient flow directors.", "author" : [ { "dropping-particle" : "", "family" : "Maqbool", "given" : "T", "non-dropping-particle" : "", "parse-names" : false, "suffix" : "" }, { "dropping-particle" : "", "family" : "Raju", "given" : "S", "non-dropping-particle" : "", "parse-names" : false, "suffix" : "" }, { "dropping-particle" : "", "family" : "In", "given" : "E", "non-dropping-particle" : "", "parse-names" : false, "suffix" : "" } ], "container-title" : "BMJ quality improvement reports", "id" : "ITEM-1", "issue" : "1 PG  - 10.1136/bmjquality.u209473.w3887. eCollection 2016", "issued" : { "date-parts" : [ [ "2016" ] ] }, "note" : "Henrik V. B. Laursen (2016-11-24 20:20:41)(Select): suppl 1 og 2: http://qir.bmj.com/content/5/1/u209473.w3887/suppl/DC1\nhttp://qir.bmj.com/content/5/1/u209473.w3887/suppl/DC2;", "page" : "10.1136/bmjquality.u209473.w3887. eCollection 2016", "publisher-place" : "England", "title" : "Importance of patient-centred signage and navigation guide in an orthopaedic and plastics clinic", "type" : "article-journal", "volume" : "5" }, "uris" : [ "http://www.mendeley.com/documents/?uuid=1c877af5-6c7d-4d17-b979-054a6d8fe1e2" ] } ], "mendeley" : { "formattedCitation" : "[44]", "plainTextFormattedCitation" : "[44]", "previouslyFormattedCitation" : "[44]" }, "properties" : {  }, "schema" : "https://github.com/citation-style-language/schema/raw/master/csl-citation.json" }</w:instrText>
            </w:r>
            <w:r w:rsidRPr="001F040C">
              <w:rPr>
                <w:sz w:val="16"/>
                <w:szCs w:val="16"/>
              </w:rPr>
              <w:fldChar w:fldCharType="separate"/>
            </w:r>
            <w:r w:rsidRPr="0056067F">
              <w:rPr>
                <w:noProof/>
                <w:sz w:val="16"/>
                <w:szCs w:val="16"/>
              </w:rPr>
              <w:t>[44]</w:t>
            </w:r>
            <w:r w:rsidRPr="001F040C">
              <w:rPr>
                <w:sz w:val="16"/>
                <w:szCs w:val="16"/>
              </w:rPr>
              <w:fldChar w:fldCharType="end"/>
            </w:r>
            <w:r w:rsidRPr="001F040C">
              <w:rPr>
                <w:sz w:val="16"/>
                <w:szCs w:val="16"/>
              </w:rPr>
              <w:t xml:space="preserve"> Maqbool</w:t>
            </w:r>
          </w:p>
        </w:tc>
        <w:tc>
          <w:tcPr>
            <w:tcW w:w="689" w:type="dxa"/>
            <w:hideMark/>
          </w:tcPr>
          <w:p w14:paraId="038C49E2" w14:textId="242AD7BB"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3</w:t>
            </w:r>
          </w:p>
        </w:tc>
        <w:tc>
          <w:tcPr>
            <w:tcW w:w="554" w:type="dxa"/>
            <w:hideMark/>
          </w:tcPr>
          <w:p w14:paraId="37FB2317"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826" w:type="dxa"/>
            <w:hideMark/>
          </w:tcPr>
          <w:p w14:paraId="387E07D7"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 xml:space="preserve">Multiple isolated </w:t>
            </w:r>
            <w:r w:rsidRPr="001F040C">
              <w:rPr>
                <w:sz w:val="16"/>
                <w:szCs w:val="16"/>
              </w:rPr>
              <w:lastRenderedPageBreak/>
              <w:t>cycles</w:t>
            </w:r>
          </w:p>
        </w:tc>
        <w:tc>
          <w:tcPr>
            <w:tcW w:w="808" w:type="dxa"/>
            <w:hideMark/>
          </w:tcPr>
          <w:p w14:paraId="55FF9ED1"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lastRenderedPageBreak/>
              <w:t>No</w:t>
            </w:r>
          </w:p>
        </w:tc>
        <w:tc>
          <w:tcPr>
            <w:tcW w:w="571" w:type="dxa"/>
            <w:hideMark/>
          </w:tcPr>
          <w:p w14:paraId="4A7C9E5A"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29D3C826"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Testing</w:t>
            </w:r>
          </w:p>
        </w:tc>
        <w:tc>
          <w:tcPr>
            <w:tcW w:w="957" w:type="dxa"/>
            <w:hideMark/>
          </w:tcPr>
          <w:p w14:paraId="1B1DD67F"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N/A</w:t>
            </w:r>
          </w:p>
        </w:tc>
        <w:tc>
          <w:tcPr>
            <w:tcW w:w="690" w:type="dxa"/>
            <w:hideMark/>
          </w:tcPr>
          <w:p w14:paraId="62BA81B4"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1098" w:type="dxa"/>
            <w:hideMark/>
          </w:tcPr>
          <w:p w14:paraId="280EBFBE"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 xml:space="preserve">Irregular: Before and </w:t>
            </w:r>
            <w:r w:rsidRPr="001F040C">
              <w:rPr>
                <w:sz w:val="16"/>
                <w:szCs w:val="16"/>
              </w:rPr>
              <w:lastRenderedPageBreak/>
              <w:t>after, or per cycle</w:t>
            </w:r>
          </w:p>
        </w:tc>
        <w:tc>
          <w:tcPr>
            <w:tcW w:w="690" w:type="dxa"/>
            <w:hideMark/>
          </w:tcPr>
          <w:p w14:paraId="58DE9E55"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lastRenderedPageBreak/>
              <w:t>Yes</w:t>
            </w:r>
          </w:p>
        </w:tc>
        <w:tc>
          <w:tcPr>
            <w:tcW w:w="825" w:type="dxa"/>
            <w:hideMark/>
          </w:tcPr>
          <w:p w14:paraId="6F6D1990"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N/A</w:t>
            </w:r>
          </w:p>
        </w:tc>
        <w:tc>
          <w:tcPr>
            <w:tcW w:w="1098" w:type="dxa"/>
            <w:hideMark/>
          </w:tcPr>
          <w:p w14:paraId="477A9EBA" w14:textId="40E35191"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Quantitative supplemente</w:t>
            </w:r>
            <w:r w:rsidRPr="001F040C">
              <w:rPr>
                <w:sz w:val="16"/>
                <w:szCs w:val="16"/>
              </w:rPr>
              <w:lastRenderedPageBreak/>
              <w:t xml:space="preserve">d </w:t>
            </w:r>
          </w:p>
        </w:tc>
        <w:tc>
          <w:tcPr>
            <w:tcW w:w="961" w:type="dxa"/>
            <w:hideMark/>
          </w:tcPr>
          <w:p w14:paraId="46281153"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lastRenderedPageBreak/>
              <w:t>No</w:t>
            </w:r>
          </w:p>
        </w:tc>
        <w:tc>
          <w:tcPr>
            <w:tcW w:w="962" w:type="dxa"/>
            <w:gridSpan w:val="2"/>
            <w:hideMark/>
          </w:tcPr>
          <w:p w14:paraId="0A2D6922" w14:textId="2BD3E1BF"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Yes</w:t>
            </w:r>
          </w:p>
        </w:tc>
        <w:tc>
          <w:tcPr>
            <w:tcW w:w="1393" w:type="dxa"/>
            <w:hideMark/>
          </w:tcPr>
          <w:p w14:paraId="0B26F7E0"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Not stated</w:t>
            </w:r>
          </w:p>
        </w:tc>
      </w:tr>
      <w:tr w:rsidR="00E42F62" w:rsidRPr="001F040C" w14:paraId="65760F8F" w14:textId="2CF8A63C" w:rsidTr="002118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273B090D" w14:textId="602535D4" w:rsidR="00E42F62" w:rsidRPr="001F040C" w:rsidRDefault="00E42F62" w:rsidP="0087558F">
            <w:pPr>
              <w:rPr>
                <w:sz w:val="16"/>
                <w:szCs w:val="16"/>
              </w:rPr>
            </w:pPr>
            <w:r w:rsidRPr="001F040C">
              <w:rPr>
                <w:sz w:val="16"/>
                <w:szCs w:val="16"/>
              </w:rPr>
              <w:lastRenderedPageBreak/>
              <w:fldChar w:fldCharType="begin" w:fldLock="1"/>
            </w:r>
            <w:r>
              <w:rPr>
                <w:sz w:val="16"/>
                <w:szCs w:val="16"/>
              </w:rPr>
              <w:instrText>ADDIN CSL_CITATION { "citationItems" : [ { "id" : "ITEM-1", "itemData" : { "DOI" : "10.1136/bmjquality.u207268.w2918", "ISSN" : "2050-1315", "PMID" : "26734325", "abstract" : "Quality of documentation is harder to quantify and incentivise, but it has a significant impact on patient care. Good discharge summaries facilitate continuity between secondary and primary care. The junior doctors' forum led this project to improve the quality of electronic discharge summaries (eDS). Baseline measurement revealed significant room for improvement. We measured the quality of 10 summaries per month (across all inpatient specialties), against 23 indicators from the revised Academy of Medical Royal Colleges (AoMRC) standards (2013) that were prioritised by GPs as a \"minimum dataset\". Junior doctors felt that the Trust's dual eDS systems were responsible for great variation in quality. This was confirmed by the results of a comparison audit of the systems in April 2014: one system greatly outperformed the other (57% mean compliance with iSoft clinical management (iCM) based system vs. 77% with InfoPath-based system). We recommended that the Trust move to a single eDS system, decommissioning the iCM-based system, and this proposal was approved by several Trust committees. We worked with information services, junior doctors, general practitioners and hospital physicians to develop and implement a generic template to further improve compliance with AoMRC standards. In August 2014, the iCM-based system was withdrawn, the new template went live, and training was delivered, coinciding with the changeover of junior doctors to minimise disruption. Median compliance increased from 66.7% to 77.8%. Quality of discharge summaries had improved across the specialties. There was a reduction in the number of complaints and positive qualitative feedback from general practitioners and junior doctors. Completion of discharge summaries within 24 hours was not affected by this change. There is still more to be done to improve quality; average compliance with the full AoMRC standards (39 indicators) is 59.5%. With the approval of the Trust executive committee further plan, do, study, act (PDSA) cycles are underway, working to improve the remaining specialty-specific templates.", "author" : [ { "dropping-particle" : "", "family" : "May-Miller", "given" : "Hannah", "non-dropping-particle" : "", "parse-names" : false, "suffix" : "" }, { "dropping-particle" : "", "family" : "Hayter", "given" : "Joanne", "non-dropping-particle" : "", "parse-names" : false, "suffix" : "" }, { "dropping-particle" : "", "family" : "Loewenthal", "given" : "Lola", "non-dropping-particle" : "", "parse-names" : false, "suffix" : "" }, { "dropping-particle" : "", "family" : "Hall", "given" : "Louis", "non-dropping-particle" : "", "parse-names" : false, "suffix" : "" }, { "dropping-particle" : "", "family" : "Hilbert", "given" : "Rebecca", "non-dropping-particle" : "", "parse-names" : false, "suffix" : "" }, { "dropping-particle" : "", "family" : "Quinn", "given" : "Michael", "non-dropping-particle" : "", "parse-names" : false, "suffix" : "" }, { "dropping-particle" : "", "family" : "Pearson", "given" : "Nicola", "non-dropping-particle" : "", "parse-names" : false, "suffix" : "" }, { "dropping-particle" : "", "family" : "Patel", "given" : "Alisha", "non-dropping-particle" : "", "parse-names" : false, "suffix" : "" }, { "dropping-particle" : "", "family" : "Law", "given" : "Rebekah", "non-dropping-particle" : "", "parse-names" : false, "suffix" : "" } ], "container-title" : "BMJ Quality Improvement Reports", "id" : "ITEM-1", "issue" : "1", "issued" : { "date-parts" : [ [ "2015" ] ] }, "note" : "Henrik V. B. Laursen (2016-11-24 06:03:48)(Select): http://qir.bmj.com/content/4/1/u207268.w2918/suppl/DC1;", "page" : "u207268.w2918", "publisher-place" : "England", "title" : "Improving the quality of discharge summaries: implementing updated Academy of Medical Royal Colleges standards at a district general hospital", "type" : "article-journal", "volume" : "4" }, "uris" : [ "http://www.mendeley.com/documents/?uuid=a7ac3001-ee82-4348-8701-7c4625f8e9c4" ] } ], "mendeley" : { "formattedCitation" : "[45]", "plainTextFormattedCitation" : "[45]", "previouslyFormattedCitation" : "[45]" }, "properties" : {  }, "schema" : "https://github.com/citation-style-language/schema/raw/master/csl-citation.json" }</w:instrText>
            </w:r>
            <w:r w:rsidRPr="001F040C">
              <w:rPr>
                <w:sz w:val="16"/>
                <w:szCs w:val="16"/>
              </w:rPr>
              <w:fldChar w:fldCharType="separate"/>
            </w:r>
            <w:r w:rsidRPr="0056067F">
              <w:rPr>
                <w:noProof/>
                <w:sz w:val="16"/>
                <w:szCs w:val="16"/>
              </w:rPr>
              <w:t>[45]</w:t>
            </w:r>
            <w:r w:rsidRPr="001F040C">
              <w:rPr>
                <w:sz w:val="16"/>
                <w:szCs w:val="16"/>
              </w:rPr>
              <w:fldChar w:fldCharType="end"/>
            </w:r>
            <w:r w:rsidRPr="001F040C">
              <w:rPr>
                <w:sz w:val="16"/>
                <w:szCs w:val="16"/>
              </w:rPr>
              <w:t xml:space="preserve"> May-Miller</w:t>
            </w:r>
          </w:p>
        </w:tc>
        <w:tc>
          <w:tcPr>
            <w:tcW w:w="689" w:type="dxa"/>
            <w:hideMark/>
          </w:tcPr>
          <w:p w14:paraId="1ED702E1" w14:textId="79531169"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3</w:t>
            </w:r>
          </w:p>
        </w:tc>
        <w:tc>
          <w:tcPr>
            <w:tcW w:w="554" w:type="dxa"/>
            <w:hideMark/>
          </w:tcPr>
          <w:p w14:paraId="39962C55"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6" w:type="dxa"/>
            <w:hideMark/>
          </w:tcPr>
          <w:p w14:paraId="512F945E"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Iterative chain</w:t>
            </w:r>
          </w:p>
        </w:tc>
        <w:tc>
          <w:tcPr>
            <w:tcW w:w="808" w:type="dxa"/>
            <w:hideMark/>
          </w:tcPr>
          <w:p w14:paraId="295BABAC"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571" w:type="dxa"/>
            <w:hideMark/>
          </w:tcPr>
          <w:p w14:paraId="3CD5B0F0"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6CF1BDA7"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Testing</w:t>
            </w:r>
          </w:p>
        </w:tc>
        <w:tc>
          <w:tcPr>
            <w:tcW w:w="957" w:type="dxa"/>
            <w:hideMark/>
          </w:tcPr>
          <w:p w14:paraId="1FFFA95E"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N/A</w:t>
            </w:r>
          </w:p>
        </w:tc>
        <w:tc>
          <w:tcPr>
            <w:tcW w:w="690" w:type="dxa"/>
            <w:hideMark/>
          </w:tcPr>
          <w:p w14:paraId="2E113F7C"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1098" w:type="dxa"/>
            <w:hideMark/>
          </w:tcPr>
          <w:p w14:paraId="66BD44B2"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Regular: Three datapoints or more</w:t>
            </w:r>
          </w:p>
        </w:tc>
        <w:tc>
          <w:tcPr>
            <w:tcW w:w="690" w:type="dxa"/>
            <w:hideMark/>
          </w:tcPr>
          <w:p w14:paraId="060159E7"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5" w:type="dxa"/>
            <w:hideMark/>
          </w:tcPr>
          <w:p w14:paraId="7CE2A258"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Run Chart</w:t>
            </w:r>
          </w:p>
        </w:tc>
        <w:tc>
          <w:tcPr>
            <w:tcW w:w="1098" w:type="dxa"/>
            <w:hideMark/>
          </w:tcPr>
          <w:p w14:paraId="1D7B0959"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Quantitative</w:t>
            </w:r>
          </w:p>
        </w:tc>
        <w:tc>
          <w:tcPr>
            <w:tcW w:w="961" w:type="dxa"/>
            <w:hideMark/>
          </w:tcPr>
          <w:p w14:paraId="14226D15"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2" w:type="dxa"/>
            <w:gridSpan w:val="2"/>
            <w:hideMark/>
          </w:tcPr>
          <w:p w14:paraId="07BF78A1" w14:textId="571F1A89"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Yes</w:t>
            </w:r>
          </w:p>
        </w:tc>
        <w:tc>
          <w:tcPr>
            <w:tcW w:w="1393" w:type="dxa"/>
            <w:hideMark/>
          </w:tcPr>
          <w:p w14:paraId="57835C3A" w14:textId="34E7386E"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 xml:space="preserve">External existing knowledge </w:t>
            </w:r>
            <w:r>
              <w:rPr>
                <w:sz w:val="16"/>
                <w:szCs w:val="16"/>
              </w:rPr>
              <w:t>–</w:t>
            </w:r>
            <w:r w:rsidRPr="001F040C">
              <w:rPr>
                <w:sz w:val="16"/>
                <w:szCs w:val="16"/>
              </w:rPr>
              <w:t xml:space="preserve"> Literature</w:t>
            </w:r>
            <w:r>
              <w:rPr>
                <w:sz w:val="16"/>
                <w:szCs w:val="16"/>
              </w:rPr>
              <w:t xml:space="preserve"> </w:t>
            </w:r>
            <w:r w:rsidRPr="001F040C">
              <w:rPr>
                <w:sz w:val="16"/>
                <w:szCs w:val="16"/>
              </w:rPr>
              <w:t>(EBM)</w:t>
            </w:r>
          </w:p>
        </w:tc>
      </w:tr>
      <w:tr w:rsidR="00E42F62" w:rsidRPr="001F040C" w14:paraId="3DAA2A49" w14:textId="6C3F6A74" w:rsidTr="002118F0">
        <w:trPr>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7D3FCFC4" w14:textId="0E8B4AF0"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"10.1136/bmjquality.u208717.w3667", "ISSN" : "2050-1315", "PMID" : "27096088", "abstract" : "The aim of this quality improvement (QI) project was to improve the uptake and comprehensiveness of bedside cognitive testing amongst liaison psychiatrists over an eight month period. The baseline measurement involved an audit of the practice of the neuropsychiatry liaison team over six months at the 840 bed St Thomas's Hospital in London, UK. Of 35 referrals, 21 patients were able, and suitable, for cognitive testing based on the referral data and clinical interview. Fourteen (66.6%) of these patients had an Addenbrooke's Cognitive Examination (ACE), while 5 (23.8%) had frontal testing. The frontal tests performed were variable and inconsistent. Two Plan-Do-Study-Act (PDSA) cycles were then conducted. Clear guidance was issued to the team on the use of the ACE or Montreal Cognitive Assessment (MoCA) in suitable patients, and how these can be supplemented by frontal testing. Given the inconsistency in the types and combination of frontal tests being conducted at baseline, a frontal lobe test sheet containing established tests was developed and implemented. In PDSA cycle 1, 100% (n=10) of able and suitable referrals had an ACE or MoCA while 100% had frontal testing (80% of these using the dedicated test sheet). In PDSA cycle 2, improvements were broadly maintained with 85.7% (n=6) of referrals having an ACE/MoCA and 85.7% having frontal testing (83.3% of these using the dedicated frontal test sheet). In conclusion, our team improved the uptake and comprehensiveness of bedside cognitive testing by changing existing practice with clear protocols regarding the use of the ACE/MoCA and the implementation of a frontal test sheet.", "author" : [ { "dropping-particle" : "", "family" : "McCormack", "given" : "Ruaidhri", "non-dropping-particle" : "", "parse-names" : false, "suffix" : "" } ], "container-title" : "BMJ quality improvement reports", "id" : "ITEM-1", "issue" : "1", "issued" : { "date-parts" : [ [ "2016" ] ] }, "page" : "1-6", "publisher-place" : "England", "title" : "Improving the uptake and comprehensiveness of bedside cognitive testing amongst liaison psychiatrists over an eight-month period.", "type" : "article-journal", "volume" : "5" }, "uris" : [ "http://www.mendeley.com/documents/?uuid=b8fbb28d-8167-4e2f-ae28-e8b721b2e606" ] } ], "mendeley" : { "formattedCitation" : "[46]", "plainTextFormattedCitation" : "[46]", "previouslyFormattedCitation" : "[46]" }, "properties" : {  }, "schema" : "https://github.com/citation-style-language/schema/raw/master/csl-citation.json" }</w:instrText>
            </w:r>
            <w:r w:rsidRPr="001F040C">
              <w:rPr>
                <w:sz w:val="16"/>
                <w:szCs w:val="16"/>
              </w:rPr>
              <w:fldChar w:fldCharType="separate"/>
            </w:r>
            <w:r w:rsidRPr="0056067F">
              <w:rPr>
                <w:noProof/>
                <w:sz w:val="16"/>
                <w:szCs w:val="16"/>
              </w:rPr>
              <w:t>[46]</w:t>
            </w:r>
            <w:r w:rsidRPr="001F040C">
              <w:rPr>
                <w:sz w:val="16"/>
                <w:szCs w:val="16"/>
              </w:rPr>
              <w:fldChar w:fldCharType="end"/>
            </w:r>
            <w:r w:rsidRPr="001F040C">
              <w:rPr>
                <w:sz w:val="16"/>
                <w:szCs w:val="16"/>
              </w:rPr>
              <w:t xml:space="preserve"> McCormack</w:t>
            </w:r>
          </w:p>
        </w:tc>
        <w:tc>
          <w:tcPr>
            <w:tcW w:w="689" w:type="dxa"/>
            <w:hideMark/>
          </w:tcPr>
          <w:p w14:paraId="141284D9" w14:textId="7A4C6EB3"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3</w:t>
            </w:r>
          </w:p>
        </w:tc>
        <w:tc>
          <w:tcPr>
            <w:tcW w:w="554" w:type="dxa"/>
            <w:hideMark/>
          </w:tcPr>
          <w:p w14:paraId="257F2903"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826" w:type="dxa"/>
            <w:hideMark/>
          </w:tcPr>
          <w:p w14:paraId="1A552A10"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Multiple isolated cycles</w:t>
            </w:r>
          </w:p>
        </w:tc>
        <w:tc>
          <w:tcPr>
            <w:tcW w:w="808" w:type="dxa"/>
            <w:hideMark/>
          </w:tcPr>
          <w:p w14:paraId="503B76B6"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571" w:type="dxa"/>
            <w:hideMark/>
          </w:tcPr>
          <w:p w14:paraId="14460839"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5DB63FF5"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Testing</w:t>
            </w:r>
          </w:p>
        </w:tc>
        <w:tc>
          <w:tcPr>
            <w:tcW w:w="957" w:type="dxa"/>
            <w:hideMark/>
          </w:tcPr>
          <w:p w14:paraId="7AB88529"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N/A</w:t>
            </w:r>
          </w:p>
        </w:tc>
        <w:tc>
          <w:tcPr>
            <w:tcW w:w="690" w:type="dxa"/>
            <w:hideMark/>
          </w:tcPr>
          <w:p w14:paraId="13D97846"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1098" w:type="dxa"/>
            <w:hideMark/>
          </w:tcPr>
          <w:p w14:paraId="18E7CB02"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Irregular: Before and after, or per cycle</w:t>
            </w:r>
          </w:p>
        </w:tc>
        <w:tc>
          <w:tcPr>
            <w:tcW w:w="690" w:type="dxa"/>
            <w:hideMark/>
          </w:tcPr>
          <w:p w14:paraId="0F63BA56"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5" w:type="dxa"/>
            <w:hideMark/>
          </w:tcPr>
          <w:p w14:paraId="7FF027F7"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N/A</w:t>
            </w:r>
          </w:p>
        </w:tc>
        <w:tc>
          <w:tcPr>
            <w:tcW w:w="1098" w:type="dxa"/>
            <w:hideMark/>
          </w:tcPr>
          <w:p w14:paraId="3B3A2DCF"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Quantitative</w:t>
            </w:r>
          </w:p>
        </w:tc>
        <w:tc>
          <w:tcPr>
            <w:tcW w:w="961" w:type="dxa"/>
            <w:hideMark/>
          </w:tcPr>
          <w:p w14:paraId="41FC3A70"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2" w:type="dxa"/>
            <w:gridSpan w:val="2"/>
            <w:hideMark/>
          </w:tcPr>
          <w:p w14:paraId="045AA52C" w14:textId="1CC7F264"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Yes</w:t>
            </w:r>
          </w:p>
        </w:tc>
        <w:tc>
          <w:tcPr>
            <w:tcW w:w="1393" w:type="dxa"/>
            <w:hideMark/>
          </w:tcPr>
          <w:p w14:paraId="247F2B3B"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Not stated</w:t>
            </w:r>
          </w:p>
        </w:tc>
      </w:tr>
      <w:tr w:rsidR="00E42F62" w:rsidRPr="001F040C" w14:paraId="7736EF29" w14:textId="59B97860" w:rsidTr="002118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442500AB" w14:textId="644FF425"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"S0891-5245(16)30158-4 [pii]", "abstract" : "INTRODUCTION: The purpose of this quality improvement project was to implement and evaluate a postpartum depression screening program using the Edinburgh Postnatal Depression Scale (EPDS) during well-child appointments up to 1 year of age at a private, faith-based primary care clinic. METHOD: The Plan-Do-Study-Act framework was used in this quality improvement project. The EPDS was administered to mothers ages 19 years and older at their infants' well-child appointments at a faith-based clinic in the Midwest. A score of 10 or higher was considered a positive result. The results were reviewed, and protocol changes were implemented every 2 weeks using the Plan-Do-Study-Act framework. RESULTS: A total of 35 mothers completed the EPDS during the 9-week implementation period. Of 37 mothers asked to participate, nearly all agreed (97.3%); there was one refusal (2.7%). Staff compliance rate with administering the EPDS was 78.7%; there were 10 missed opportunities (21.3%). There were five positive EPDS results (14.3%). Mothers who screened positive were between the ages of 20 and 44 years. Infant ages were between 2 weeks and 12 months. DISCUSSION: Screening mothers at well-child appointments can identify women with postpartum depression. Not doing so is a missed opportunity. The results of this project support the identification of postpartum depression by screening using the EPDS during well-child appointments up to 1 year of age.", "author" : [ { "dropping-particle" : "", "family" : "Mgonja", "given" : "S", "non-dropping-particle" : "", "parse-names" : false, "suffix" : "" }, { "dropping-particle" : "", "family" : "Schoening", "given" : "A", "non-dropping-particle" : "", "parse-names" : false, "suffix" : "" } ], "container-title" : "Journal of pediatric health care : official publication of National Association of Pediatric Nurse Associates &amp; Practitioners", "id" : "ITEM-1", "issue" : "Journal Article PG  -", "issued" : { "date-parts" : [ [ "2016" ] ] }, "note" : "Henrik V. B. Laursen (2016-12-01 21:07:17)(Select): de \u00f8ger ikke rigtigt kvali.. de bruger screening, og sammenligner det med noget national post partum depri i usa.. Jo m\u00e5ske det \u00f8ger kvali ift. at g\u00f8re opm\u00e6rksom p\u00e5 det.. inkluderer den.;", "publisher" : ". Published by Elsevier Inc", "publisher-place" : "United States", "title" : "Postpartum Depression Screening at Well-Child Appointments: A Quality Improvement Project", "type" : "article-journal" }, "uris" : [ "http://www.mendeley.com/documents/?uuid=4536a7df-72e5-41fd-9e9f-046fed6b505c" ] } ], "mendeley" : { "formattedCitation" : "[47]", "plainTextFormattedCitation" : "[47]", "previouslyFormattedCitation" : "[47]" }, "properties" : {  }, "schema" : "https://github.com/citation-style-language/schema/raw/master/csl-citation.json" }</w:instrText>
            </w:r>
            <w:r w:rsidRPr="001F040C">
              <w:rPr>
                <w:sz w:val="16"/>
                <w:szCs w:val="16"/>
              </w:rPr>
              <w:fldChar w:fldCharType="separate"/>
            </w:r>
            <w:r w:rsidRPr="0056067F">
              <w:rPr>
                <w:noProof/>
                <w:sz w:val="16"/>
                <w:szCs w:val="16"/>
              </w:rPr>
              <w:t>[47]</w:t>
            </w:r>
            <w:r w:rsidRPr="001F040C">
              <w:rPr>
                <w:sz w:val="16"/>
                <w:szCs w:val="16"/>
              </w:rPr>
              <w:fldChar w:fldCharType="end"/>
            </w:r>
            <w:r w:rsidRPr="001F040C">
              <w:rPr>
                <w:sz w:val="16"/>
                <w:szCs w:val="16"/>
              </w:rPr>
              <w:t xml:space="preserve"> Mgonja</w:t>
            </w:r>
          </w:p>
        </w:tc>
        <w:tc>
          <w:tcPr>
            <w:tcW w:w="689" w:type="dxa"/>
            <w:hideMark/>
          </w:tcPr>
          <w:p w14:paraId="5A978B44" w14:textId="67AA5E96"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3</w:t>
            </w:r>
          </w:p>
        </w:tc>
        <w:tc>
          <w:tcPr>
            <w:tcW w:w="554" w:type="dxa"/>
            <w:hideMark/>
          </w:tcPr>
          <w:p w14:paraId="02C6A62B"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826" w:type="dxa"/>
            <w:hideMark/>
          </w:tcPr>
          <w:p w14:paraId="19E179C5"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Multiple isolated cycles</w:t>
            </w:r>
          </w:p>
        </w:tc>
        <w:tc>
          <w:tcPr>
            <w:tcW w:w="808" w:type="dxa"/>
            <w:hideMark/>
          </w:tcPr>
          <w:p w14:paraId="7A092C3E"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571" w:type="dxa"/>
            <w:hideMark/>
          </w:tcPr>
          <w:p w14:paraId="4CF347C6"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2C155D82"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Implementation</w:t>
            </w:r>
          </w:p>
        </w:tc>
        <w:tc>
          <w:tcPr>
            <w:tcW w:w="957" w:type="dxa"/>
            <w:hideMark/>
          </w:tcPr>
          <w:p w14:paraId="05EFB9F7"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N/A</w:t>
            </w:r>
          </w:p>
        </w:tc>
        <w:tc>
          <w:tcPr>
            <w:tcW w:w="690" w:type="dxa"/>
            <w:hideMark/>
          </w:tcPr>
          <w:p w14:paraId="58BDF9EB"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1098" w:type="dxa"/>
            <w:hideMark/>
          </w:tcPr>
          <w:p w14:paraId="0B298743"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Regular: Three datapoints or more</w:t>
            </w:r>
          </w:p>
        </w:tc>
        <w:tc>
          <w:tcPr>
            <w:tcW w:w="690" w:type="dxa"/>
            <w:hideMark/>
          </w:tcPr>
          <w:p w14:paraId="5336D57A"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825" w:type="dxa"/>
            <w:hideMark/>
          </w:tcPr>
          <w:p w14:paraId="79A895BD"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Not stated</w:t>
            </w:r>
          </w:p>
        </w:tc>
        <w:tc>
          <w:tcPr>
            <w:tcW w:w="1098" w:type="dxa"/>
            <w:hideMark/>
          </w:tcPr>
          <w:p w14:paraId="53856D7E"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Quantitative</w:t>
            </w:r>
          </w:p>
        </w:tc>
        <w:tc>
          <w:tcPr>
            <w:tcW w:w="961" w:type="dxa"/>
            <w:hideMark/>
          </w:tcPr>
          <w:p w14:paraId="40C6621A"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2" w:type="dxa"/>
            <w:gridSpan w:val="2"/>
            <w:hideMark/>
          </w:tcPr>
          <w:p w14:paraId="15AE456E" w14:textId="54DB4582"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Yes</w:t>
            </w:r>
          </w:p>
        </w:tc>
        <w:tc>
          <w:tcPr>
            <w:tcW w:w="1393" w:type="dxa"/>
            <w:hideMark/>
          </w:tcPr>
          <w:p w14:paraId="59AA5976" w14:textId="4ADC8D68"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 xml:space="preserve">External existing knowledge </w:t>
            </w:r>
            <w:r>
              <w:rPr>
                <w:sz w:val="16"/>
                <w:szCs w:val="16"/>
              </w:rPr>
              <w:t>–</w:t>
            </w:r>
            <w:r w:rsidRPr="001F040C">
              <w:rPr>
                <w:sz w:val="16"/>
                <w:szCs w:val="16"/>
              </w:rPr>
              <w:t xml:space="preserve"> Literature</w:t>
            </w:r>
            <w:r>
              <w:rPr>
                <w:sz w:val="16"/>
                <w:szCs w:val="16"/>
              </w:rPr>
              <w:t xml:space="preserve"> </w:t>
            </w:r>
            <w:r w:rsidRPr="001F040C">
              <w:rPr>
                <w:sz w:val="16"/>
                <w:szCs w:val="16"/>
              </w:rPr>
              <w:t>(EBM)</w:t>
            </w:r>
          </w:p>
        </w:tc>
      </w:tr>
      <w:tr w:rsidR="00E42F62" w:rsidRPr="001F040C" w14:paraId="166DD9F5" w14:textId="66EFE4DE" w:rsidTr="002118F0">
        <w:trPr>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1181FC4C" w14:textId="77FF83CC"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"10.1016/j.cegh.2014.10.001", "ISSN" : "22133984", "abstract" : "Background: The objective was to redesign selection criteria for readmission cases to improve pick up rates of adverse events* for clinical reviews of inpatient medical records using a new methodology.*Adverse events: An unintended injury or complication resulting in increased length of hospital stay, temporary/permanent disability/death, caused by healthcare management.Level 1 AE's: Unpreventable events only for information of clinical departments.Level 2 AE's: Preventable/potentially preventable events reported to Heads of clinical departments.1,2aTrigger tools: The use of \"triggers\", or clues, to identify adverse events (AEs) is an effective method for measuring the overall level of harm in a health care organization.2bPDSA: An iterative four-step management method used for continuous improvement of processes.3. Methods: Selected screening criteria were applied in a series of quality improvement cycles with further modification to eliminate unnecessary cases. A checklist to simplify screening was implemented and a staff satisfaction survey conducted to check process efficacy. Results: Modification of selection criteria continuously improved review quality and accounted for better time management by the team. Conclusion: The project resulted in a significant increase in the total AE pick up rate of 94.23% as compared to the baseline of 80%. The level 1 and 2 AE rates also increased to 92.31% and 1.92% from the baseline rates of 75% and 0.2%.There was also noted to be a significant decrease of 80.98% in review time taken. These findings support the fact that an effective screening process for readmission review is beneficial and worth implementing.", "author" : [ { "dropping-particle" : "", "family" : "Minhas", "given" : "Aneeta", "non-dropping-particle" : "", "parse-names" : false, "suffix" : "" }, { "dropping-particle" : "", "family" : "Kyaw", "given" : "Tun Tun", "non-dropping-particle" : "", "parse-names" : false, "suffix" : "" }, { "dropping-particle" : "", "family" : "Ong", "given" : "Biauw Chi", "non-dropping-particle" : "", "parse-names" : false, "suffix" : "" } ], "container-title" : "Clinical Epidemiology and Global Health", "id" : "ITEM-1", "issue" : "2", "issued" : { "date-parts" : [ [ "2015" ] ] }, "page" : "66-71", "publisher" : "Elsevier Ltd", "title" : "Redesigning case selection methods to improve clinical review of inpatient medical records", "type" : "article-journal", "volume" : "3" }, "uris" : [ "http://www.mendeley.com/documents/?uuid=918d4901-2f9d-41a5-a38d-a1e29699989e" ] } ], "mendeley" : { "formattedCitation" : "[48]", "plainTextFormattedCitation" : "[48]", "previouslyFormattedCitation" : "[48]" }, "properties" : {  }, "schema" : "https://github.com/citation-style-language/schema/raw/master/csl-citation.json" }</w:instrText>
            </w:r>
            <w:r w:rsidRPr="001F040C">
              <w:rPr>
                <w:sz w:val="16"/>
                <w:szCs w:val="16"/>
              </w:rPr>
              <w:fldChar w:fldCharType="separate"/>
            </w:r>
            <w:r w:rsidRPr="0056067F">
              <w:rPr>
                <w:noProof/>
                <w:sz w:val="16"/>
                <w:szCs w:val="16"/>
              </w:rPr>
              <w:t>[48]</w:t>
            </w:r>
            <w:r w:rsidRPr="001F040C">
              <w:rPr>
                <w:sz w:val="16"/>
                <w:szCs w:val="16"/>
              </w:rPr>
              <w:fldChar w:fldCharType="end"/>
            </w:r>
            <w:r w:rsidRPr="001F040C">
              <w:rPr>
                <w:sz w:val="16"/>
                <w:szCs w:val="16"/>
              </w:rPr>
              <w:t xml:space="preserve"> Minhas</w:t>
            </w:r>
          </w:p>
        </w:tc>
        <w:tc>
          <w:tcPr>
            <w:tcW w:w="689" w:type="dxa"/>
            <w:hideMark/>
          </w:tcPr>
          <w:p w14:paraId="42B8A196" w14:textId="062EA26C"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3</w:t>
            </w:r>
          </w:p>
        </w:tc>
        <w:tc>
          <w:tcPr>
            <w:tcW w:w="554" w:type="dxa"/>
            <w:hideMark/>
          </w:tcPr>
          <w:p w14:paraId="401BD740"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6" w:type="dxa"/>
            <w:hideMark/>
          </w:tcPr>
          <w:p w14:paraId="071D9156"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Iterative chain</w:t>
            </w:r>
          </w:p>
        </w:tc>
        <w:tc>
          <w:tcPr>
            <w:tcW w:w="808" w:type="dxa"/>
            <w:hideMark/>
          </w:tcPr>
          <w:p w14:paraId="145D56FA"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571" w:type="dxa"/>
            <w:hideMark/>
          </w:tcPr>
          <w:p w14:paraId="5BDE7A47"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0105DE3F"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Testing and implementing</w:t>
            </w:r>
          </w:p>
        </w:tc>
        <w:tc>
          <w:tcPr>
            <w:tcW w:w="957" w:type="dxa"/>
            <w:hideMark/>
          </w:tcPr>
          <w:p w14:paraId="012FD5C1"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N/A</w:t>
            </w:r>
          </w:p>
        </w:tc>
        <w:tc>
          <w:tcPr>
            <w:tcW w:w="690" w:type="dxa"/>
            <w:hideMark/>
          </w:tcPr>
          <w:p w14:paraId="2327FCC5"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1098" w:type="dxa"/>
            <w:hideMark/>
          </w:tcPr>
          <w:p w14:paraId="5018D920"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Irregular: Before and after, or per cycle</w:t>
            </w:r>
          </w:p>
        </w:tc>
        <w:tc>
          <w:tcPr>
            <w:tcW w:w="690" w:type="dxa"/>
            <w:hideMark/>
          </w:tcPr>
          <w:p w14:paraId="644E7182"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5" w:type="dxa"/>
            <w:hideMark/>
          </w:tcPr>
          <w:p w14:paraId="30657852"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Run Chart</w:t>
            </w:r>
          </w:p>
        </w:tc>
        <w:tc>
          <w:tcPr>
            <w:tcW w:w="1098" w:type="dxa"/>
            <w:hideMark/>
          </w:tcPr>
          <w:p w14:paraId="3FC5B170" w14:textId="6BBD051C"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 xml:space="preserve">Quantitative supplemented </w:t>
            </w:r>
          </w:p>
        </w:tc>
        <w:tc>
          <w:tcPr>
            <w:tcW w:w="961" w:type="dxa"/>
            <w:hideMark/>
          </w:tcPr>
          <w:p w14:paraId="1E34F2C0"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2" w:type="dxa"/>
            <w:gridSpan w:val="2"/>
            <w:hideMark/>
          </w:tcPr>
          <w:p w14:paraId="70517A27"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Not stated</w:t>
            </w:r>
          </w:p>
        </w:tc>
        <w:tc>
          <w:tcPr>
            <w:tcW w:w="1393" w:type="dxa"/>
            <w:hideMark/>
          </w:tcPr>
          <w:p w14:paraId="00C8122C"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Not stated</w:t>
            </w:r>
          </w:p>
        </w:tc>
      </w:tr>
      <w:tr w:rsidR="00E42F62" w:rsidRPr="001F040C" w14:paraId="1ADB9F7B" w14:textId="5E69C6EA" w:rsidTr="002118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0F4F59C9" w14:textId="76893382"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"10.1136/bmjquality.u205944.w2432", "ISSN" : "2050-1315", "PMID" : "27239304", "abstract" : "Simple interventions resolve the problem of missed lab appointments. It is essential that patients complete ordered laboratory studies. This maintains clinical quality and, potentially, keeps patients safe from harm. In our academic family medicine practice, baseline data demonstrated patients completed 94.7% of labs as ordered (26850/28348 patients per year) while 1498 (5.3%) did not. Our baseline patient reminder process, a mail or portal based generic letter, resulted in only 449 (30%) of patients ultimately completing them (1049 [70%] did not). Our baseline system was 96.3 % reliable. This process did not allow for provider review or input, and was not personalized for patients. We designed a quality improvement project involving three PDSA (Plan, Do, Study, and Act) cycles of about two months each. Desk staff created weekly reports of unresolved lab orders. A message in the electronic medical record (EMR) solicited provider input. Providers could elect to cancel studies (if already completed, reordered, or no longer clinically indicated) or have the patient receive a personalized reminder, including provider name and associated diagnoses. This reminder was sent by patient portal secure messaging (if an account existed) or with a mailed letter. These interventions resulted in 98.8 % process reliability. The frequency of unresolved lab orders decreased from 70% at baseline to 25%. In the second PDSA cycle, we contacted patients by the portal only if there was evidence of an active account. Otherwise, they were contacted by telephone. Patients without a portal account continued to receive a letter by mail. These modified processes resulted in an overall reliability rate of 99.2%. The frequency of unresolved lab orders decreased to 17%. A final PDSA cycle utilized only telephone contact with patients with unresolved lab orders. Schedulers offered patients a choice of appointment dates if they spoke personally. Otherwise, they were left messages with a future lab appointment date two weeks later.Overall process reliability now increased to 100%. The frequency of unresolved lab orders decreased to 0%. Our interventions resulted in increased system reliability.Provider input was not perceived as burdensome. Desk staff work effort was not increased.Telephone patient contact resulted in more frequent lab order completion than other methods.", "author" : [ { "dropping-particle" : "", "family" : "Mookadam", "given" : "Martina", "non-dropping-particle" : "", "parse-names" : false, "suffix" : "" }, { "dropping-particle" : "", "family" : "Grover", "given" : "Michael", "non-dropping-particle" : "", "parse-names" : false, "suffix" : "" }, { "dropping-particle" : "", "family" : "Pullins", "given" : "Chris", "non-dropping-particle" : "", "parse-names" : false, "suffix" : "" }, { "dropping-particle" : "", "family" : "Winscott", "given" : "Mary", "non-dropping-particle" : "", "parse-names" : false, "suffix" : "" }, { "dropping-particle" : "", "family" : "Pierce", "given" : "Susan", "non-dropping-particle" : "", "parse-names" : false, "suffix" : "" } ], "container-title" : "BMJ Quality Improvement Reports", "id" : "ITEM-1", "issue" : "1", "issued" : { "date-parts" : [ [ "2016" ] ] }, "page" : "u205944.w2432", "publisher-place" : "England", "title" : "Simple Interventions Improve the Quality of a Missed Lab Appointment Process", "type" : "article-journal", "volume" : "5" }, "uris" : [ "http://www.mendeley.com/documents/?uuid=3404e1d2-5bda-470c-a0da-78d0e478de8c" ] } ], "mendeley" : { "formattedCitation" : "[49]", "plainTextFormattedCitation" : "[49]", "previouslyFormattedCitation" : "[49]" }, "properties" : {  }, "schema" : "https://github.com/citation-style-language/schema/raw/master/csl-citation.json" }</w:instrText>
            </w:r>
            <w:r w:rsidRPr="001F040C">
              <w:rPr>
                <w:sz w:val="16"/>
                <w:szCs w:val="16"/>
              </w:rPr>
              <w:fldChar w:fldCharType="separate"/>
            </w:r>
            <w:r w:rsidRPr="0056067F">
              <w:rPr>
                <w:noProof/>
                <w:sz w:val="16"/>
                <w:szCs w:val="16"/>
              </w:rPr>
              <w:t>[49]</w:t>
            </w:r>
            <w:r w:rsidRPr="001F040C">
              <w:rPr>
                <w:sz w:val="16"/>
                <w:szCs w:val="16"/>
              </w:rPr>
              <w:fldChar w:fldCharType="end"/>
            </w:r>
            <w:r w:rsidRPr="001F040C">
              <w:rPr>
                <w:sz w:val="16"/>
                <w:szCs w:val="16"/>
              </w:rPr>
              <w:t xml:space="preserve"> Mookadam</w:t>
            </w:r>
          </w:p>
        </w:tc>
        <w:tc>
          <w:tcPr>
            <w:tcW w:w="689" w:type="dxa"/>
            <w:hideMark/>
          </w:tcPr>
          <w:p w14:paraId="72342176" w14:textId="642D0681"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3</w:t>
            </w:r>
          </w:p>
        </w:tc>
        <w:tc>
          <w:tcPr>
            <w:tcW w:w="554" w:type="dxa"/>
            <w:hideMark/>
          </w:tcPr>
          <w:p w14:paraId="54F49F38"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6" w:type="dxa"/>
            <w:hideMark/>
          </w:tcPr>
          <w:p w14:paraId="478D066D"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Iterative chain</w:t>
            </w:r>
          </w:p>
        </w:tc>
        <w:tc>
          <w:tcPr>
            <w:tcW w:w="808" w:type="dxa"/>
            <w:hideMark/>
          </w:tcPr>
          <w:p w14:paraId="083C70B2"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571" w:type="dxa"/>
            <w:hideMark/>
          </w:tcPr>
          <w:p w14:paraId="11BC2220"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7975E7B5"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Testing</w:t>
            </w:r>
          </w:p>
        </w:tc>
        <w:tc>
          <w:tcPr>
            <w:tcW w:w="957" w:type="dxa"/>
            <w:hideMark/>
          </w:tcPr>
          <w:p w14:paraId="30ACDD0B"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N/A</w:t>
            </w:r>
          </w:p>
        </w:tc>
        <w:tc>
          <w:tcPr>
            <w:tcW w:w="690" w:type="dxa"/>
            <w:hideMark/>
          </w:tcPr>
          <w:p w14:paraId="72A8C084"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1098" w:type="dxa"/>
            <w:hideMark/>
          </w:tcPr>
          <w:p w14:paraId="4EEE79C5"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Irregular: Before and after, or per cycle</w:t>
            </w:r>
          </w:p>
        </w:tc>
        <w:tc>
          <w:tcPr>
            <w:tcW w:w="690" w:type="dxa"/>
            <w:hideMark/>
          </w:tcPr>
          <w:p w14:paraId="2DC2511C"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5" w:type="dxa"/>
            <w:hideMark/>
          </w:tcPr>
          <w:p w14:paraId="12AE7126"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N/A</w:t>
            </w:r>
          </w:p>
        </w:tc>
        <w:tc>
          <w:tcPr>
            <w:tcW w:w="1098" w:type="dxa"/>
            <w:hideMark/>
          </w:tcPr>
          <w:p w14:paraId="49376757"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Quantitative</w:t>
            </w:r>
          </w:p>
        </w:tc>
        <w:tc>
          <w:tcPr>
            <w:tcW w:w="961" w:type="dxa"/>
            <w:hideMark/>
          </w:tcPr>
          <w:p w14:paraId="6D8458B5"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2" w:type="dxa"/>
            <w:gridSpan w:val="2"/>
            <w:hideMark/>
          </w:tcPr>
          <w:p w14:paraId="094C0B5F" w14:textId="3F752CA0"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Yes</w:t>
            </w:r>
          </w:p>
        </w:tc>
        <w:tc>
          <w:tcPr>
            <w:tcW w:w="1393" w:type="dxa"/>
            <w:hideMark/>
          </w:tcPr>
          <w:p w14:paraId="455CF97A"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Not stated</w:t>
            </w:r>
          </w:p>
        </w:tc>
      </w:tr>
      <w:tr w:rsidR="00E42F62" w:rsidRPr="001F040C" w14:paraId="6D570168" w14:textId="0DC4C964" w:rsidTr="002118F0">
        <w:trPr>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7681E335" w14:textId="3649AB67"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"author" : [ { "dropping-particle" : "", "family" : "Murphy", "given" : "Lorraine", "non-dropping-particle" : "", "parse-names" : false, "suffix" : "" }, { "dropping-particle" : "", "family" : "Wells", "given" : "John Stephen", "non-dropping-particle" : "", "parse-names" : false, "suffix" : "" }, { "dropping-particle" : "", "family" : "Lachman", "given" : "Peter", "non-dropping-particle" : "", "parse-names" : false, "suffix" : "" }, { "dropping-particle" : "", "family" : "Bergin", "given" : "Michael", "non-dropping-particle" : "", "parse-names" : false, "suffix" : "" } ], "id" : "ITEM-1", "issued" : { "date-parts" : [ [ "2015" ] ] }, "page" : "1-12", "title" : "A Quality Improvement Initiative in Community Mental Health in the Republic of Ireland", "type" : "article-journal" }, "uris" : [ "http://www.mendeley.com/documents/?uuid=efe7fd68-fb30-481e-98b9-031003842417" ] } ], "mendeley" : { "formattedCitation" : "[50]", "plainTextFormattedCitation" : "[50]", "previouslyFormattedCitation" : "[50]" }, "properties" : {  }, "schema" : "https://github.com/citation-style-language/schema/raw/master/csl-citation.json" }</w:instrText>
            </w:r>
            <w:r w:rsidRPr="001F040C">
              <w:rPr>
                <w:sz w:val="16"/>
                <w:szCs w:val="16"/>
              </w:rPr>
              <w:fldChar w:fldCharType="separate"/>
            </w:r>
            <w:r w:rsidRPr="0056067F">
              <w:rPr>
                <w:noProof/>
                <w:sz w:val="16"/>
                <w:szCs w:val="16"/>
              </w:rPr>
              <w:t>[50]</w:t>
            </w:r>
            <w:r w:rsidRPr="001F040C">
              <w:rPr>
                <w:sz w:val="16"/>
                <w:szCs w:val="16"/>
              </w:rPr>
              <w:fldChar w:fldCharType="end"/>
            </w:r>
            <w:r w:rsidRPr="001F040C">
              <w:rPr>
                <w:sz w:val="16"/>
                <w:szCs w:val="16"/>
              </w:rPr>
              <w:t xml:space="preserve"> Murphy</w:t>
            </w:r>
          </w:p>
        </w:tc>
        <w:tc>
          <w:tcPr>
            <w:tcW w:w="689" w:type="dxa"/>
            <w:hideMark/>
          </w:tcPr>
          <w:p w14:paraId="6FF66AED" w14:textId="1CDB86E6"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3</w:t>
            </w:r>
          </w:p>
        </w:tc>
        <w:tc>
          <w:tcPr>
            <w:tcW w:w="554" w:type="dxa"/>
            <w:hideMark/>
          </w:tcPr>
          <w:p w14:paraId="5B70FDE8"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6" w:type="dxa"/>
            <w:hideMark/>
          </w:tcPr>
          <w:p w14:paraId="18C99835"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Mix of iterative chains and isolated cycles</w:t>
            </w:r>
          </w:p>
        </w:tc>
        <w:tc>
          <w:tcPr>
            <w:tcW w:w="808" w:type="dxa"/>
            <w:hideMark/>
          </w:tcPr>
          <w:p w14:paraId="08E0E473"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571" w:type="dxa"/>
            <w:hideMark/>
          </w:tcPr>
          <w:p w14:paraId="36A8D649"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961" w:type="dxa"/>
            <w:gridSpan w:val="2"/>
            <w:hideMark/>
          </w:tcPr>
          <w:p w14:paraId="06318571"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Testing and implementing</w:t>
            </w:r>
          </w:p>
        </w:tc>
        <w:tc>
          <w:tcPr>
            <w:tcW w:w="957" w:type="dxa"/>
            <w:hideMark/>
          </w:tcPr>
          <w:p w14:paraId="004E6760"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Non-increasing</w:t>
            </w:r>
          </w:p>
        </w:tc>
        <w:tc>
          <w:tcPr>
            <w:tcW w:w="690" w:type="dxa"/>
            <w:hideMark/>
          </w:tcPr>
          <w:p w14:paraId="5AE08D7D"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1098" w:type="dxa"/>
            <w:hideMark/>
          </w:tcPr>
          <w:p w14:paraId="73A0D66A"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Regular: Three datapoints or more</w:t>
            </w:r>
          </w:p>
        </w:tc>
        <w:tc>
          <w:tcPr>
            <w:tcW w:w="690" w:type="dxa"/>
            <w:hideMark/>
          </w:tcPr>
          <w:p w14:paraId="7C4E9F35"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825" w:type="dxa"/>
            <w:hideMark/>
          </w:tcPr>
          <w:p w14:paraId="6F3EBA73"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Control Chart</w:t>
            </w:r>
          </w:p>
        </w:tc>
        <w:tc>
          <w:tcPr>
            <w:tcW w:w="1098" w:type="dxa"/>
            <w:hideMark/>
          </w:tcPr>
          <w:p w14:paraId="5483B3E7"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Quantitative &amp; Qualitative used to inform cycles</w:t>
            </w:r>
          </w:p>
        </w:tc>
        <w:tc>
          <w:tcPr>
            <w:tcW w:w="961" w:type="dxa"/>
            <w:hideMark/>
          </w:tcPr>
          <w:p w14:paraId="5B9994EF"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2" w:type="dxa"/>
            <w:gridSpan w:val="2"/>
            <w:hideMark/>
          </w:tcPr>
          <w:p w14:paraId="2DF383DF" w14:textId="1543A0B8"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Yes</w:t>
            </w:r>
          </w:p>
        </w:tc>
        <w:tc>
          <w:tcPr>
            <w:tcW w:w="1393" w:type="dxa"/>
            <w:hideMark/>
          </w:tcPr>
          <w:p w14:paraId="7216BCD4" w14:textId="432E3C0E"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 xml:space="preserve">External existing knowledge </w:t>
            </w:r>
            <w:r>
              <w:rPr>
                <w:sz w:val="16"/>
                <w:szCs w:val="16"/>
              </w:rPr>
              <w:t>–</w:t>
            </w:r>
            <w:r w:rsidRPr="001F040C">
              <w:rPr>
                <w:sz w:val="16"/>
                <w:szCs w:val="16"/>
              </w:rPr>
              <w:t xml:space="preserve"> Literature</w:t>
            </w:r>
            <w:r>
              <w:rPr>
                <w:sz w:val="16"/>
                <w:szCs w:val="16"/>
              </w:rPr>
              <w:t xml:space="preserve"> </w:t>
            </w:r>
            <w:r w:rsidRPr="001F040C">
              <w:rPr>
                <w:sz w:val="16"/>
                <w:szCs w:val="16"/>
              </w:rPr>
              <w:t>(EBM)</w:t>
            </w:r>
          </w:p>
        </w:tc>
      </w:tr>
      <w:tr w:rsidR="00E42F62" w:rsidRPr="001F040C" w14:paraId="56FF9EA5" w14:textId="2003EA09" w:rsidTr="002118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3DDDDE4E" w14:textId="4AF1AB69"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"10.1136/bmjquality.u209098.w3772", "ISSN" : "2050-1315", "PMID" : "27752313", "abstract" : "to tackle this problem with variable success. In this quality improvement project, we aimed to increase the proportion of discharged patients who leave the paediatric unit by 12:00 Noon from 7% to 30% by May 2015. A baseline discharge process map was studied to understand the possible causes of the delays. A survey was conducted to look for the most likely cause for the delay. A data collection tool was designed to record the various steps in the discharge process for the pre-and post-intervention phases. Using a series of PDSA cycles, interventions were introduced. The average time for the discharge process was two hours and the baseline average percent of patients discharged by 12:00 Noon was 7% of all discharges. The leading cause for the delayed discharges was late orders by the physicians. Post-intervention, there was increase in the percentage of patients discharged by 12:00 Noon from 7% to 34%. 42% of discharged patients had appropriate reasons for afternoon discharge. By excluding these patients, the percentage of adjusted timely morning discharge has increased from 36% to 70%. Continuous monitoring and engagement of teams with regular feedback were the most important factors in achieving and sustaining improvement in the timely morning discharge of patients from our paediatric units", "author" : [ { "dropping-particle" : "", "family" : "Mustafa", "given" : "Amira", "non-dropping-particle" : "", "parse-names" : false, "suffix" : "" }, { "dropping-particle" : "", "family" : "Mahgoub", "given" : "Samar", "non-dropping-particle" : "", "parse-names" : false, "suffix" : "" } ], "container-title" : "BMJ Quality Improvement Reports", "id" : "ITEM-1", "issue" : "1", "issued" : { "date-parts" : [ [ "2016" ] ] }, "page" : "u209098.w3772", "publisher-place" : "England", "title" : "Understanding and overcoming barriers to timely discharge from the pediatric units", "type" : "article-journal", "volume" : "5" }, "uris" : [ "http://www.mendeley.com/documents/?uuid=9a75d561-5455-400b-b33b-89ef396f9fec" ] } ], "mendeley" : { "formattedCitation" : "[51]", "plainTextFormattedCitation" : "[51]", "previouslyFormattedCitation" : "[51]" }, "properties" : {  }, "schema" : "https://github.com/citation-style-language/schema/raw/master/csl-citation.json" }</w:instrText>
            </w:r>
            <w:r w:rsidRPr="001F040C">
              <w:rPr>
                <w:sz w:val="16"/>
                <w:szCs w:val="16"/>
              </w:rPr>
              <w:fldChar w:fldCharType="separate"/>
            </w:r>
            <w:r w:rsidRPr="0056067F">
              <w:rPr>
                <w:noProof/>
                <w:sz w:val="16"/>
                <w:szCs w:val="16"/>
              </w:rPr>
              <w:t>[51]</w:t>
            </w:r>
            <w:r w:rsidRPr="001F040C">
              <w:rPr>
                <w:sz w:val="16"/>
                <w:szCs w:val="16"/>
              </w:rPr>
              <w:fldChar w:fldCharType="end"/>
            </w:r>
            <w:r w:rsidRPr="001F040C">
              <w:rPr>
                <w:sz w:val="16"/>
                <w:szCs w:val="16"/>
              </w:rPr>
              <w:t xml:space="preserve"> Mustafa</w:t>
            </w:r>
          </w:p>
        </w:tc>
        <w:tc>
          <w:tcPr>
            <w:tcW w:w="689" w:type="dxa"/>
            <w:hideMark/>
          </w:tcPr>
          <w:p w14:paraId="03A622FE" w14:textId="38937E40"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4</w:t>
            </w:r>
          </w:p>
        </w:tc>
        <w:tc>
          <w:tcPr>
            <w:tcW w:w="554" w:type="dxa"/>
            <w:hideMark/>
          </w:tcPr>
          <w:p w14:paraId="179916C9"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6" w:type="dxa"/>
            <w:hideMark/>
          </w:tcPr>
          <w:p w14:paraId="670BCC72"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Iterative chain</w:t>
            </w:r>
          </w:p>
        </w:tc>
        <w:tc>
          <w:tcPr>
            <w:tcW w:w="808" w:type="dxa"/>
            <w:hideMark/>
          </w:tcPr>
          <w:p w14:paraId="4AAF30CB"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571" w:type="dxa"/>
            <w:hideMark/>
          </w:tcPr>
          <w:p w14:paraId="3DEFAD7E"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2EDF9B22"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Testing</w:t>
            </w:r>
          </w:p>
        </w:tc>
        <w:tc>
          <w:tcPr>
            <w:tcW w:w="957" w:type="dxa"/>
            <w:hideMark/>
          </w:tcPr>
          <w:p w14:paraId="202921A2"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N/A</w:t>
            </w:r>
          </w:p>
        </w:tc>
        <w:tc>
          <w:tcPr>
            <w:tcW w:w="690" w:type="dxa"/>
            <w:hideMark/>
          </w:tcPr>
          <w:p w14:paraId="64FC0C4E"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1098" w:type="dxa"/>
            <w:hideMark/>
          </w:tcPr>
          <w:p w14:paraId="3470FEFA"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Regular: Three datapoints or more</w:t>
            </w:r>
          </w:p>
        </w:tc>
        <w:tc>
          <w:tcPr>
            <w:tcW w:w="690" w:type="dxa"/>
            <w:hideMark/>
          </w:tcPr>
          <w:p w14:paraId="6DF29336"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5" w:type="dxa"/>
            <w:hideMark/>
          </w:tcPr>
          <w:p w14:paraId="0E066905"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Run Chart</w:t>
            </w:r>
          </w:p>
        </w:tc>
        <w:tc>
          <w:tcPr>
            <w:tcW w:w="1098" w:type="dxa"/>
            <w:hideMark/>
          </w:tcPr>
          <w:p w14:paraId="26F79599"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Quantitative</w:t>
            </w:r>
          </w:p>
        </w:tc>
        <w:tc>
          <w:tcPr>
            <w:tcW w:w="961" w:type="dxa"/>
            <w:hideMark/>
          </w:tcPr>
          <w:p w14:paraId="0332CB94"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962" w:type="dxa"/>
            <w:gridSpan w:val="2"/>
            <w:hideMark/>
          </w:tcPr>
          <w:p w14:paraId="4EB89AB2" w14:textId="73655D4D"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Yes</w:t>
            </w:r>
          </w:p>
        </w:tc>
        <w:tc>
          <w:tcPr>
            <w:tcW w:w="1393" w:type="dxa"/>
            <w:hideMark/>
          </w:tcPr>
          <w:p w14:paraId="1B1385C5" w14:textId="6CF0555E"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Internally developed knowledge - Logical visualising and description</w:t>
            </w:r>
          </w:p>
        </w:tc>
      </w:tr>
      <w:tr w:rsidR="00E42F62" w:rsidRPr="001F040C" w14:paraId="533EB061" w14:textId="2387140D" w:rsidTr="002118F0">
        <w:trPr>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2776161B" w14:textId="1619C456"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"10.1136/bmjquality.u208575.w3781 [doi]", "abstract" : "A frequently occurring job during on-call and out-of-hours shifts is reviewing a patient following a fall with this often being the responsibility of the most junior and inexperienced doctors. Following a pilot audit we identified inconsistencies in medical assessment and documentation, with 50% of expected data points not recorded. Failure to complete a thorough assessment can lead to missed injuries, prolonged length of stay, and litigation. Using the plan, do, study, act (PDSA) cycle model this project sought to address this through providing teaching to junior doctors and the development of a pro-forma. Three style cycles of data collection were performed; a formal baseline dataset, after delivering a teaching session to new junior doctors and following the trial of the new fall pro-forma. We selected 15 to 17 patient notes to review at random during a one month period for each data collection cycle and compared the medical assessment to the standards outlined by the National Patient Safety Agency (NPSA) guidelines.[1] There were two key areas of improvement identified following the teaching session and introduction of the proforma. Documentation of a fall history was improved by nearly 30% being recorded in 100% of cases after the interventions. Documentation of a thorough musculoskeletal examination was improved from being recorded in just 54% of cases to 77% of cases; it was recorded in 100% of the cases where the proforma was used. The project demonstrated the need to improve documentation and assessment of a patient who has fallen. Initial data collection has shown that assessment and documentation were improved providing teaching to junior doctors and by use of the document. The pro-forma has since been incorporated into hospital policy and now forms the compulsory documentation expected of the doctors and nurses managing patients following a fall. Ensuring easy access to the proforma and re-auditing after editing the document will be the next steps.", "author" : [ { "dropping-particle" : "", "family" : "Nelson", "given" : "E", "non-dropping-particle" : "", "parse-names" : false, "suffix" : "" }, { "dropping-particle" : "", "family" : "Reynolds", "given" : "P", "non-dropping-particle" : "", "parse-names" : false, "suffix" : "" } ], "container-title" : "BMJ quality improvement reports", "id" : "ITEM-1", "issue" : "1 PG  - 10.1136/bmjquality.u208575.w3781. eCollection 2015", "issued" : { "date-parts" : [ [ "2015" ] ] }, "note" : "Henrik V. B. Laursen (2016-11-24 05:40:34)(Select): suppl 2: http://qir.bmj.com/content/4/1/u208575.w3781/suppl/DC2\n; Henrik V. B. Laursen (2016-11-24 05:40:25)(Select): suppl: http://qir.bmj.com/content/4/1/u208575.w3781/suppl/DC1;", "page" : "10.1136/bmjquality.u208575.w3781. eCollection 2015", "publisher-place" : "England", "title" : "Inpatient Falls: Improving assessment, documentation, and management", "type" : "article-journal", "volume" : "4" }, "uris" : [ "http://www.mendeley.com/documents/?uuid=6e0fad1a-3623-4185-b498-60d77dcc6889" ] } ], "mendeley" : { "formattedCitation" : "[52]", "plainTextFormattedCitation" : "[52]", "previouslyFormattedCitation" : "[52]" }, "properties" : {  }, "schema" : "https://github.com/citation-style-language/schema/raw/master/csl-citation.json" }</w:instrText>
            </w:r>
            <w:r w:rsidRPr="001F040C">
              <w:rPr>
                <w:sz w:val="16"/>
                <w:szCs w:val="16"/>
              </w:rPr>
              <w:fldChar w:fldCharType="separate"/>
            </w:r>
            <w:r w:rsidRPr="0056067F">
              <w:rPr>
                <w:noProof/>
                <w:sz w:val="16"/>
                <w:szCs w:val="16"/>
              </w:rPr>
              <w:t>[52]</w:t>
            </w:r>
            <w:r w:rsidRPr="001F040C">
              <w:rPr>
                <w:sz w:val="16"/>
                <w:szCs w:val="16"/>
              </w:rPr>
              <w:fldChar w:fldCharType="end"/>
            </w:r>
            <w:r w:rsidRPr="001F040C">
              <w:rPr>
                <w:sz w:val="16"/>
                <w:szCs w:val="16"/>
              </w:rPr>
              <w:t xml:space="preserve"> Nelson</w:t>
            </w:r>
          </w:p>
        </w:tc>
        <w:tc>
          <w:tcPr>
            <w:tcW w:w="689" w:type="dxa"/>
            <w:hideMark/>
          </w:tcPr>
          <w:p w14:paraId="783ACE71" w14:textId="3315D476"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3</w:t>
            </w:r>
          </w:p>
        </w:tc>
        <w:tc>
          <w:tcPr>
            <w:tcW w:w="554" w:type="dxa"/>
            <w:hideMark/>
          </w:tcPr>
          <w:p w14:paraId="030EAD94"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6" w:type="dxa"/>
            <w:hideMark/>
          </w:tcPr>
          <w:p w14:paraId="6525C93A"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Iterative chain</w:t>
            </w:r>
          </w:p>
        </w:tc>
        <w:tc>
          <w:tcPr>
            <w:tcW w:w="808" w:type="dxa"/>
            <w:hideMark/>
          </w:tcPr>
          <w:p w14:paraId="75A59454"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571" w:type="dxa"/>
            <w:hideMark/>
          </w:tcPr>
          <w:p w14:paraId="6C385EB0"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49956FA9"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Implementation</w:t>
            </w:r>
          </w:p>
        </w:tc>
        <w:tc>
          <w:tcPr>
            <w:tcW w:w="957" w:type="dxa"/>
            <w:hideMark/>
          </w:tcPr>
          <w:p w14:paraId="0E9E3BD1"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N/A</w:t>
            </w:r>
          </w:p>
        </w:tc>
        <w:tc>
          <w:tcPr>
            <w:tcW w:w="690" w:type="dxa"/>
            <w:hideMark/>
          </w:tcPr>
          <w:p w14:paraId="6769675D"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1098" w:type="dxa"/>
            <w:hideMark/>
          </w:tcPr>
          <w:p w14:paraId="51AF3B97"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Irregular: Before and after, or per cycle</w:t>
            </w:r>
          </w:p>
        </w:tc>
        <w:tc>
          <w:tcPr>
            <w:tcW w:w="690" w:type="dxa"/>
            <w:hideMark/>
          </w:tcPr>
          <w:p w14:paraId="4A8E03C5"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5" w:type="dxa"/>
            <w:hideMark/>
          </w:tcPr>
          <w:p w14:paraId="45337655"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N/A</w:t>
            </w:r>
          </w:p>
        </w:tc>
        <w:tc>
          <w:tcPr>
            <w:tcW w:w="1098" w:type="dxa"/>
            <w:hideMark/>
          </w:tcPr>
          <w:p w14:paraId="624F6595"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Quantitative</w:t>
            </w:r>
          </w:p>
        </w:tc>
        <w:tc>
          <w:tcPr>
            <w:tcW w:w="961" w:type="dxa"/>
            <w:hideMark/>
          </w:tcPr>
          <w:p w14:paraId="1AF8E2A4"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2" w:type="dxa"/>
            <w:gridSpan w:val="2"/>
            <w:hideMark/>
          </w:tcPr>
          <w:p w14:paraId="591B7B6D" w14:textId="6A17BE56"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Yes</w:t>
            </w:r>
          </w:p>
        </w:tc>
        <w:tc>
          <w:tcPr>
            <w:tcW w:w="1393" w:type="dxa"/>
            <w:hideMark/>
          </w:tcPr>
          <w:p w14:paraId="0E5AFA3D"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External existing knowledge - Benchmarking</w:t>
            </w:r>
          </w:p>
        </w:tc>
      </w:tr>
      <w:tr w:rsidR="00E42F62" w:rsidRPr="001F040C" w14:paraId="07413E43" w14:textId="27FFCB24" w:rsidTr="002118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27015840" w14:textId="6DF7E8B3"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"10.1136/bmjquality.u204642.w2177", "ISSN" : "2050-1315", "PMID" : "26734315", "abstract" : "This quality improvement project was conducted at the haemodialysis unit in the paediatric nephrology department at Noah's Ark Children's Hospital, Cardiff. Stakeholders involved were the medical and nursing staff at the haemodialysis unit, responsible for the care of children with chronic kidney disease CKD. Anaemia is prevalent among children with CKD. Iron infusion is administered to such children with chronic anaemia. Children on haemodialysis attending the Children's Kidney Center receive iron infusion if they satisfy the criteria based on haemoglobin and serum ferritin values according to departmental guidelines. This involves measurement of c-reactive protein and serum ferritin prior to iron administration. High iron exposure is detrimental to end organ function and hence warrants regular monitoring in conjunction with CRP, another inflammatory marker. We suspect that some children may be receiving iron infusions despite being iron replete. Also, we may be over-investigating these children with anaemia. We identified all children receiving iron infusion in the haemodialysis unit over a four week period. We retrospectively enquired blood investigations done, prior to and after iron infusion. Blood investigations lagged on pre and post infusion times. We devised a checklist for nursing staff to follow, primarily looking at set times for measuring haemoglobin, serum ferritin, and CRP during the month (at the start of the first and third week of the month) and also tabulating the ferritin values that would trigger frequency of iron infusions. These were aimed to: 1. Prevent iron overloading in patients with chronic anemia 2. Regularise the checking of bloods in those receiving iron infusions 3. Empower the nursing staff to independently take decisions on iron infusion delivery. The strategy for change encompassed multiple PDSA cycles. Plan: empower decision making on iron infusion by haemodialysis nursing staff Do: formulate a checklist for iron infusion based on the recommended set values of ferritin, CRP and haemoglobin Study: analyse adherence to checklist in three months time Act: make appropriate changes to workplace behaviour based on findings of the PDSA cycle We analysed 13 patient episodes prior to the intervention and a total of 19 patient episodes after the improvement cycles. The checklist was improved based on feedback obtained after the first PDSA cycle. A second cycle showed that investigations done were optimised. The third cycle show\u2026", "author" : [ { "dropping-particle" : "", "family" : "Nuti", "given" : "Amith", "non-dropping-particle" : "", "parse-names" : false, "suffix" : "" } ], "container-title" : "BMJ Quality Improvement Reports", "id" : "ITEM-1", "issue" : "1", "issued" : { "date-parts" : [ [ "2015" ] ] }, "note" : "Henrik V. B. Laursen (2016-11-24 20:07:28)(Select): suppl: http://qir.bmj.com/content/4/1/u204642.w2177/suppl/DC1;", "page" : "u204642.w2177", "publisher-place" : "England", "title" : "Improving compliance with iron infusion therapy in the treatment of chronic anemia in haemodialysis patients with chronic kidney disease", "type" : "article-journal", "volume" : "4" }, "uris" : [ "http://www.mendeley.com/documents/?uuid=ec256bb7-9407-406e-8dcb-e34edec32479" ] } ], "mendeley" : { "formattedCitation" : "[53]", "plainTextFormattedCitation" : "[53]", "previouslyFormattedCitation" : "[53]" }, "properties" : {  }, "schema" : "https://github.com/citation-style-language/schema/raw/master/csl-citation.json" }</w:instrText>
            </w:r>
            <w:r w:rsidRPr="001F040C">
              <w:rPr>
                <w:sz w:val="16"/>
                <w:szCs w:val="16"/>
              </w:rPr>
              <w:fldChar w:fldCharType="separate"/>
            </w:r>
            <w:r w:rsidRPr="0056067F">
              <w:rPr>
                <w:noProof/>
                <w:sz w:val="16"/>
                <w:szCs w:val="16"/>
              </w:rPr>
              <w:t>[53]</w:t>
            </w:r>
            <w:r w:rsidRPr="001F040C">
              <w:rPr>
                <w:sz w:val="16"/>
                <w:szCs w:val="16"/>
              </w:rPr>
              <w:fldChar w:fldCharType="end"/>
            </w:r>
            <w:r w:rsidRPr="001F040C">
              <w:rPr>
                <w:sz w:val="16"/>
                <w:szCs w:val="16"/>
              </w:rPr>
              <w:t xml:space="preserve"> Nuti</w:t>
            </w:r>
          </w:p>
        </w:tc>
        <w:tc>
          <w:tcPr>
            <w:tcW w:w="689" w:type="dxa"/>
            <w:hideMark/>
          </w:tcPr>
          <w:p w14:paraId="79A34F03" w14:textId="155BE6DD"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4</w:t>
            </w:r>
          </w:p>
        </w:tc>
        <w:tc>
          <w:tcPr>
            <w:tcW w:w="554" w:type="dxa"/>
            <w:hideMark/>
          </w:tcPr>
          <w:p w14:paraId="091B1609"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6" w:type="dxa"/>
            <w:hideMark/>
          </w:tcPr>
          <w:p w14:paraId="6F291921"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Iterative chain</w:t>
            </w:r>
          </w:p>
        </w:tc>
        <w:tc>
          <w:tcPr>
            <w:tcW w:w="808" w:type="dxa"/>
            <w:hideMark/>
          </w:tcPr>
          <w:p w14:paraId="16B5FA3B"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571" w:type="dxa"/>
            <w:hideMark/>
          </w:tcPr>
          <w:p w14:paraId="5E4D6AFF"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5B0E9000"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Implementation</w:t>
            </w:r>
          </w:p>
        </w:tc>
        <w:tc>
          <w:tcPr>
            <w:tcW w:w="957" w:type="dxa"/>
            <w:hideMark/>
          </w:tcPr>
          <w:p w14:paraId="0A5BFA46"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N/A</w:t>
            </w:r>
          </w:p>
        </w:tc>
        <w:tc>
          <w:tcPr>
            <w:tcW w:w="690" w:type="dxa"/>
            <w:hideMark/>
          </w:tcPr>
          <w:p w14:paraId="059D114C"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1098" w:type="dxa"/>
            <w:hideMark/>
          </w:tcPr>
          <w:p w14:paraId="75AD371F"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 quantitative data reported</w:t>
            </w:r>
          </w:p>
        </w:tc>
        <w:tc>
          <w:tcPr>
            <w:tcW w:w="690" w:type="dxa"/>
            <w:hideMark/>
          </w:tcPr>
          <w:p w14:paraId="1128880A"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825" w:type="dxa"/>
            <w:hideMark/>
          </w:tcPr>
          <w:p w14:paraId="5AF7B123"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N/A</w:t>
            </w:r>
          </w:p>
        </w:tc>
        <w:tc>
          <w:tcPr>
            <w:tcW w:w="1098" w:type="dxa"/>
            <w:hideMark/>
          </w:tcPr>
          <w:p w14:paraId="6B536CD2"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Quantitative but not presented</w:t>
            </w:r>
          </w:p>
        </w:tc>
        <w:tc>
          <w:tcPr>
            <w:tcW w:w="961" w:type="dxa"/>
            <w:hideMark/>
          </w:tcPr>
          <w:p w14:paraId="7A829DB6"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2" w:type="dxa"/>
            <w:gridSpan w:val="2"/>
            <w:hideMark/>
          </w:tcPr>
          <w:p w14:paraId="7FE93ED5"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Not stated</w:t>
            </w:r>
          </w:p>
        </w:tc>
        <w:tc>
          <w:tcPr>
            <w:tcW w:w="1393" w:type="dxa"/>
            <w:hideMark/>
          </w:tcPr>
          <w:p w14:paraId="321C6AFD"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Not stated</w:t>
            </w:r>
          </w:p>
        </w:tc>
      </w:tr>
      <w:tr w:rsidR="00E42F62" w:rsidRPr="001F040C" w14:paraId="65561CBD" w14:textId="56C64B13" w:rsidTr="002118F0">
        <w:trPr>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6CFE355A" w14:textId="08DECDEA"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"10.1097/NUR.0000000000000123", "ISBN" : "9780124201811", "ISSN" : "15389782", "PMID" : "25856034", "abstract" : "The greatest advantage of simulation training is that it closely approximates actual clinical work, but in a controlled setting with minimal potential for harm. This type of training can use programmed mannequins or actors (professional or not) serving as \"standardized patients\" (SPs) to help teach and evaluate trainees' clinical examination skills. Faculty and students can review the videos of simulated training sessions to ensure technical aspects of these behaviors are performed correctly, such as placing one's hands or equipment (e.g., stethoscope) appropriately. Videos also reveal key verbal and non-verbal aspects of communication quality, such as interruption patterns and body language. Video technology transforms even the subtlest elements of therapeutic encounters into observable, behavioral data. Clinically relevant interpersonal competencies, therefore, can be assessed objectively. And for trainees, video review is an unparalleled learning tool. Given simulation's precise fit with clinical psychologists' training, better integration of psychology and medicine can uniquely sensitize learners and cultivate their self-awareness and insight, in a manner that no other modality can.", "author" : [ { "dropping-particle" : "", "family" : "Ozekcin", "given" : "Linda R.", "non-dropping-particle" : "", "parse-names" : false, "suffix" : "" }, { "dropping-particle" : "", "family" : "Tuite", "given" : "Patricia", "non-dropping-particle" : "", "parse-names" : false, "suffix" : "" }, { "dropping-particle" : "", "family" : "Willner", "given" : "Kathleen", "non-dropping-particle" : "", "parse-names" : false, "suffix" : "" }, { "dropping-particle" : "", "family" : "Hravnak", "given" : "Marilyn", "non-dropping-particle" : "", "parse-names" : false, "suffix" : "" } ], "container-title" : "Clinical Nurse Specialist", "id" : "ITEM-1", "issue" : "3", "issued" : { "date-parts" : [ [ "2015" ] ] }, "note" : "Henrik V. B. Laursen (2016-11-24 01:15:27)(Select): ingen adgang via aub;", "page" : "166-173", "publisher-place" : "United States", "title" : "Simulation education: Early identification of patient physiologic deterioration by acute care nurses", "type" : "article-journal", "volume" : "29" }, "uris" : [ "http://www.mendeley.com/documents/?uuid=49bf2b96-8ef8-4a85-a99c-b84ca8c9f89c" ] } ], "mendeley" : { "formattedCitation" : "[54]", "plainTextFormattedCitation" : "[54]", "previouslyFormattedCitation" : "[54]" }, "properties" : {  }, "schema" : "https://github.com/citation-style-language/schema/raw/master/csl-citation.json" }</w:instrText>
            </w:r>
            <w:r w:rsidRPr="001F040C">
              <w:rPr>
                <w:sz w:val="16"/>
                <w:szCs w:val="16"/>
              </w:rPr>
              <w:fldChar w:fldCharType="separate"/>
            </w:r>
            <w:r w:rsidRPr="0056067F">
              <w:rPr>
                <w:noProof/>
                <w:sz w:val="16"/>
                <w:szCs w:val="16"/>
              </w:rPr>
              <w:t>[54]</w:t>
            </w:r>
            <w:r w:rsidRPr="001F040C">
              <w:rPr>
                <w:sz w:val="16"/>
                <w:szCs w:val="16"/>
              </w:rPr>
              <w:fldChar w:fldCharType="end"/>
            </w:r>
            <w:r w:rsidRPr="001F040C">
              <w:rPr>
                <w:sz w:val="16"/>
                <w:szCs w:val="16"/>
              </w:rPr>
              <w:t xml:space="preserve"> Ozekcin</w:t>
            </w:r>
          </w:p>
        </w:tc>
        <w:tc>
          <w:tcPr>
            <w:tcW w:w="689" w:type="dxa"/>
            <w:hideMark/>
          </w:tcPr>
          <w:p w14:paraId="6F51B38E" w14:textId="0037C89A"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4</w:t>
            </w:r>
          </w:p>
        </w:tc>
        <w:tc>
          <w:tcPr>
            <w:tcW w:w="554" w:type="dxa"/>
            <w:hideMark/>
          </w:tcPr>
          <w:p w14:paraId="2C624426"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826" w:type="dxa"/>
            <w:hideMark/>
          </w:tcPr>
          <w:p w14:paraId="50DD3F7E"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08" w:type="dxa"/>
            <w:hideMark/>
          </w:tcPr>
          <w:p w14:paraId="52D9AEDF"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571" w:type="dxa"/>
            <w:hideMark/>
          </w:tcPr>
          <w:p w14:paraId="041682A6"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6E9EC16A"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Implementation</w:t>
            </w:r>
          </w:p>
        </w:tc>
        <w:tc>
          <w:tcPr>
            <w:tcW w:w="957" w:type="dxa"/>
            <w:hideMark/>
          </w:tcPr>
          <w:p w14:paraId="4B468705"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N/A</w:t>
            </w:r>
          </w:p>
        </w:tc>
        <w:tc>
          <w:tcPr>
            <w:tcW w:w="690" w:type="dxa"/>
            <w:hideMark/>
          </w:tcPr>
          <w:p w14:paraId="6BB6AEEB"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1098" w:type="dxa"/>
            <w:hideMark/>
          </w:tcPr>
          <w:p w14:paraId="5A6160FC"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A single data point, after cycle</w:t>
            </w:r>
          </w:p>
        </w:tc>
        <w:tc>
          <w:tcPr>
            <w:tcW w:w="690" w:type="dxa"/>
            <w:hideMark/>
          </w:tcPr>
          <w:p w14:paraId="64D287E0"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5" w:type="dxa"/>
            <w:hideMark/>
          </w:tcPr>
          <w:p w14:paraId="7BB37E87"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N/A</w:t>
            </w:r>
          </w:p>
        </w:tc>
        <w:tc>
          <w:tcPr>
            <w:tcW w:w="1098" w:type="dxa"/>
            <w:hideMark/>
          </w:tcPr>
          <w:p w14:paraId="3009FF4C"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Quantitative &amp; Qualitative used to inform cycles</w:t>
            </w:r>
          </w:p>
        </w:tc>
        <w:tc>
          <w:tcPr>
            <w:tcW w:w="961" w:type="dxa"/>
            <w:hideMark/>
          </w:tcPr>
          <w:p w14:paraId="0A93E300"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962" w:type="dxa"/>
            <w:gridSpan w:val="2"/>
            <w:hideMark/>
          </w:tcPr>
          <w:p w14:paraId="6678290D" w14:textId="5C72E203"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Yes</w:t>
            </w:r>
          </w:p>
        </w:tc>
        <w:tc>
          <w:tcPr>
            <w:tcW w:w="1393" w:type="dxa"/>
            <w:hideMark/>
          </w:tcPr>
          <w:p w14:paraId="2ACBBE73"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Combination of external and internal</w:t>
            </w:r>
          </w:p>
        </w:tc>
      </w:tr>
      <w:tr w:rsidR="00E42F62" w:rsidRPr="001F040C" w14:paraId="31BD9134" w14:textId="426C9FC5" w:rsidTr="002118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33996C22" w14:textId="00126364"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"10.1136/bmjquality.u204088.w3767 [doi]", "ISBN" : "2050-1315", "ISSN" : "2050-1315", "PMID" : "27239301", "abstract" : "Patient reported outcome measures (PROMs) were introduced in 2009 to allow patient perspectives to potentially influence change and improvement. In collaboration with the national joint registry (NJR), PROMs data has been examined on a national basis to compare surgical factors in total knee replacement (TKR). Initial results demonstrated there were statistically significant differences in Oxford Knee Score (OKS) when using different brands of implant. Preservation of the infrapatella fatpad (IFP) has also been shown improve outcomes. This led Northumbria Healthcare NHS Foundation Trust to make a mass move to the Zimmer Nexgen TKR and later change surgeons' routine practice to preserving the IFP. The PROMs were recorded pre and six months post operation to obtain improvement scores. The baseline improvement in OKS was 14.0. After changing implant to the Zimmer Nexgen in Plan-Do-Study-Act (PDSA) cycle 1 the average improvement score was 16.7. After implementing default preservation of the IFP in PDSA cycle 2 the average OKS improvement score was 17.3. The results from this project demonstrate a significant improvement in local services after implementing changes based on national and local evaluations. This initiative is an excellent example of improvement by evidence based practice and success of the English National Health Service PROMs scheme.", "author" : [ { "dropping-particle" : "", "family" : "Partridge", "given" : "T", "non-dropping-particle" : "", "parse-names" : false, "suffix" : "" }, { "dropping-particle" : "", "family" : "Carluke", "given" : "I", "non-dropping-particle" : "", "parse-names" : false, "suffix" : "" }, { "dropping-particle" : "", "family" : "Emmerson", "given" : "K", "non-dropping-particle" : "", "parse-names" : false, "suffix" : "" }, { "dropping-particle" : "", "family" : "Partington", "given" : "P", "non-dropping-particle" : "", "parse-names" : false, "suffix" : "" }, { "dropping-particle" : "", "family" : "Reed", "given" : "M", "non-dropping-particle" : "", "parse-names" : false, "suffix" : "" } ], "container-title" : "BMJ quality improvement reports", "id" : "ITEM-1", "issue" : "1 PG  - 10.1136/bmjquality.u204088.w3767. eCollection 2016", "issued" : { "date-parts" : [ [ "2016" ] ] }, "page" : "10.1136/bmjquality.u204088.w3767. eCollection 2016", "publisher-place" : "England", "title" : "Improving patient reported outcome measures (PROMs) in total knee replacement by changing implant and preserving the infrapatella fatpad: a quality improvement project", "type" : "article-journal", "volume" : "5" }, "uris" : [ "http://www.mendeley.com/documents/?uuid=143ccfdb-8afb-4d9a-9336-bd352e8fb42f" ] } ], "mendeley" : { "formattedCitation" : "[55]", "plainTextFormattedCitation" : "[55]", "previouslyFormattedCitation" : "[55]" }, "properties" : {  }, "schema" : "https://github.com/citation-style-language/schema/raw/master/csl-citation.json" }</w:instrText>
            </w:r>
            <w:r w:rsidRPr="001F040C">
              <w:rPr>
                <w:sz w:val="16"/>
                <w:szCs w:val="16"/>
              </w:rPr>
              <w:fldChar w:fldCharType="separate"/>
            </w:r>
            <w:r w:rsidRPr="0056067F">
              <w:rPr>
                <w:noProof/>
                <w:sz w:val="16"/>
                <w:szCs w:val="16"/>
              </w:rPr>
              <w:t>[55]</w:t>
            </w:r>
            <w:r w:rsidRPr="001F040C">
              <w:rPr>
                <w:sz w:val="16"/>
                <w:szCs w:val="16"/>
              </w:rPr>
              <w:fldChar w:fldCharType="end"/>
            </w:r>
            <w:r w:rsidRPr="001F040C">
              <w:rPr>
                <w:sz w:val="16"/>
                <w:szCs w:val="16"/>
              </w:rPr>
              <w:t xml:space="preserve"> Partridge</w:t>
            </w:r>
          </w:p>
        </w:tc>
        <w:tc>
          <w:tcPr>
            <w:tcW w:w="689" w:type="dxa"/>
            <w:hideMark/>
          </w:tcPr>
          <w:p w14:paraId="1FD6164A" w14:textId="63FFA2F3"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3</w:t>
            </w:r>
          </w:p>
        </w:tc>
        <w:tc>
          <w:tcPr>
            <w:tcW w:w="554" w:type="dxa"/>
            <w:hideMark/>
          </w:tcPr>
          <w:p w14:paraId="7321E8BA"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826" w:type="dxa"/>
            <w:hideMark/>
          </w:tcPr>
          <w:p w14:paraId="76EA0B39"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Multiple isolated cycles</w:t>
            </w:r>
          </w:p>
        </w:tc>
        <w:tc>
          <w:tcPr>
            <w:tcW w:w="808" w:type="dxa"/>
            <w:hideMark/>
          </w:tcPr>
          <w:p w14:paraId="0BBD7A07"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571" w:type="dxa"/>
            <w:hideMark/>
          </w:tcPr>
          <w:p w14:paraId="7EFF1CCE"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1C0108DE"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Implementation</w:t>
            </w:r>
          </w:p>
        </w:tc>
        <w:tc>
          <w:tcPr>
            <w:tcW w:w="957" w:type="dxa"/>
            <w:hideMark/>
          </w:tcPr>
          <w:p w14:paraId="084E5AA4"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N/A</w:t>
            </w:r>
          </w:p>
        </w:tc>
        <w:tc>
          <w:tcPr>
            <w:tcW w:w="690" w:type="dxa"/>
            <w:hideMark/>
          </w:tcPr>
          <w:p w14:paraId="40F800D9"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1098" w:type="dxa"/>
            <w:hideMark/>
          </w:tcPr>
          <w:p w14:paraId="05455250"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Irregular: Before and after, or per cycle</w:t>
            </w:r>
          </w:p>
        </w:tc>
        <w:tc>
          <w:tcPr>
            <w:tcW w:w="690" w:type="dxa"/>
            <w:hideMark/>
          </w:tcPr>
          <w:p w14:paraId="4F73737F"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5" w:type="dxa"/>
            <w:hideMark/>
          </w:tcPr>
          <w:p w14:paraId="1B229DF7"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N/A</w:t>
            </w:r>
          </w:p>
        </w:tc>
        <w:tc>
          <w:tcPr>
            <w:tcW w:w="1098" w:type="dxa"/>
            <w:hideMark/>
          </w:tcPr>
          <w:p w14:paraId="1A12C381"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Quantitative</w:t>
            </w:r>
          </w:p>
        </w:tc>
        <w:tc>
          <w:tcPr>
            <w:tcW w:w="961" w:type="dxa"/>
            <w:hideMark/>
          </w:tcPr>
          <w:p w14:paraId="5CE2FD3C"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2" w:type="dxa"/>
            <w:gridSpan w:val="2"/>
            <w:hideMark/>
          </w:tcPr>
          <w:p w14:paraId="0B19CAAE" w14:textId="71DB3645"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Yes</w:t>
            </w:r>
          </w:p>
        </w:tc>
        <w:tc>
          <w:tcPr>
            <w:tcW w:w="1393" w:type="dxa"/>
            <w:hideMark/>
          </w:tcPr>
          <w:p w14:paraId="77812D8E" w14:textId="2BB1170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 xml:space="preserve">External existing knowledge </w:t>
            </w:r>
            <w:r>
              <w:rPr>
                <w:sz w:val="16"/>
                <w:szCs w:val="16"/>
              </w:rPr>
              <w:t>–</w:t>
            </w:r>
            <w:r w:rsidRPr="001F040C">
              <w:rPr>
                <w:sz w:val="16"/>
                <w:szCs w:val="16"/>
              </w:rPr>
              <w:t xml:space="preserve"> Literature</w:t>
            </w:r>
            <w:r>
              <w:rPr>
                <w:sz w:val="16"/>
                <w:szCs w:val="16"/>
              </w:rPr>
              <w:t xml:space="preserve"> </w:t>
            </w:r>
            <w:r w:rsidRPr="001F040C">
              <w:rPr>
                <w:sz w:val="16"/>
                <w:szCs w:val="16"/>
              </w:rPr>
              <w:t>(EBM)</w:t>
            </w:r>
          </w:p>
        </w:tc>
      </w:tr>
      <w:tr w:rsidR="00E42F62" w:rsidRPr="001F040C" w14:paraId="092D0C80" w14:textId="3DF059D3" w:rsidTr="002118F0">
        <w:trPr>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50785207" w14:textId="5D6BDEFE"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"10.1136/bmjquality.u209550.w3941", "ISSN" : "2050-1315", "PMID" : "27493743", "abstract" : "Guidewire retention is a severe but preventable complication from central venous catheter (CVC) insertion. There were three cases of guidewire retention during CVC insertion in the medical intensive care unit (MICU) in Singapore General Hospital, in the period between December 2011 and February 2012. The primary objective of this quality improvement project was to eliminate future incidences of guidewire retention during CVC insertion in the MICU and medical intermediate care area (MICA) via a structured educational program and a cost effective modified CVC set. The secondary objective was to perform a cost analysis and comparison between the use of the conventional hospital CVC set and drape with our newly modified CVC dressing kit. Root cause analysis of the three cases identified major factors leading to guidewire retention. Interventions were planned and tested using PDSA cycles. Internal medicine trainees rotating through MICU and MICA during the period between February 2012 and June 2013 underwent a multi-modal structured CVC insertion training program with hands on simulation. They also used a newly modified CVC dressing kit and drape. The CVC dressing kit was modified (CVC PLUS) to include a sterile drape with reminder stickers stating \"REMOVE the GUIDEWIRE,\" as well as a sterile ultrasound sleeve. The total number of CVC insertions performed and guidewire retentions were monitored. During the period of study there were 320 CVC insertions in the MICU and MICA. Since this quality improvement project was initiated, and up to the submission of this article, there have not been any further cases of guidewire retention in the MICU and MICA. The total cost reduction per use of CVC PLUS was S$29.26 (Singaporean Dollars). A multi-modal structured training program, integrated with a modified, pre-packed CVC set, and drapes with reminder stickers (all included in CVC PLUS) were cost effective, and improved patient safety by eliminating guidewire retention during CVC insertion.", "author" : [ { "dropping-particle" : "", "family" : "Peh", "given" : "Wee Ming", "non-dropping-particle" : "", "parse-names" : false, "suffix" : "" }, { "dropping-particle" : "", "family" : "Jia Loh", "given" : "Wann", "non-dropping-particle" : "", "parse-names" : false, "suffix" : "" }, { "dropping-particle" : "", "family" : "chee phua", "given" : "ghee", "non-dropping-particle" : "", "parse-names" : false, "suffix" : "" }, { "dropping-particle" : "", "family" : "Min Loo", "given" : "Chian", "non-dropping-particle" : "", "parse-names" : false, "suffix" : "" } ], "container-title" : "BMJ Quality Improvement Reports", "id" : "ITEM-1", "issue" : "1", "issued" : { "date-parts" : [ [ "2016" ] ] }, "note" : "Henrik V. B. Laursen (2016-11-24 21:24:30)(Select): suppol: http://qir.bmj.com/content/5/1/u209550.w3941/suppl/DC1;", "page" : "u209550.w3941", "publisher-place" : "England", "title" : "Eliminating guidewire retention during ultrasound guided central venous catheter insertion via an educational program, a modified CVC set, and a drape with reminder stickers", "type" : "article-journal", "volume" : "5" }, "uris" : [ "http://www.mendeley.com/documents/?uuid=09b705a0-1653-4bec-82fd-83161f907cdf" ] } ], "mendeley" : { "formattedCitation" : "[56]", "plainTextFormattedCitation" : "[56]", "previouslyFormattedCitation" : "[56]" }, "properties" : {  }, "schema" : "https://github.com/citation-style-language/schema/raw/master/csl-citation.json" }</w:instrText>
            </w:r>
            <w:r w:rsidRPr="001F040C">
              <w:rPr>
                <w:sz w:val="16"/>
                <w:szCs w:val="16"/>
              </w:rPr>
              <w:fldChar w:fldCharType="separate"/>
            </w:r>
            <w:r w:rsidRPr="0056067F">
              <w:rPr>
                <w:noProof/>
                <w:sz w:val="16"/>
                <w:szCs w:val="16"/>
              </w:rPr>
              <w:t>[56]</w:t>
            </w:r>
            <w:r w:rsidRPr="001F040C">
              <w:rPr>
                <w:sz w:val="16"/>
                <w:szCs w:val="16"/>
              </w:rPr>
              <w:fldChar w:fldCharType="end"/>
            </w:r>
            <w:r w:rsidRPr="001F040C">
              <w:rPr>
                <w:sz w:val="16"/>
                <w:szCs w:val="16"/>
              </w:rPr>
              <w:t xml:space="preserve"> Peh</w:t>
            </w:r>
          </w:p>
        </w:tc>
        <w:tc>
          <w:tcPr>
            <w:tcW w:w="689" w:type="dxa"/>
            <w:hideMark/>
          </w:tcPr>
          <w:p w14:paraId="32EFC417" w14:textId="6A05C38F"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3</w:t>
            </w:r>
          </w:p>
        </w:tc>
        <w:tc>
          <w:tcPr>
            <w:tcW w:w="554" w:type="dxa"/>
            <w:hideMark/>
          </w:tcPr>
          <w:p w14:paraId="33426F43"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6" w:type="dxa"/>
            <w:hideMark/>
          </w:tcPr>
          <w:p w14:paraId="16B32D11"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Iterative chain</w:t>
            </w:r>
          </w:p>
        </w:tc>
        <w:tc>
          <w:tcPr>
            <w:tcW w:w="808" w:type="dxa"/>
            <w:hideMark/>
          </w:tcPr>
          <w:p w14:paraId="72D4A2D7"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571" w:type="dxa"/>
            <w:hideMark/>
          </w:tcPr>
          <w:p w14:paraId="6277FEC0"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3074F447"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Testing</w:t>
            </w:r>
          </w:p>
        </w:tc>
        <w:tc>
          <w:tcPr>
            <w:tcW w:w="957" w:type="dxa"/>
            <w:hideMark/>
          </w:tcPr>
          <w:p w14:paraId="5BAF5E00"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N/A</w:t>
            </w:r>
          </w:p>
        </w:tc>
        <w:tc>
          <w:tcPr>
            <w:tcW w:w="690" w:type="dxa"/>
            <w:hideMark/>
          </w:tcPr>
          <w:p w14:paraId="71B6174A"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1098" w:type="dxa"/>
            <w:hideMark/>
          </w:tcPr>
          <w:p w14:paraId="71A8644C"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A single data point, after cycle</w:t>
            </w:r>
          </w:p>
        </w:tc>
        <w:tc>
          <w:tcPr>
            <w:tcW w:w="690" w:type="dxa"/>
            <w:hideMark/>
          </w:tcPr>
          <w:p w14:paraId="641C9F88"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5" w:type="dxa"/>
            <w:hideMark/>
          </w:tcPr>
          <w:p w14:paraId="39212236"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N/A</w:t>
            </w:r>
          </w:p>
        </w:tc>
        <w:tc>
          <w:tcPr>
            <w:tcW w:w="1098" w:type="dxa"/>
            <w:hideMark/>
          </w:tcPr>
          <w:p w14:paraId="472A4A7B" w14:textId="4D79F06B"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 xml:space="preserve">Quantitative supplemented </w:t>
            </w:r>
          </w:p>
        </w:tc>
        <w:tc>
          <w:tcPr>
            <w:tcW w:w="961" w:type="dxa"/>
            <w:hideMark/>
          </w:tcPr>
          <w:p w14:paraId="3C783ADC"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962" w:type="dxa"/>
            <w:gridSpan w:val="2"/>
            <w:hideMark/>
          </w:tcPr>
          <w:p w14:paraId="6B76CC28" w14:textId="6EF5CFB5"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Yes</w:t>
            </w:r>
          </w:p>
        </w:tc>
        <w:tc>
          <w:tcPr>
            <w:tcW w:w="1393" w:type="dxa"/>
            <w:hideMark/>
          </w:tcPr>
          <w:p w14:paraId="47830A40" w14:textId="2CA35C66"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 xml:space="preserve">Internally developed knowledge - </w:t>
            </w:r>
            <w:r w:rsidRPr="001F040C">
              <w:rPr>
                <w:sz w:val="16"/>
                <w:szCs w:val="16"/>
              </w:rPr>
              <w:lastRenderedPageBreak/>
              <w:t>Logical visualising and description</w:t>
            </w:r>
          </w:p>
        </w:tc>
      </w:tr>
      <w:tr w:rsidR="00E42F62" w:rsidRPr="001F040C" w14:paraId="11C76DA7" w14:textId="0C7FA399" w:rsidTr="002118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20453669" w14:textId="22D4ABD1" w:rsidR="00E42F62" w:rsidRPr="001F040C" w:rsidRDefault="00E42F62" w:rsidP="0087558F">
            <w:pPr>
              <w:rPr>
                <w:sz w:val="16"/>
                <w:szCs w:val="16"/>
              </w:rPr>
            </w:pPr>
            <w:r w:rsidRPr="001F040C">
              <w:rPr>
                <w:sz w:val="16"/>
                <w:szCs w:val="16"/>
              </w:rPr>
              <w:lastRenderedPageBreak/>
              <w:fldChar w:fldCharType="begin" w:fldLock="1"/>
            </w:r>
            <w:r>
              <w:rPr>
                <w:sz w:val="16"/>
                <w:szCs w:val="16"/>
              </w:rPr>
              <w:instrText>ADDIN CSL_CITATION { "citationItems" : [ { "id" : "ITEM-1", "itemData" : { "DOI" : "10.1136/bmjquality.u210929.w4509", "ISSN" : "2050-1315", "PMID" : "28090324", "abstract" : "The opportunities for service users to develop skills for more independent living and take control of their environments are limited in secure mental health units. This paper will outline a quality improvement project that changed how the catering services were delivered in a low secure unit in East London NHS Foundation Trust (ELFT). A Quality Improvement methodology was adopted incorporating the Plan, Do, Study, Act (PDSA) cycle which included the trial of service users preparing their own meals on a daily basis. The participation rates were measured and functional daily living skills were recorded. Following success of the trial, long-term implementation of self-catering was agreed, with service users being supported to prepare a shared evening meal every day on the ward with an average of 60% participation. Functional living skills indicated an improvement in the area of process skills. The project aligned with ELFT's aims of service users working in collaboration with staff to implement changes in service delivery.", "author" : [ { "dropping-particle" : "", "family" : "O'Reilly", "given" : "Alison", "non-dropping-particle" : "", "parse-names" : false, "suffix" : "" } ], "container-title" : "BMJ Quality Improvement Reports", "id" : "ITEM-1", "issue" : "1", "issued" : { "date-parts" : [ [ "2016" ] ] }, "page" : "u210929.w4509", "title" : "Improving ward environments and developing skills for discharge with the implementation of self-catering on a low secure forensic unit.", "type" : "article-journal", "volume" : "5" }, "uris" : [ "http://www.mendeley.com/documents/?uuid=ee368a8e-c373-47dd-8d16-d4dfdc1c824c" ] } ], "mendeley" : { "formattedCitation" : "[57]", "plainTextFormattedCitation" : "[57]", "previouslyFormattedCitation" : "[57]" }, "properties" : {  }, "schema" : "https://github.com/citation-style-language/schema/raw/master/csl-citation.json" }</w:instrText>
            </w:r>
            <w:r w:rsidRPr="001F040C">
              <w:rPr>
                <w:sz w:val="16"/>
                <w:szCs w:val="16"/>
              </w:rPr>
              <w:fldChar w:fldCharType="separate"/>
            </w:r>
            <w:r w:rsidRPr="0056067F">
              <w:rPr>
                <w:noProof/>
                <w:sz w:val="16"/>
                <w:szCs w:val="16"/>
              </w:rPr>
              <w:t>[57]</w:t>
            </w:r>
            <w:r w:rsidRPr="001F040C">
              <w:rPr>
                <w:sz w:val="16"/>
                <w:szCs w:val="16"/>
              </w:rPr>
              <w:fldChar w:fldCharType="end"/>
            </w:r>
            <w:r w:rsidRPr="001F040C">
              <w:rPr>
                <w:sz w:val="16"/>
                <w:szCs w:val="16"/>
              </w:rPr>
              <w:t xml:space="preserve"> Reilly</w:t>
            </w:r>
          </w:p>
        </w:tc>
        <w:tc>
          <w:tcPr>
            <w:tcW w:w="689" w:type="dxa"/>
            <w:hideMark/>
          </w:tcPr>
          <w:p w14:paraId="1A451E8F" w14:textId="0AC84FFF"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3</w:t>
            </w:r>
          </w:p>
        </w:tc>
        <w:tc>
          <w:tcPr>
            <w:tcW w:w="554" w:type="dxa"/>
            <w:hideMark/>
          </w:tcPr>
          <w:p w14:paraId="68B20134"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6" w:type="dxa"/>
            <w:hideMark/>
          </w:tcPr>
          <w:p w14:paraId="0FE51D02"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Iterative chain</w:t>
            </w:r>
          </w:p>
        </w:tc>
        <w:tc>
          <w:tcPr>
            <w:tcW w:w="808" w:type="dxa"/>
            <w:hideMark/>
          </w:tcPr>
          <w:p w14:paraId="63968587"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571" w:type="dxa"/>
            <w:hideMark/>
          </w:tcPr>
          <w:p w14:paraId="208D87E7"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70A3660F"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Testing and implementing</w:t>
            </w:r>
          </w:p>
        </w:tc>
        <w:tc>
          <w:tcPr>
            <w:tcW w:w="957" w:type="dxa"/>
            <w:hideMark/>
          </w:tcPr>
          <w:p w14:paraId="5B250525"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N/A</w:t>
            </w:r>
          </w:p>
        </w:tc>
        <w:tc>
          <w:tcPr>
            <w:tcW w:w="690" w:type="dxa"/>
            <w:hideMark/>
          </w:tcPr>
          <w:p w14:paraId="36433B9A"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1098" w:type="dxa"/>
            <w:hideMark/>
          </w:tcPr>
          <w:p w14:paraId="4C5250A5"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Regular: Three datapoints or more</w:t>
            </w:r>
          </w:p>
        </w:tc>
        <w:tc>
          <w:tcPr>
            <w:tcW w:w="690" w:type="dxa"/>
            <w:hideMark/>
          </w:tcPr>
          <w:p w14:paraId="0CECB1A5"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825" w:type="dxa"/>
            <w:hideMark/>
          </w:tcPr>
          <w:p w14:paraId="6F67C966"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Control Chart</w:t>
            </w:r>
          </w:p>
        </w:tc>
        <w:tc>
          <w:tcPr>
            <w:tcW w:w="1098" w:type="dxa"/>
            <w:hideMark/>
          </w:tcPr>
          <w:p w14:paraId="7BA652AD" w14:textId="5A090C6A"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 xml:space="preserve">Quantitative supplemented </w:t>
            </w:r>
          </w:p>
        </w:tc>
        <w:tc>
          <w:tcPr>
            <w:tcW w:w="961" w:type="dxa"/>
            <w:hideMark/>
          </w:tcPr>
          <w:p w14:paraId="36BEA42B"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2" w:type="dxa"/>
            <w:gridSpan w:val="2"/>
            <w:hideMark/>
          </w:tcPr>
          <w:p w14:paraId="4AACE00F" w14:textId="7282BFAE"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Yes</w:t>
            </w:r>
          </w:p>
        </w:tc>
        <w:tc>
          <w:tcPr>
            <w:tcW w:w="1393" w:type="dxa"/>
            <w:hideMark/>
          </w:tcPr>
          <w:p w14:paraId="651C8281"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External existing knowledge - Benchmarking</w:t>
            </w:r>
          </w:p>
        </w:tc>
      </w:tr>
      <w:tr w:rsidR="00E42F62" w:rsidRPr="001F040C" w14:paraId="4B488B87" w14:textId="6AB39AC3" w:rsidTr="002118F0">
        <w:trPr>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2AC64A87" w14:textId="4CEA53E4"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"10.1136/bmjquality.u206641.w2670", "ISSN" : "2050-1315", "PMID" : "26734340", "abstract" : "AbstractSurgical departments are increasingly put under pressure to improve services, cut waiting lists, increase efficiency and save money. At a district general hospital in the west-midlands we approached the challenge of improving efficiency and optimising the services available in our orthopaedic theatres. Data was collected on: anaesthetic start times, operation start and finish times, and reasons for delay in our trauma theatre over a period from October 2014 to January 2015. During this period a change was implemented to improve the start time of the first operation of each day in the trauma theatre. Through adaptation of a method developed by Javed S et al, a patient was pre-selected by the on-call team and given the name the \"golden patient\" the day before they were due to be operated upon. This nominated patient would then be fixed at the start of the trauma theatre list the following day. The list would only then change if a \"life or limb threatening\" case was admitted overnight. The on-call team would prioritise that this patient was optimised for theatre and the theatre staff would ensure the surgical instruments were prepared. A PDSA cycle method was used, collecting data on 80 orthopaedic trauma cases during the period, and demonstrated a 59 minute (95% CI 45-72) improvement in start times from 10:49 AM to 9:50 AM with a p-value of 0.00024 with the intervention of early allocation of the first patient on the trauma list. A relatively simple intervention tool designed to improve communication within and between health-care teams can have a significant impact on the efficiency of a complex environment such as a trauma theatre.", "author" : [ { "dropping-particle" : "", "family" : "Roberts", "given" : "S.", "non-dropping-particle" : "", "parse-names" : false, "suffix" : "" }, { "dropping-particle" : "", "family" : "Saithna", "given" : "A.", "non-dropping-particle" : "", "parse-names" : false, "suffix" : "" }, { "dropping-particle" : "", "family" : "Bethune", "given" : "R.", "non-dropping-particle" : "", "parse-names" : false, "suffix" : "" } ], "container-title" : "BMJ Quality Improvement Reports", "id" : "ITEM-1", "issue" : "1", "issued" : { "date-parts" : [ [ "2015" ] ] }, "note" : "Henrik V. B. Laursen (2016-11-24 06:57:26)(Select): suppl: http://qir.bmj.com/content/4/1/u206641.w2670/suppl/DC1;", "page" : "u206641.w2670-u206641.w2670", "publisher-place" : "England", "title" : "Improving theatre efficiency and utilisation through early identification of trauma patients and enhanced communication between teams", "type" : "article-journal", "volume" : "4" }, "uris" : [ "http://www.mendeley.com/documents/?uuid=501b27fe-a528-423e-ba65-b62363c39b6f" ] } ], "mendeley" : { "formattedCitation" : "[58]", "plainTextFormattedCitation" : "[58]", "previouslyFormattedCitation" : "[58]" }, "properties" : {  }, "schema" : "https://github.com/citation-style-language/schema/raw/master/csl-citation.json" }</w:instrText>
            </w:r>
            <w:r w:rsidRPr="001F040C">
              <w:rPr>
                <w:sz w:val="16"/>
                <w:szCs w:val="16"/>
              </w:rPr>
              <w:fldChar w:fldCharType="separate"/>
            </w:r>
            <w:r w:rsidRPr="0056067F">
              <w:rPr>
                <w:noProof/>
                <w:sz w:val="16"/>
                <w:szCs w:val="16"/>
              </w:rPr>
              <w:t>[58]</w:t>
            </w:r>
            <w:r w:rsidRPr="001F040C">
              <w:rPr>
                <w:sz w:val="16"/>
                <w:szCs w:val="16"/>
              </w:rPr>
              <w:fldChar w:fldCharType="end"/>
            </w:r>
            <w:r w:rsidRPr="001F040C">
              <w:rPr>
                <w:sz w:val="16"/>
                <w:szCs w:val="16"/>
              </w:rPr>
              <w:t xml:space="preserve"> Roberts</w:t>
            </w:r>
          </w:p>
        </w:tc>
        <w:tc>
          <w:tcPr>
            <w:tcW w:w="689" w:type="dxa"/>
            <w:hideMark/>
          </w:tcPr>
          <w:p w14:paraId="1425F2FD" w14:textId="5890711C"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4</w:t>
            </w:r>
          </w:p>
        </w:tc>
        <w:tc>
          <w:tcPr>
            <w:tcW w:w="554" w:type="dxa"/>
            <w:hideMark/>
          </w:tcPr>
          <w:p w14:paraId="0EE79480"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6" w:type="dxa"/>
            <w:hideMark/>
          </w:tcPr>
          <w:p w14:paraId="6538BC01"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Iterative chain</w:t>
            </w:r>
          </w:p>
        </w:tc>
        <w:tc>
          <w:tcPr>
            <w:tcW w:w="808" w:type="dxa"/>
            <w:hideMark/>
          </w:tcPr>
          <w:p w14:paraId="4C915378"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571" w:type="dxa"/>
            <w:hideMark/>
          </w:tcPr>
          <w:p w14:paraId="7E3C0C04"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60A5E518"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Implementation</w:t>
            </w:r>
          </w:p>
        </w:tc>
        <w:tc>
          <w:tcPr>
            <w:tcW w:w="957" w:type="dxa"/>
            <w:hideMark/>
          </w:tcPr>
          <w:p w14:paraId="1C13CBB0"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N/A</w:t>
            </w:r>
          </w:p>
        </w:tc>
        <w:tc>
          <w:tcPr>
            <w:tcW w:w="690" w:type="dxa"/>
            <w:hideMark/>
          </w:tcPr>
          <w:p w14:paraId="3E79DEDA"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1098" w:type="dxa"/>
            <w:hideMark/>
          </w:tcPr>
          <w:p w14:paraId="646728B6"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Regular: Three datapoints or more</w:t>
            </w:r>
          </w:p>
        </w:tc>
        <w:tc>
          <w:tcPr>
            <w:tcW w:w="690" w:type="dxa"/>
            <w:hideMark/>
          </w:tcPr>
          <w:p w14:paraId="6491ADF3"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5" w:type="dxa"/>
            <w:hideMark/>
          </w:tcPr>
          <w:p w14:paraId="43CB2954"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Control Chart</w:t>
            </w:r>
          </w:p>
        </w:tc>
        <w:tc>
          <w:tcPr>
            <w:tcW w:w="1098" w:type="dxa"/>
            <w:hideMark/>
          </w:tcPr>
          <w:p w14:paraId="63FD647D"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Quantitative</w:t>
            </w:r>
          </w:p>
        </w:tc>
        <w:tc>
          <w:tcPr>
            <w:tcW w:w="961" w:type="dxa"/>
            <w:hideMark/>
          </w:tcPr>
          <w:p w14:paraId="0B04FB9C"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962" w:type="dxa"/>
            <w:gridSpan w:val="2"/>
            <w:hideMark/>
          </w:tcPr>
          <w:p w14:paraId="59354E3C" w14:textId="343C0428"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Yes</w:t>
            </w:r>
          </w:p>
        </w:tc>
        <w:tc>
          <w:tcPr>
            <w:tcW w:w="1393" w:type="dxa"/>
            <w:hideMark/>
          </w:tcPr>
          <w:p w14:paraId="6D074755"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External existing knowledge - Previous QI</w:t>
            </w:r>
          </w:p>
        </w:tc>
      </w:tr>
      <w:tr w:rsidR="00E42F62" w:rsidRPr="001F040C" w14:paraId="3023D092" w14:textId="03EFF267" w:rsidTr="002118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391D996D" w14:textId="38E46470"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"10.1093/intqhc/mzw149", "ISBN" : "1353-4505", "ISSN" : "1353-4505", "PMID" : "28035039", "abstract" : "QUALITY ISSUE Approximately 10% of patients are harmed by healthcare, and of this harm 15% is thought to be medication related. Despite this, medication safety data used for improvement purposes are not often routinely collected by healthcare organizations over time. INITIAL ASSESSMENT A need for a prospective medication safety measurement tool was identified. CHOICE OF SOLUTION The aim was to develop a tool to allow measurement and aid improvement of medication safety over time. The methodology used for the National Health Service (NHS) Safety Thermometer was identified as an approach. The resulting tool was named the 'Medication Safety Thermometer'. IMPLEMENTATION The development of the Medication Safety Thermometer was facilitated by a multidisciplinary steering group using a Plan, Do, Study, Act (PDSA) method. Alpha and beta testing occurred over a period of 9 months. The tool was officially launched in October 2013 and continued to be improved until May 2016 using ongoing user feedback. EVALUATION Feedback was gained through paper and online forms, and was discussed at regular steering group meetings. This resulted in 16 versions of the tool. The tool is now used nationally, with over 230 000 patients surveyed in over 100 NHS organizations. Data from these organizations are openly accessible on a dedicated website. LESSONS LEARNED Measuring harm from medication errors is complex and requires steps to measure individual errors, triggers of harm and actual harm. PDSA methodology can be effectively used to develop measurement systems. Measurement at the point of care is beneficial and a multidisciplinary approach is vital.", "author" : [ { "dropping-particle" : "", "family" : "Rostami", "given" : "Paryaneh", "non-dropping-particle" : "", "parse-names" : false, "suffix" : "" }, { "dropping-particle" : "", "family" : "Power", "given" : "Maxine", "non-dropping-particle" : "", "parse-names" : false, "suffix" : "" }, { "dropping-particle" : "", "family" : "Harrison", "given" : "Abigail", "non-dropping-particle" : "", "parse-names" : false, "suffix" : "" }, { "dropping-particle" : "", "family" : "Bramfitt", "given" : "Kurt", "non-dropping-particle" : "", "parse-names" : false, "suffix" : "" }, { "dropping-particle" : "", "family" : "Williams", "given" : "Steve D.", "non-dropping-particle" : "", "parse-names" : false, "suffix" : "" }, { "dropping-particle" : "", "family" : "Jani", "given" : "Yogini", "non-dropping-particle" : "", "parse-names" : false, "suffix" : "" }, { "dropping-particle" : "", "family" : "Ashcroft", "given" : "Darren M.", "non-dropping-particle" : "", "parse-names" : false, "suffix" : "" }, { "dropping-particle" : "", "family" : "Tully", "given" : "Mary P.", "non-dropping-particle" : "", "parse-names" : false, "suffix" : "" } ], "container-title" : "International Journal for Quality in Health Care", "id" : "ITEM-1", "issued" : { "date-parts" : [ [ "2016" ] ] }, "page" : "1-9", "title" : "Learning from the design, development and implementation of the Medication Safety Thermometer", "type" : "article-journal" }, "uris" : [ "http://www.mendeley.com/documents/?uuid=d1644c06-10da-4174-9e39-af890223ee44" ] } ], "mendeley" : { "formattedCitation" : "[59]", "plainTextFormattedCitation" : "[59]", "previouslyFormattedCitation" : "[59]" }, "properties" : {  }, "schema" : "https://github.com/citation-style-language/schema/raw/master/csl-citation.json" }</w:instrText>
            </w:r>
            <w:r w:rsidRPr="001F040C">
              <w:rPr>
                <w:sz w:val="16"/>
                <w:szCs w:val="16"/>
              </w:rPr>
              <w:fldChar w:fldCharType="separate"/>
            </w:r>
            <w:r w:rsidRPr="0056067F">
              <w:rPr>
                <w:noProof/>
                <w:sz w:val="16"/>
                <w:szCs w:val="16"/>
              </w:rPr>
              <w:t>[59]</w:t>
            </w:r>
            <w:r w:rsidRPr="001F040C">
              <w:rPr>
                <w:sz w:val="16"/>
                <w:szCs w:val="16"/>
              </w:rPr>
              <w:fldChar w:fldCharType="end"/>
            </w:r>
            <w:r w:rsidRPr="001F040C">
              <w:rPr>
                <w:sz w:val="16"/>
                <w:szCs w:val="16"/>
              </w:rPr>
              <w:t xml:space="preserve"> Rostami</w:t>
            </w:r>
          </w:p>
        </w:tc>
        <w:tc>
          <w:tcPr>
            <w:tcW w:w="689" w:type="dxa"/>
            <w:hideMark/>
          </w:tcPr>
          <w:p w14:paraId="3F93CD34" w14:textId="76AAF96D"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4</w:t>
            </w:r>
          </w:p>
        </w:tc>
        <w:tc>
          <w:tcPr>
            <w:tcW w:w="554" w:type="dxa"/>
            <w:hideMark/>
          </w:tcPr>
          <w:p w14:paraId="24341F3B"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6" w:type="dxa"/>
            <w:hideMark/>
          </w:tcPr>
          <w:p w14:paraId="7E9EDE04"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Iterative chain</w:t>
            </w:r>
          </w:p>
        </w:tc>
        <w:tc>
          <w:tcPr>
            <w:tcW w:w="808" w:type="dxa"/>
            <w:hideMark/>
          </w:tcPr>
          <w:p w14:paraId="2FB83983"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571" w:type="dxa"/>
            <w:hideMark/>
          </w:tcPr>
          <w:p w14:paraId="49832C62"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961" w:type="dxa"/>
            <w:gridSpan w:val="2"/>
            <w:hideMark/>
          </w:tcPr>
          <w:p w14:paraId="484A849E"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Testing, implementing and spreading</w:t>
            </w:r>
          </w:p>
        </w:tc>
        <w:tc>
          <w:tcPr>
            <w:tcW w:w="957" w:type="dxa"/>
            <w:hideMark/>
          </w:tcPr>
          <w:p w14:paraId="242432CD"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Increasing</w:t>
            </w:r>
          </w:p>
        </w:tc>
        <w:tc>
          <w:tcPr>
            <w:tcW w:w="690" w:type="dxa"/>
            <w:hideMark/>
          </w:tcPr>
          <w:p w14:paraId="1BBDACBB"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1098" w:type="dxa"/>
            <w:hideMark/>
          </w:tcPr>
          <w:p w14:paraId="569835A2"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Regular: Three datapoints or more</w:t>
            </w:r>
          </w:p>
        </w:tc>
        <w:tc>
          <w:tcPr>
            <w:tcW w:w="690" w:type="dxa"/>
            <w:hideMark/>
          </w:tcPr>
          <w:p w14:paraId="284E6E6E"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5" w:type="dxa"/>
            <w:hideMark/>
          </w:tcPr>
          <w:p w14:paraId="63EF3EFC"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Run Chart</w:t>
            </w:r>
          </w:p>
        </w:tc>
        <w:tc>
          <w:tcPr>
            <w:tcW w:w="1098" w:type="dxa"/>
            <w:hideMark/>
          </w:tcPr>
          <w:p w14:paraId="6C503F42"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Quantitative</w:t>
            </w:r>
          </w:p>
        </w:tc>
        <w:tc>
          <w:tcPr>
            <w:tcW w:w="961" w:type="dxa"/>
            <w:hideMark/>
          </w:tcPr>
          <w:p w14:paraId="5D97AE87"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962" w:type="dxa"/>
            <w:gridSpan w:val="2"/>
            <w:hideMark/>
          </w:tcPr>
          <w:p w14:paraId="1F0F4C15" w14:textId="0AA0CF7D"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Yes</w:t>
            </w:r>
          </w:p>
        </w:tc>
        <w:tc>
          <w:tcPr>
            <w:tcW w:w="1393" w:type="dxa"/>
            <w:hideMark/>
          </w:tcPr>
          <w:p w14:paraId="28E68FB5"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Combination of external and internal</w:t>
            </w:r>
          </w:p>
        </w:tc>
      </w:tr>
      <w:tr w:rsidR="00E42F62" w:rsidRPr="001F040C" w14:paraId="6F8DD6A5" w14:textId="6F0F0181" w:rsidTr="002118F0">
        <w:trPr>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69054542" w14:textId="73267A01"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"10.1136/bmjquality.u206149.w2528 [doi]", "ISSN" : "2050-1315", "abstract" : "Compliance with pathways for hospitalised patients with alcohol dependency syndrome is often poor. A pathway for recognition and treatment of alcohol dependency was redesigned as part of a 12 month service improvement project in the acute medical unit using plan, do, study, act (PDSA) cycles. A needs assessment was undertaken: Audit data from 2013 showed over-prescription of chlordiazepoxide for detoxification treatment (DT) leading to prolonged hospital admissions with an average length of stay of 5.5 days in 2012/2013. Acceptability of screening tools was tested: Common screening tools (CEWA, AUDIT) were rejected by junior doctors due to the high number of questions as too cumbersome for routine practice. Compliance with usage in random samples over a three month period was persistently (n=10%. Testing of an abbreviated AUDIT questionnaire with only two questions and a specified threshold showed a AUROC of 1 (p&lt;0.001 for correct identification). The screening tool was implemented in several PDSAs cycles. After the final cycle a random sample of 100 patients was reviewed for pathway compliance over a three months period. Eighty-six patients were screened with the two-question tool of these 18 were identified as possible risk. Of these 16 patients had the full AUDIT questionnaire, only eight with elevated values were started on DT. Overall compliance with the pathway increased to 84%.", "author" : [ { "dropping-particle" : "", "family" : "Salman", "given" : "M", "non-dropping-particle" : "", "parse-names" : false, "suffix" : "" }, { "dropping-particle" : "", "family" : "Subbe", "given" : "C", "non-dropping-particle" : "", "parse-names" : false, "suffix" : "" } ], "container-title" : "BMJ quality improvement reports", "id" : "ITEM-1", "issue" : "1 PG  - 10.1136/bmjquality.u206149.w2528. eCollection 2015", "issued" : { "date-parts" : [ [ "2015" ] ] }, "note" : "Henrik V. B. Laursen (2016-11-24 22:55:42)(Select): suppl: http://qir.bmj.com/content/4/1/u206149.w2528/suppl/DC1;", "page" : "10.1136/bmjquality.u206149.w2528. eCollection 2015", "publisher-place" : "England", "title" : "Alcohol detoxification in Ysbyty Gwynedd: Two small sips or one big gulp? Two-step screening more reliable for identification of alcohol dependency syndrome at risk of delirium tremens for routine care", "type" : "article-journal", "volume" : "4" }, "uris" : [ "http://www.mendeley.com/documents/?uuid=2805cf1b-4e89-4129-abd3-a99e08875738" ] } ], "mendeley" : { "formattedCitation" : "[60]", "plainTextFormattedCitation" : "[60]", "previouslyFormattedCitation" : "[60]" }, "properties" : {  }, "schema" : "https://github.com/citation-style-language/schema/raw/master/csl-citation.json" }</w:instrText>
            </w:r>
            <w:r w:rsidRPr="001F040C">
              <w:rPr>
                <w:sz w:val="16"/>
                <w:szCs w:val="16"/>
              </w:rPr>
              <w:fldChar w:fldCharType="separate"/>
            </w:r>
            <w:r w:rsidRPr="0056067F">
              <w:rPr>
                <w:noProof/>
                <w:sz w:val="16"/>
                <w:szCs w:val="16"/>
              </w:rPr>
              <w:t>[60]</w:t>
            </w:r>
            <w:r w:rsidRPr="001F040C">
              <w:rPr>
                <w:sz w:val="16"/>
                <w:szCs w:val="16"/>
              </w:rPr>
              <w:fldChar w:fldCharType="end"/>
            </w:r>
            <w:r w:rsidRPr="001F040C">
              <w:rPr>
                <w:sz w:val="16"/>
                <w:szCs w:val="16"/>
              </w:rPr>
              <w:t xml:space="preserve"> Salman</w:t>
            </w:r>
          </w:p>
        </w:tc>
        <w:tc>
          <w:tcPr>
            <w:tcW w:w="689" w:type="dxa"/>
            <w:hideMark/>
          </w:tcPr>
          <w:p w14:paraId="0A3ED51D" w14:textId="56B429E5"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3</w:t>
            </w:r>
          </w:p>
        </w:tc>
        <w:tc>
          <w:tcPr>
            <w:tcW w:w="554" w:type="dxa"/>
            <w:hideMark/>
          </w:tcPr>
          <w:p w14:paraId="27826EBC"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6" w:type="dxa"/>
            <w:hideMark/>
          </w:tcPr>
          <w:p w14:paraId="51DEFAC9"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Iterative chain</w:t>
            </w:r>
          </w:p>
        </w:tc>
        <w:tc>
          <w:tcPr>
            <w:tcW w:w="808" w:type="dxa"/>
            <w:hideMark/>
          </w:tcPr>
          <w:p w14:paraId="7247DEB6"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571" w:type="dxa"/>
            <w:hideMark/>
          </w:tcPr>
          <w:p w14:paraId="4A37E952"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961" w:type="dxa"/>
            <w:gridSpan w:val="2"/>
            <w:hideMark/>
          </w:tcPr>
          <w:p w14:paraId="5DFEDCB5"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Testing and implementing</w:t>
            </w:r>
          </w:p>
        </w:tc>
        <w:tc>
          <w:tcPr>
            <w:tcW w:w="957" w:type="dxa"/>
            <w:hideMark/>
          </w:tcPr>
          <w:p w14:paraId="03D4CAFC"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Increasing</w:t>
            </w:r>
          </w:p>
        </w:tc>
        <w:tc>
          <w:tcPr>
            <w:tcW w:w="690" w:type="dxa"/>
            <w:hideMark/>
          </w:tcPr>
          <w:p w14:paraId="157BE517"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1098" w:type="dxa"/>
            <w:hideMark/>
          </w:tcPr>
          <w:p w14:paraId="4D105808"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A single data point, after cycle</w:t>
            </w:r>
          </w:p>
        </w:tc>
        <w:tc>
          <w:tcPr>
            <w:tcW w:w="690" w:type="dxa"/>
            <w:hideMark/>
          </w:tcPr>
          <w:p w14:paraId="070DF8FC"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5" w:type="dxa"/>
            <w:hideMark/>
          </w:tcPr>
          <w:p w14:paraId="3E15995D"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N/A</w:t>
            </w:r>
          </w:p>
        </w:tc>
        <w:tc>
          <w:tcPr>
            <w:tcW w:w="1098" w:type="dxa"/>
            <w:hideMark/>
          </w:tcPr>
          <w:p w14:paraId="5DA95901"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Quantitative</w:t>
            </w:r>
          </w:p>
        </w:tc>
        <w:tc>
          <w:tcPr>
            <w:tcW w:w="961" w:type="dxa"/>
            <w:hideMark/>
          </w:tcPr>
          <w:p w14:paraId="44C85B7F"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2" w:type="dxa"/>
            <w:gridSpan w:val="2"/>
            <w:hideMark/>
          </w:tcPr>
          <w:p w14:paraId="556AF2B3" w14:textId="2447F904"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Yes</w:t>
            </w:r>
          </w:p>
        </w:tc>
        <w:tc>
          <w:tcPr>
            <w:tcW w:w="1393" w:type="dxa"/>
            <w:hideMark/>
          </w:tcPr>
          <w:p w14:paraId="02ED9586" w14:textId="025CFFE3"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 xml:space="preserve">External existing knowledge </w:t>
            </w:r>
            <w:r>
              <w:rPr>
                <w:sz w:val="16"/>
                <w:szCs w:val="16"/>
              </w:rPr>
              <w:t>–</w:t>
            </w:r>
            <w:r w:rsidRPr="001F040C">
              <w:rPr>
                <w:sz w:val="16"/>
                <w:szCs w:val="16"/>
              </w:rPr>
              <w:t xml:space="preserve"> Literature</w:t>
            </w:r>
            <w:r>
              <w:rPr>
                <w:sz w:val="16"/>
                <w:szCs w:val="16"/>
              </w:rPr>
              <w:t xml:space="preserve"> </w:t>
            </w:r>
            <w:r w:rsidRPr="001F040C">
              <w:rPr>
                <w:sz w:val="16"/>
                <w:szCs w:val="16"/>
              </w:rPr>
              <w:t>(Guidelines)</w:t>
            </w:r>
          </w:p>
        </w:tc>
      </w:tr>
      <w:tr w:rsidR="00E42F62" w:rsidRPr="001F040C" w14:paraId="172E43D6" w14:textId="45A9821A" w:rsidTr="002118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2F707526" w14:textId="6DAC1694"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"10.1002/pbc", "ISBN" : "0732-183X (Print)\\n0732-183X (Linking)", "ISSN" : "0732183X", "PMID" : "2407808", "abstract" : "Prestudy patient characteristics and specific therapy of all eligible patients with rhabdomyosarcoma entered into Intergroup Rhabdomyosarcoma (RMS) Studies I (IRS-I) (1972 to 1978, n = 686) or II (IRS-II) (1978 to 1984, n = 1,002) were examined for their relationship to survival within each of the four clinical groups using univariate and multivariate analyses. The estimated survival at 5 years from the start of treatment was 56% in IRS-I and 62% in IRS-II (P = .006). The largest survival difference between studies was in patients with group III tumors (52% v 65%). The clinical group was the most important patient characteristic related to survival in both studies. Survival progressively decreased for patients from clinical group I (localized disease, completely resected) to group IV (metastatic disease at the onset). In clinical group I, the only patient characteristic consistently related to survival was histology. Patients with alveolar tumors had the poorest survival, while those with botryoid/ embryonal lesions had the best survival. In clinical group II, no characteristic was consistently related to survival. In clinical group III, an orbital primary site was associated with a favorable survival. In clinical group IV, patients with genitourinary tumors had a significant survival advantage. Use of disease-free survival as an end point gave very similar results. This information, from the largest available data base on prognostic indicators in childhood RMS in the context of aggressive multimodal therapies, is being used to plan therapy in the forthcoming study (IRS-IV). \u00a9 1990 by American Society of Clinical Oncology.", "author" : [ { "dropping-particle" : "", "family" : "6 and Joanne Hilden", "given" : "2 Jennifer L. Salstrom MD PhD 1 2 3* Rebecca L. Coughlin MEd 1 4 Kathleen Pool MSN CPNP 1 Melissa Bojan BSN 1 Camille Mediavilla BSN 1 William Schwent MBA 4 Michael Rannie MS 5 Dawn Law MBA 5 Michelle Finnerty BS", "non-dropping-particle" : "", "parse-names" : false, "suffix" : "" } ], "container-title" : "Journal of Clinical Oncology", "id" : "ITEM-1", "issue" : "3", "issued" : { "date-parts" : [ [ "1990" ] ] }, "note" : "Henrik V. B. Laursen (2016-12-01 20:52:35)(Select): ret godt studie;", "page" : "443-452", "publisher" : "The Authors. Pediatric Blood &amp; Cancer Published by Wiley Periodicals, Inc", "publisher-place" : "United States", "title" : "Prognosis in children with rhabdomyosarcoma: A report of the intergroup rhabdomyosarcoma studies I and II", "type" : "article-journal", "volume" : "8" }, "uris" : [ "http://www.mendeley.com/documents/?uuid=88ccfa40-6a82-4dee-9072-c35ed9b3176f" ] } ], "mendeley" : { "formattedCitation" : "[61]", "plainTextFormattedCitation" : "[61]", "previouslyFormattedCitation" : "[61]" }, "properties" : {  }, "schema" : "https://github.com/citation-style-language/schema/raw/master/csl-citation.json" }</w:instrText>
            </w:r>
            <w:r w:rsidRPr="001F040C">
              <w:rPr>
                <w:sz w:val="16"/>
                <w:szCs w:val="16"/>
              </w:rPr>
              <w:fldChar w:fldCharType="separate"/>
            </w:r>
            <w:r w:rsidRPr="0056067F">
              <w:rPr>
                <w:noProof/>
                <w:sz w:val="16"/>
                <w:szCs w:val="16"/>
              </w:rPr>
              <w:t>[61]</w:t>
            </w:r>
            <w:r w:rsidRPr="001F040C">
              <w:rPr>
                <w:sz w:val="16"/>
                <w:szCs w:val="16"/>
              </w:rPr>
              <w:fldChar w:fldCharType="end"/>
            </w:r>
            <w:r w:rsidRPr="001F040C">
              <w:rPr>
                <w:sz w:val="16"/>
                <w:szCs w:val="16"/>
              </w:rPr>
              <w:t xml:space="preserve"> Salstrom</w:t>
            </w:r>
          </w:p>
        </w:tc>
        <w:tc>
          <w:tcPr>
            <w:tcW w:w="689" w:type="dxa"/>
            <w:hideMark/>
          </w:tcPr>
          <w:p w14:paraId="084B114B" w14:textId="29C183C4"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3</w:t>
            </w:r>
          </w:p>
        </w:tc>
        <w:tc>
          <w:tcPr>
            <w:tcW w:w="554" w:type="dxa"/>
            <w:hideMark/>
          </w:tcPr>
          <w:p w14:paraId="42E31F98"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6" w:type="dxa"/>
            <w:hideMark/>
          </w:tcPr>
          <w:p w14:paraId="1E3FF0A6"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Mix of iterative chains and isolated cycles</w:t>
            </w:r>
          </w:p>
        </w:tc>
        <w:tc>
          <w:tcPr>
            <w:tcW w:w="808" w:type="dxa"/>
            <w:hideMark/>
          </w:tcPr>
          <w:p w14:paraId="15FFCF66"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571" w:type="dxa"/>
            <w:hideMark/>
          </w:tcPr>
          <w:p w14:paraId="11C42D49"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2E0A09F6"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Testing and implementing</w:t>
            </w:r>
          </w:p>
        </w:tc>
        <w:tc>
          <w:tcPr>
            <w:tcW w:w="957" w:type="dxa"/>
            <w:hideMark/>
          </w:tcPr>
          <w:p w14:paraId="1E4B032D"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N/A</w:t>
            </w:r>
          </w:p>
        </w:tc>
        <w:tc>
          <w:tcPr>
            <w:tcW w:w="690" w:type="dxa"/>
            <w:hideMark/>
          </w:tcPr>
          <w:p w14:paraId="3EC597A9"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1098" w:type="dxa"/>
            <w:hideMark/>
          </w:tcPr>
          <w:p w14:paraId="3D57FEB8"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Regular: Three datapoints or more</w:t>
            </w:r>
          </w:p>
        </w:tc>
        <w:tc>
          <w:tcPr>
            <w:tcW w:w="690" w:type="dxa"/>
            <w:hideMark/>
          </w:tcPr>
          <w:p w14:paraId="73D3A7E4"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5" w:type="dxa"/>
            <w:hideMark/>
          </w:tcPr>
          <w:p w14:paraId="19DCC7DF"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Control Chart</w:t>
            </w:r>
          </w:p>
        </w:tc>
        <w:tc>
          <w:tcPr>
            <w:tcW w:w="1098" w:type="dxa"/>
            <w:hideMark/>
          </w:tcPr>
          <w:p w14:paraId="45EC7B2C"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Quantitative</w:t>
            </w:r>
          </w:p>
        </w:tc>
        <w:tc>
          <w:tcPr>
            <w:tcW w:w="961" w:type="dxa"/>
            <w:hideMark/>
          </w:tcPr>
          <w:p w14:paraId="1C3E1390"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2" w:type="dxa"/>
            <w:gridSpan w:val="2"/>
            <w:hideMark/>
          </w:tcPr>
          <w:p w14:paraId="14814738" w14:textId="504E05FE"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Yes</w:t>
            </w:r>
          </w:p>
        </w:tc>
        <w:tc>
          <w:tcPr>
            <w:tcW w:w="1393" w:type="dxa"/>
            <w:hideMark/>
          </w:tcPr>
          <w:p w14:paraId="3E95E2E5" w14:textId="7D1E4E86"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Internally developed knowledge - Logical visualising and description</w:t>
            </w:r>
          </w:p>
        </w:tc>
      </w:tr>
      <w:tr w:rsidR="00E42F62" w:rsidRPr="001F040C" w14:paraId="2495721B" w14:textId="406A64C5" w:rsidTr="002118F0">
        <w:trPr>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64ED17A5" w14:textId="7D07B842"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"10.1016/j.carj.2016.07.008", "ISSN" : "14882361", "author" : [ { "dropping-particle" : "", "family" : "Samji", "given" : "Karim", "non-dropping-particle" : "", "parse-names" : false, "suffix" : "" }, { "dropping-particle" : "", "family" : "Kielar", "given" : "Ania", "non-dropping-particle" : "", "parse-names" : false, "suffix" : "" }, { "dropping-particle" : "", "family" : "Connolly", "given" : "Michael", "non-dropping-particle" : "", "parse-names" : false, "suffix" : "" }, { "dropping-particle" : "", "family" : "Hache", "given" : "Etienne", "non-dropping-particle" : "", "parse-names" : false, "suffix" : "" }, { "dropping-particle" : "", "family" : "Doherty", "given" : "Geoffrey", "non-dropping-particle" : "", "parse-names" : false, "suffix" : "" }, { "dropping-particle" : "", "family" : "Fasih", "given" : "Najla", "non-dropping-particle" : "", "parse-names" : false, "suffix" : "" } ], "container-title" : "Canadian Association of Radiologists Journal", "id" : "ITEM-1", "issue" : "1", "issued" : { "date-parts" : [ [ "2017" ] ] }, "page" : "4-9", "publisher" : "Elsevier Inc.", "title" : "Quality Improvement Initiative to Increase Consistent Use of Intraluminal Contrast in the Identification of Anastomotic Bowel Leaks on Computed Tomography, Using the Plan-Do-Study-Act Service Approach", "type" : "article-journal", "volume" : "68" }, "uris" : [ "http://www.mendeley.com/documents/?uuid=ce56743c-df42-4bac-8aed-d4ade747db00" ] } ], "mendeley" : { "formattedCitation" : "[62]", "plainTextFormattedCitation" : "[62]", "previouslyFormattedCitation" : "[62]" }, "properties" : {  }, "schema" : "https://github.com/citation-style-language/schema/raw/master/csl-citation.json" }</w:instrText>
            </w:r>
            <w:r w:rsidRPr="001F040C">
              <w:rPr>
                <w:sz w:val="16"/>
                <w:szCs w:val="16"/>
              </w:rPr>
              <w:fldChar w:fldCharType="separate"/>
            </w:r>
            <w:r w:rsidRPr="0056067F">
              <w:rPr>
                <w:noProof/>
                <w:sz w:val="16"/>
                <w:szCs w:val="16"/>
              </w:rPr>
              <w:t>[62]</w:t>
            </w:r>
            <w:r w:rsidRPr="001F040C">
              <w:rPr>
                <w:sz w:val="16"/>
                <w:szCs w:val="16"/>
              </w:rPr>
              <w:fldChar w:fldCharType="end"/>
            </w:r>
            <w:r w:rsidRPr="001F040C">
              <w:rPr>
                <w:sz w:val="16"/>
                <w:szCs w:val="16"/>
              </w:rPr>
              <w:t xml:space="preserve"> Samji</w:t>
            </w:r>
          </w:p>
        </w:tc>
        <w:tc>
          <w:tcPr>
            <w:tcW w:w="689" w:type="dxa"/>
            <w:hideMark/>
          </w:tcPr>
          <w:p w14:paraId="76B109E7" w14:textId="21A4861E"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3</w:t>
            </w:r>
          </w:p>
        </w:tc>
        <w:tc>
          <w:tcPr>
            <w:tcW w:w="554" w:type="dxa"/>
            <w:hideMark/>
          </w:tcPr>
          <w:p w14:paraId="00D5D184"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6" w:type="dxa"/>
            <w:hideMark/>
          </w:tcPr>
          <w:p w14:paraId="25D36C54"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Iterative chain</w:t>
            </w:r>
          </w:p>
        </w:tc>
        <w:tc>
          <w:tcPr>
            <w:tcW w:w="808" w:type="dxa"/>
            <w:hideMark/>
          </w:tcPr>
          <w:p w14:paraId="3AEF8EE9"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571" w:type="dxa"/>
            <w:hideMark/>
          </w:tcPr>
          <w:p w14:paraId="134A4F0F"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24C7BC7B"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Implementation</w:t>
            </w:r>
          </w:p>
        </w:tc>
        <w:tc>
          <w:tcPr>
            <w:tcW w:w="957" w:type="dxa"/>
            <w:hideMark/>
          </w:tcPr>
          <w:p w14:paraId="31B34E0C"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N/A</w:t>
            </w:r>
          </w:p>
        </w:tc>
        <w:tc>
          <w:tcPr>
            <w:tcW w:w="690" w:type="dxa"/>
            <w:hideMark/>
          </w:tcPr>
          <w:p w14:paraId="46C5EE43"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1098" w:type="dxa"/>
            <w:hideMark/>
          </w:tcPr>
          <w:p w14:paraId="32525A41"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Irregular: Before and after, or per cycle</w:t>
            </w:r>
          </w:p>
        </w:tc>
        <w:tc>
          <w:tcPr>
            <w:tcW w:w="690" w:type="dxa"/>
            <w:hideMark/>
          </w:tcPr>
          <w:p w14:paraId="1C5D4842"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5" w:type="dxa"/>
            <w:hideMark/>
          </w:tcPr>
          <w:p w14:paraId="41A9BAE2"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N/A</w:t>
            </w:r>
          </w:p>
        </w:tc>
        <w:tc>
          <w:tcPr>
            <w:tcW w:w="1098" w:type="dxa"/>
            <w:hideMark/>
          </w:tcPr>
          <w:p w14:paraId="27733EB4"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Quantitative</w:t>
            </w:r>
          </w:p>
        </w:tc>
        <w:tc>
          <w:tcPr>
            <w:tcW w:w="961" w:type="dxa"/>
            <w:hideMark/>
          </w:tcPr>
          <w:p w14:paraId="0B3947A0"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2" w:type="dxa"/>
            <w:gridSpan w:val="2"/>
            <w:hideMark/>
          </w:tcPr>
          <w:p w14:paraId="2F7D7C80" w14:textId="6DC912FF"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Yes</w:t>
            </w:r>
          </w:p>
        </w:tc>
        <w:tc>
          <w:tcPr>
            <w:tcW w:w="1393" w:type="dxa"/>
            <w:hideMark/>
          </w:tcPr>
          <w:p w14:paraId="7C1DF6E4" w14:textId="01421329"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 xml:space="preserve">External existing knowledge </w:t>
            </w:r>
            <w:r>
              <w:rPr>
                <w:sz w:val="16"/>
                <w:szCs w:val="16"/>
              </w:rPr>
              <w:t>–</w:t>
            </w:r>
            <w:r w:rsidRPr="001F040C">
              <w:rPr>
                <w:sz w:val="16"/>
                <w:szCs w:val="16"/>
              </w:rPr>
              <w:t xml:space="preserve"> Literature</w:t>
            </w:r>
            <w:r>
              <w:rPr>
                <w:sz w:val="16"/>
                <w:szCs w:val="16"/>
              </w:rPr>
              <w:t xml:space="preserve"> </w:t>
            </w:r>
            <w:r w:rsidRPr="001F040C">
              <w:rPr>
                <w:sz w:val="16"/>
                <w:szCs w:val="16"/>
              </w:rPr>
              <w:t>(EBM)</w:t>
            </w:r>
          </w:p>
        </w:tc>
      </w:tr>
      <w:tr w:rsidR="00E42F62" w:rsidRPr="001F040C" w14:paraId="14FD6E1C" w14:textId="00813CBD" w:rsidTr="002118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1447313B" w14:textId="6686AFF0"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"10.1136/bmjquality.u211063.w4361", "ISSN" : "2050-1315", "PMID" : "27559471", "abstract" : "Inflammatory Bowel Disease (IBD) is a chronic autoimmune inflammatory disease of the intestine which can lead to malnutrition, poor quality of life, and colon cancer.1\u20134 Although there is no cure for the disease, clinical remission is the primary goal.5 The Center for Inflammatory Bowel Disease at MassGeneral Hospital for Children (MGHfC) adopted a Previsit Planning (PVP) model to identify and discuss symptomatic patients prior to their appointments to identify specific issues that impact disease management.6\u20138 The Registry from ImproveCareNow (ICN), the international Quality Improvement Collaborative for the management of Crohn's Disease and Ulcerative Colitis in pediatric and adolescent patients, was used to capture information from each ambulatory visit and hospitalization. Using the Model for Improvement framework, the team began a weekly review and made care recommendations of patients with active disease who were cared for by one physician. Interventions were modified over multiple Plan-Do-Study-Act (PDSA) improvement cycles to increase the number of providers and to include patients with mild or moderate disease activity.9 Feedback from the providers regarding this process was elicited via a REDCap survey and the clinical remission rate was tracked using the ICN Registry. The clinical remission rate for the Center's patients increased from 77% (n=597) in September 2014 to 83% (n=585) in August 2015 and has been maintained. 78% of responding providers indicated that they found the PVP recommendations helpful \u201call of the time\u201d. One hundred percent who responded to the survey said that they have used at least one recommendation provided to them. PVP for management of a chronic disease in pediatrics is feasible, even in a high volume practice. This process at MGHfC has resulted in the improvement of clinical remission rate. PDSA cycles were used to document successes and failures to help guide the work. Ongoing expansion of this PVP practice to all providers continues with the anticipation of including input from patients and their families, as well.", "author" : [ { "dropping-particle" : "", "family" : "Savarino", "given" : "Jeffrey R.", "non-dropping-particle" : "", "parse-names" : false, "suffix" : "" }, { "dropping-particle" : "", "family" : "Kaplan", "given" : "Jess L.", "non-dropping-particle" : "", "parse-names" : false, "suffix" : "" }, { "dropping-particle" : "", "family" : "Winter", "given" : "Harland S.", "non-dropping-particle" : "", "parse-names" : false, "suffix" : "" }, { "dropping-particle" : "", "family" : "Moran", "given" : "Christopher J.", "non-dropping-particle" : "", "parse-names" : false, "suffix" : "" }, { "dropping-particle" : "", "family" : "Israel", "given" : "Esther J.", "non-dropping-particle" : "", "parse-names" : false, "suffix" : "" } ], "container-title" : "BMJ Quality Improvement Reports", "id" : "ITEM-1", "issue" : "1", "issued" : { "date-parts" : [ [ "2016" ] ] }, "page" : "u211063.w4361", "title" : "Improving Clinical Remission Rates in Pediatric Inflammatory Bowel Disease with Previsit Planning", "type" : "article-journal", "volume" : "5" }, "uris" : [ "http://www.mendeley.com/documents/?uuid=4cd0d43e-a525-47b2-8bae-2f5e4e44c977" ] } ], "mendeley" : { "formattedCitation" : "[63]", "plainTextFormattedCitation" : "[63]", "previouslyFormattedCitation" : "[63]" }, "properties" : {  }, "schema" : "https://github.com/citation-style-language/schema/raw/master/csl-citation.json" }</w:instrText>
            </w:r>
            <w:r w:rsidRPr="001F040C">
              <w:rPr>
                <w:sz w:val="16"/>
                <w:szCs w:val="16"/>
              </w:rPr>
              <w:fldChar w:fldCharType="separate"/>
            </w:r>
            <w:r w:rsidRPr="0056067F">
              <w:rPr>
                <w:noProof/>
                <w:sz w:val="16"/>
                <w:szCs w:val="16"/>
              </w:rPr>
              <w:t>[63]</w:t>
            </w:r>
            <w:r w:rsidRPr="001F040C">
              <w:rPr>
                <w:sz w:val="16"/>
                <w:szCs w:val="16"/>
              </w:rPr>
              <w:fldChar w:fldCharType="end"/>
            </w:r>
            <w:r w:rsidRPr="001F040C">
              <w:rPr>
                <w:sz w:val="16"/>
                <w:szCs w:val="16"/>
              </w:rPr>
              <w:t xml:space="preserve"> Savarino</w:t>
            </w:r>
          </w:p>
        </w:tc>
        <w:tc>
          <w:tcPr>
            <w:tcW w:w="689" w:type="dxa"/>
            <w:hideMark/>
          </w:tcPr>
          <w:p w14:paraId="0A38597D" w14:textId="5CEC65FD"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3</w:t>
            </w:r>
          </w:p>
        </w:tc>
        <w:tc>
          <w:tcPr>
            <w:tcW w:w="554" w:type="dxa"/>
            <w:hideMark/>
          </w:tcPr>
          <w:p w14:paraId="2ECDB49A"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6" w:type="dxa"/>
            <w:hideMark/>
          </w:tcPr>
          <w:p w14:paraId="24964785"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Mix of iterative chains and isolated cycles</w:t>
            </w:r>
          </w:p>
        </w:tc>
        <w:tc>
          <w:tcPr>
            <w:tcW w:w="808" w:type="dxa"/>
            <w:hideMark/>
          </w:tcPr>
          <w:p w14:paraId="34428F69"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571" w:type="dxa"/>
            <w:hideMark/>
          </w:tcPr>
          <w:p w14:paraId="78847DAB"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961" w:type="dxa"/>
            <w:gridSpan w:val="2"/>
            <w:hideMark/>
          </w:tcPr>
          <w:p w14:paraId="0DD5F0C0"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Implementation</w:t>
            </w:r>
          </w:p>
        </w:tc>
        <w:tc>
          <w:tcPr>
            <w:tcW w:w="957" w:type="dxa"/>
            <w:hideMark/>
          </w:tcPr>
          <w:p w14:paraId="017C59C7"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Increasing</w:t>
            </w:r>
          </w:p>
        </w:tc>
        <w:tc>
          <w:tcPr>
            <w:tcW w:w="690" w:type="dxa"/>
            <w:hideMark/>
          </w:tcPr>
          <w:p w14:paraId="1A8CE99B"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1098" w:type="dxa"/>
            <w:hideMark/>
          </w:tcPr>
          <w:p w14:paraId="2AEAAFA2"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Regular: Three datapoints or more</w:t>
            </w:r>
          </w:p>
        </w:tc>
        <w:tc>
          <w:tcPr>
            <w:tcW w:w="690" w:type="dxa"/>
            <w:hideMark/>
          </w:tcPr>
          <w:p w14:paraId="0860B468"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5" w:type="dxa"/>
            <w:hideMark/>
          </w:tcPr>
          <w:p w14:paraId="00F5ADC0"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Control Chart</w:t>
            </w:r>
          </w:p>
        </w:tc>
        <w:tc>
          <w:tcPr>
            <w:tcW w:w="1098" w:type="dxa"/>
            <w:hideMark/>
          </w:tcPr>
          <w:p w14:paraId="6C173DCE" w14:textId="282E2CA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 xml:space="preserve">Quantitative supplemented </w:t>
            </w:r>
          </w:p>
        </w:tc>
        <w:tc>
          <w:tcPr>
            <w:tcW w:w="961" w:type="dxa"/>
            <w:hideMark/>
          </w:tcPr>
          <w:p w14:paraId="52AAFFFC"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2" w:type="dxa"/>
            <w:gridSpan w:val="2"/>
            <w:hideMark/>
          </w:tcPr>
          <w:p w14:paraId="052B42CA" w14:textId="28FD94FA"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Yes</w:t>
            </w:r>
          </w:p>
        </w:tc>
        <w:tc>
          <w:tcPr>
            <w:tcW w:w="1393" w:type="dxa"/>
            <w:hideMark/>
          </w:tcPr>
          <w:p w14:paraId="67ADE37F"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External existing knowledge - Previous QI</w:t>
            </w:r>
          </w:p>
        </w:tc>
      </w:tr>
      <w:tr w:rsidR="00E42F62" w:rsidRPr="001F040C" w14:paraId="38269011" w14:textId="2430E86A" w:rsidTr="002118F0">
        <w:trPr>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5975DC05" w14:textId="3344F0AC"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"10.1136/bmjquality.u210921.w5756", "ISSN" : "2050-1315", "author" : [ { "dropping-particle" : "", "family" : "Singh", "given" : "Inderpal", "non-dropping-particle" : "", "parse-names" : false, "suffix" : "" }, { "dropping-particle" : "", "family" : "Fletcher", "given" : "Rachel", "non-dropping-particle" : "", "parse-names" : false, "suffix" : "" }, { "dropping-particle" : "", "family" : "Scanlon", "given" : "Linda", "non-dropping-particle" : "", "parse-names" : false, "suffix" : "" }, { "dropping-particle" : "", "family" : "Tyler", "given" : "Mandy", "non-dropping-particle" : "", "parse-names" : false, "suffix" : "" }, { "dropping-particle" : "", "family" : "Aithal", "given" : "Shridhar", "non-dropping-particle" : "", "parse-names" : false, "suffix" : "" } ], "container-title" : "BMJ Quality Improvement Reports", "id" : "ITEM-1", "issue" : "1", "issued" : { "date-parts" : [ [ "2016" ] ] }, "page" : "u210921.w5756", "title" : "A quality improvement initiative on the management of osteoporosis in older people with Parkinsonism", "type" : "article-journal", "volume" : "5" }, "uris" : [ "http://www.mendeley.com/documents/?uuid=9b478372-39a5-48ab-9403-211959448b89" ] } ], "mendeley" : { "formattedCitation" : "[64]", "plainTextFormattedCitation" : "[64]", "previouslyFormattedCitation" : "[64]" }, "properties" : {  }, "schema" : "https://github.com/citation-style-language/schema/raw/master/csl-citation.json" }</w:instrText>
            </w:r>
            <w:r w:rsidRPr="001F040C">
              <w:rPr>
                <w:sz w:val="16"/>
                <w:szCs w:val="16"/>
              </w:rPr>
              <w:fldChar w:fldCharType="separate"/>
            </w:r>
            <w:r w:rsidRPr="0056067F">
              <w:rPr>
                <w:noProof/>
                <w:sz w:val="16"/>
                <w:szCs w:val="16"/>
              </w:rPr>
              <w:t>[64]</w:t>
            </w:r>
            <w:r w:rsidRPr="001F040C">
              <w:rPr>
                <w:sz w:val="16"/>
                <w:szCs w:val="16"/>
              </w:rPr>
              <w:fldChar w:fldCharType="end"/>
            </w:r>
            <w:r w:rsidRPr="001F040C">
              <w:rPr>
                <w:sz w:val="16"/>
                <w:szCs w:val="16"/>
              </w:rPr>
              <w:t xml:space="preserve"> Singh</w:t>
            </w:r>
          </w:p>
        </w:tc>
        <w:tc>
          <w:tcPr>
            <w:tcW w:w="689" w:type="dxa"/>
            <w:hideMark/>
          </w:tcPr>
          <w:p w14:paraId="1986A055" w14:textId="5E8A6678"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3</w:t>
            </w:r>
          </w:p>
        </w:tc>
        <w:tc>
          <w:tcPr>
            <w:tcW w:w="554" w:type="dxa"/>
            <w:hideMark/>
          </w:tcPr>
          <w:p w14:paraId="5CC1A1A9"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6" w:type="dxa"/>
            <w:hideMark/>
          </w:tcPr>
          <w:p w14:paraId="0B63C6DC"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Mix of iterative chains and isolated cycles</w:t>
            </w:r>
          </w:p>
        </w:tc>
        <w:tc>
          <w:tcPr>
            <w:tcW w:w="808" w:type="dxa"/>
            <w:hideMark/>
          </w:tcPr>
          <w:p w14:paraId="0DD0A012"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571" w:type="dxa"/>
            <w:hideMark/>
          </w:tcPr>
          <w:p w14:paraId="17998438"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77721C3A"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Implementation</w:t>
            </w:r>
          </w:p>
        </w:tc>
        <w:tc>
          <w:tcPr>
            <w:tcW w:w="957" w:type="dxa"/>
            <w:hideMark/>
          </w:tcPr>
          <w:p w14:paraId="130474E4"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N/A</w:t>
            </w:r>
          </w:p>
        </w:tc>
        <w:tc>
          <w:tcPr>
            <w:tcW w:w="690" w:type="dxa"/>
            <w:hideMark/>
          </w:tcPr>
          <w:p w14:paraId="2D05030E"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1098" w:type="dxa"/>
            <w:hideMark/>
          </w:tcPr>
          <w:p w14:paraId="3452FAB7"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Regular: Three datapoints or more</w:t>
            </w:r>
          </w:p>
        </w:tc>
        <w:tc>
          <w:tcPr>
            <w:tcW w:w="690" w:type="dxa"/>
            <w:hideMark/>
          </w:tcPr>
          <w:p w14:paraId="6E691505"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5" w:type="dxa"/>
            <w:hideMark/>
          </w:tcPr>
          <w:p w14:paraId="50585927"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Run Chart</w:t>
            </w:r>
          </w:p>
        </w:tc>
        <w:tc>
          <w:tcPr>
            <w:tcW w:w="1098" w:type="dxa"/>
            <w:hideMark/>
          </w:tcPr>
          <w:p w14:paraId="6860FC37"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Quantitative</w:t>
            </w:r>
          </w:p>
        </w:tc>
        <w:tc>
          <w:tcPr>
            <w:tcW w:w="961" w:type="dxa"/>
            <w:hideMark/>
          </w:tcPr>
          <w:p w14:paraId="6BB8BC05"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962" w:type="dxa"/>
            <w:gridSpan w:val="2"/>
            <w:hideMark/>
          </w:tcPr>
          <w:p w14:paraId="2911F731" w14:textId="42437041"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Yes</w:t>
            </w:r>
          </w:p>
        </w:tc>
        <w:tc>
          <w:tcPr>
            <w:tcW w:w="1393" w:type="dxa"/>
            <w:hideMark/>
          </w:tcPr>
          <w:p w14:paraId="3144D184" w14:textId="196FDD2B"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 xml:space="preserve">External existing knowledge </w:t>
            </w:r>
            <w:r>
              <w:rPr>
                <w:sz w:val="16"/>
                <w:szCs w:val="16"/>
              </w:rPr>
              <w:t>–</w:t>
            </w:r>
            <w:r w:rsidRPr="001F040C">
              <w:rPr>
                <w:sz w:val="16"/>
                <w:szCs w:val="16"/>
              </w:rPr>
              <w:t xml:space="preserve"> Literature</w:t>
            </w:r>
            <w:r>
              <w:rPr>
                <w:sz w:val="16"/>
                <w:szCs w:val="16"/>
              </w:rPr>
              <w:t xml:space="preserve"> </w:t>
            </w:r>
            <w:r w:rsidRPr="001F040C">
              <w:rPr>
                <w:sz w:val="16"/>
                <w:szCs w:val="16"/>
              </w:rPr>
              <w:t>(Guidelines)</w:t>
            </w:r>
          </w:p>
        </w:tc>
      </w:tr>
      <w:tr w:rsidR="00E42F62" w:rsidRPr="001F040C" w14:paraId="57B5CADF" w14:textId="5271C66C" w:rsidTr="002118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3A71B138" w14:textId="5590E3A0"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"10.1136/bmjquality.u209517.w3931", "ISSN" : "2050-1315", "PMID" : "26734452", "abstract" : "The pediatric clinics of the Michigan State University College of Human Medicine (MSU-CHM) consist of academic pediatricians serving two clinics with a patient population of 5200. The internal quality measures published by the MSU health team had consistently indicated our generic medications prescription rate to be very low, with an average of about 21% for the years 2009, 2010, and 2011. There was an earnest need to increase our generic medication prescription rates, which is considered an indicator of good practice. The stakeholders Sudhanthar, S., Turner, J., Thakur, K., &amp; Sigal, Y. (2015). Improving viable low cost generic medication prescription rate in primary care pediatric practice. BMJ Quality Improvement Reports, 4(1), 3\u20135. http://doi.org/10.1136/bmjquality.u209517.w3931identified were physicians, nurses, care managers, and the health information technology (HIT) team. The purpose of the project was to increase the prescribing rate of viable low cost and approved generic medications for the patients of the MSU-CHM general pediatric clinics. The stakeholders regularly met every few months to work on increasing the generic medication prescription rates based on the PDSA cycle. Help was sought from HIT to identify and acquire the top 10 brand names the group was prescribing along with individual provider data. The team reviewed the brand names most prescribed, and made a recommendation that the best group to target were the stimulant medications, allergy and asthma medications, and other psychotropics. The HIT team was then requested to add the available generics for all stimulant medications, asthma medications, and others in the electronic medical record (EMR). They were also clearly marked for ease of use, for example: amphetamine-dextroamphetamine extended release \"generic for Adderall XR.\" It was decided that providers would prescribe all stimulants as a generic, unless not available, and nurses would change each brand name of stimulants to a generic every time they refilled a medicine, based on a protocol outlining the appropriate generic medications corresponding to the respective brand names. The physicians and nurses were also urged to discuss with the patients the substitution process and answer any questions from parents. Monthly reports were obtained from the HIT about our progress. After 12 months of implementing this project, the overall generic prescription rate increased from 20% at the end of first quarter 2012 to 53% at the end\u2026", "author" : [ { "dropping-particle" : "", "family" : "Sudhanthar", "given" : "Sathyanarayan", "non-dropping-particle" : "", "parse-names" : false, "suffix" : "" }, { "dropping-particle" : "", "family" : "Turner", "given" : "Jane", "non-dropping-particle" : "", "parse-names" : false, "suffix" : "" }, { "dropping-particle" : "", "family" : "Thakur", "given" : "Kripa", "non-dropping-particle" : "", "parse-names" : false, "suffix" : "" }, { "dropping-particle" : "", "family" : "Sigal", "given" : "Yakov", "non-dropping-particle" : "", "parse-names" : false, "suffix" : "" } ], "container-title" : "BMJ quality improvement reports", "id" : "ITEM-1", "issue" : "1", "issued" : { "date-parts" : [ [ "2015" ] ] }, "note" : "Henrik V. B. Laursen (2016-11-24 05:47:09)(Select): suppl: http://qir.bmj.com/content/4/1/u209517.w3931/suppl/DC1;", "page" : "3-5", "publisher-place" : "England", "title" : "Improving viable low cost generic medication prescription rate in primary care pediatric practice.", "type" : "article-journal", "volume" : "4" }, "uris" : [ "http://www.mendeley.com/documents/?uuid=764897de-f3f4-444b-abe7-f7a0e49b208c" ] } ], "mendeley" : { "formattedCitation" : "[65]", "plainTextFormattedCitation" : "[65]", "previouslyFormattedCitation" : "[65]" }, "properties" : {  }, "schema" : "https://github.com/citation-style-language/schema/raw/master/csl-citation.json" }</w:instrText>
            </w:r>
            <w:r w:rsidRPr="001F040C">
              <w:rPr>
                <w:sz w:val="16"/>
                <w:szCs w:val="16"/>
              </w:rPr>
              <w:fldChar w:fldCharType="separate"/>
            </w:r>
            <w:r w:rsidRPr="0056067F">
              <w:rPr>
                <w:noProof/>
                <w:sz w:val="16"/>
                <w:szCs w:val="16"/>
              </w:rPr>
              <w:t>[65]</w:t>
            </w:r>
            <w:r w:rsidRPr="001F040C">
              <w:rPr>
                <w:sz w:val="16"/>
                <w:szCs w:val="16"/>
              </w:rPr>
              <w:fldChar w:fldCharType="end"/>
            </w:r>
            <w:r w:rsidRPr="001F040C">
              <w:rPr>
                <w:sz w:val="16"/>
                <w:szCs w:val="16"/>
              </w:rPr>
              <w:t xml:space="preserve"> Sudhanthar</w:t>
            </w:r>
          </w:p>
        </w:tc>
        <w:tc>
          <w:tcPr>
            <w:tcW w:w="689" w:type="dxa"/>
            <w:hideMark/>
          </w:tcPr>
          <w:p w14:paraId="36A89167" w14:textId="0E454434"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3</w:t>
            </w:r>
          </w:p>
        </w:tc>
        <w:tc>
          <w:tcPr>
            <w:tcW w:w="554" w:type="dxa"/>
            <w:hideMark/>
          </w:tcPr>
          <w:p w14:paraId="7BDEF102"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6" w:type="dxa"/>
            <w:hideMark/>
          </w:tcPr>
          <w:p w14:paraId="32D0DCB4"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Mix of iterative chains and isolated cycles</w:t>
            </w:r>
          </w:p>
        </w:tc>
        <w:tc>
          <w:tcPr>
            <w:tcW w:w="808" w:type="dxa"/>
            <w:hideMark/>
          </w:tcPr>
          <w:p w14:paraId="11AFAC5A"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571" w:type="dxa"/>
            <w:hideMark/>
          </w:tcPr>
          <w:p w14:paraId="1B73ACB3"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3FB504C0"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Testing</w:t>
            </w:r>
          </w:p>
        </w:tc>
        <w:tc>
          <w:tcPr>
            <w:tcW w:w="957" w:type="dxa"/>
            <w:hideMark/>
          </w:tcPr>
          <w:p w14:paraId="4D4C29E1"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N/A</w:t>
            </w:r>
          </w:p>
        </w:tc>
        <w:tc>
          <w:tcPr>
            <w:tcW w:w="690" w:type="dxa"/>
            <w:hideMark/>
          </w:tcPr>
          <w:p w14:paraId="7DEF7633"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1098" w:type="dxa"/>
            <w:hideMark/>
          </w:tcPr>
          <w:p w14:paraId="66967E15"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Regular: Three datapoints or more</w:t>
            </w:r>
          </w:p>
        </w:tc>
        <w:tc>
          <w:tcPr>
            <w:tcW w:w="690" w:type="dxa"/>
            <w:hideMark/>
          </w:tcPr>
          <w:p w14:paraId="366FD9B3"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5" w:type="dxa"/>
            <w:hideMark/>
          </w:tcPr>
          <w:p w14:paraId="7BFF7B58"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Run Chart</w:t>
            </w:r>
          </w:p>
        </w:tc>
        <w:tc>
          <w:tcPr>
            <w:tcW w:w="1098" w:type="dxa"/>
            <w:hideMark/>
          </w:tcPr>
          <w:p w14:paraId="132BDE93"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Quantitative</w:t>
            </w:r>
          </w:p>
        </w:tc>
        <w:tc>
          <w:tcPr>
            <w:tcW w:w="961" w:type="dxa"/>
            <w:hideMark/>
          </w:tcPr>
          <w:p w14:paraId="15066DC5"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2" w:type="dxa"/>
            <w:gridSpan w:val="2"/>
            <w:hideMark/>
          </w:tcPr>
          <w:p w14:paraId="32ADD32B" w14:textId="2AB6BD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Yes</w:t>
            </w:r>
          </w:p>
        </w:tc>
        <w:tc>
          <w:tcPr>
            <w:tcW w:w="1393" w:type="dxa"/>
            <w:hideMark/>
          </w:tcPr>
          <w:p w14:paraId="518ADFBA"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Not stated</w:t>
            </w:r>
          </w:p>
        </w:tc>
      </w:tr>
      <w:tr w:rsidR="00E42F62" w:rsidRPr="001F040C" w14:paraId="6B50F712" w14:textId="39BC2DD6" w:rsidTr="002118F0">
        <w:trPr>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7434A0DB" w14:textId="2B2B26FF"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"10.1136/bmjquality.u209517.w3913", "ISSN" : "2050-1315", "PMID" : "26734415", "abstract" : "Adolescent depression, has been identified as one of the important risk factors for adolescent safety. The American Academy of Pediatrics (AAP) recommends screening the adolescent population for depression with a validated screening tool at least once a year. Given the time constraints in primary care, many physicians tend to rely more on clinical questioning to screen depression.This has the potential to miss many adolescents who may have mild to moderate depression which may prove detrimental to their emotional and physical health. Quality measures had consistently indicated that the validated adolescent depression screening rate in our two pediatric clinics was 10-15% in the past two years starting from 2012. There was a need to increase our screening rate for adolescent depression with a validated questionnaire. The stakeholders identified were physicians, nurses and the health information team (HIT). The Patient Health Questionnaire-2 (PHQ-2) is a standardized tool and serves as a good first step rapid screening of the population. A decision was made to implement the use of PHQ-2 to all the adolescents aged 11-21. A clinic flow protocol was developed. As the patient checks in, there will be a computer pop-up reminding nurses to administer the PHQ-2. The PHQ-2 self-scores in the Electronic Health Record (EHR) and if the score is three or more the nurses would automatically administer the PHQ-9 which is also embedded and self-scored in the EHR. After 12 months of implementing this project with four PDSA cycles, the adolescent depression-screening rate improved from 10-15% from the previous two years to 65% (six month period) and 82% at the end of the 12 month period. The rate of referral to mental health services had also increased in the same time period compared to the previous years. In conclusion, screening for adolescent depression with a brief validated tool in a busy primary care office is possible with the help of the EHR.", "author" : [ { "dropping-particle" : "", "family" : "Sudhanthar", "given" : "Sathyanarayan", "non-dropping-particle" : "", "parse-names" : false, "suffix" : "" }, { "dropping-particle" : "", "family" : "Thakur", "given" : "Kripa", "non-dropping-particle" : "", "parse-names" : false, "suffix" : "" }, { "dropping-particle" : "", "family" : "Sigal", "given" : "Yakov", "non-dropping-particle" : "", "parse-names" : false, "suffix" : "" }, { "dropping-particle" : "", "family" : "Turner", "given" : "Jane", "non-dropping-particle" : "", "parse-names" : false, "suffix" : "" } ], "container-title" : "BMJ Quality Improvement Reports", "id" : "ITEM-1", "issue" : "1", "issued" : { "date-parts" : [ [ "2015" ] ] }, "note" : "Henrik V. B. Laursen (2016-11-24 05:50:47)(Select): suppl: http://qir.bmj.com/content/4/1/u209517.w3913/suppl/DC1;", "page" : "u209517.w3913", "publisher-place" : "England", "title" : "Improving validated depression screen among adolescent population in primary care practice using electronic health records (EHR).", "type" : "article-journal", "volume" : "4" }, "uris" : [ "http://www.mendeley.com/documents/?uuid=e236722f-22c7-4b99-8273-6466508709d1" ] } ], "mendeley" : { "formattedCitation" : "[66]", "plainTextFormattedCitation" : "[66]", "previouslyFormattedCitation" : "[66]" }, "properties" : {  }, "schema" : "https://github.com/citation-style-language/schema/raw/master/csl-citation.json" }</w:instrText>
            </w:r>
            <w:r w:rsidRPr="001F040C">
              <w:rPr>
                <w:sz w:val="16"/>
                <w:szCs w:val="16"/>
              </w:rPr>
              <w:fldChar w:fldCharType="separate"/>
            </w:r>
            <w:r w:rsidRPr="0056067F">
              <w:rPr>
                <w:noProof/>
                <w:sz w:val="16"/>
                <w:szCs w:val="16"/>
              </w:rPr>
              <w:t>[66]</w:t>
            </w:r>
            <w:r w:rsidRPr="001F040C">
              <w:rPr>
                <w:sz w:val="16"/>
                <w:szCs w:val="16"/>
              </w:rPr>
              <w:fldChar w:fldCharType="end"/>
            </w:r>
            <w:r w:rsidRPr="001F040C">
              <w:rPr>
                <w:sz w:val="16"/>
                <w:szCs w:val="16"/>
              </w:rPr>
              <w:t xml:space="preserve"> Sudhanthar</w:t>
            </w:r>
          </w:p>
        </w:tc>
        <w:tc>
          <w:tcPr>
            <w:tcW w:w="689" w:type="dxa"/>
            <w:hideMark/>
          </w:tcPr>
          <w:p w14:paraId="220BD537" w14:textId="0E7E2158"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3</w:t>
            </w:r>
          </w:p>
        </w:tc>
        <w:tc>
          <w:tcPr>
            <w:tcW w:w="554" w:type="dxa"/>
            <w:hideMark/>
          </w:tcPr>
          <w:p w14:paraId="3AFF68EF"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6" w:type="dxa"/>
            <w:hideMark/>
          </w:tcPr>
          <w:p w14:paraId="73697D60"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Iterative chain</w:t>
            </w:r>
          </w:p>
        </w:tc>
        <w:tc>
          <w:tcPr>
            <w:tcW w:w="808" w:type="dxa"/>
            <w:hideMark/>
          </w:tcPr>
          <w:p w14:paraId="30FBC2F0"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571" w:type="dxa"/>
            <w:hideMark/>
          </w:tcPr>
          <w:p w14:paraId="45723CCA"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4A92F5C9"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Implementation</w:t>
            </w:r>
          </w:p>
        </w:tc>
        <w:tc>
          <w:tcPr>
            <w:tcW w:w="957" w:type="dxa"/>
            <w:hideMark/>
          </w:tcPr>
          <w:p w14:paraId="3427A436"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N/A</w:t>
            </w:r>
          </w:p>
        </w:tc>
        <w:tc>
          <w:tcPr>
            <w:tcW w:w="690" w:type="dxa"/>
            <w:hideMark/>
          </w:tcPr>
          <w:p w14:paraId="6FD3884E"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1098" w:type="dxa"/>
            <w:hideMark/>
          </w:tcPr>
          <w:p w14:paraId="2120FD44"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Regular: Three datapoints or more</w:t>
            </w:r>
          </w:p>
        </w:tc>
        <w:tc>
          <w:tcPr>
            <w:tcW w:w="690" w:type="dxa"/>
            <w:hideMark/>
          </w:tcPr>
          <w:p w14:paraId="09A0E6F5"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5" w:type="dxa"/>
            <w:hideMark/>
          </w:tcPr>
          <w:p w14:paraId="7CC902E4"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Run Chart</w:t>
            </w:r>
          </w:p>
        </w:tc>
        <w:tc>
          <w:tcPr>
            <w:tcW w:w="1098" w:type="dxa"/>
            <w:hideMark/>
          </w:tcPr>
          <w:p w14:paraId="4680E661"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Quantitative</w:t>
            </w:r>
          </w:p>
        </w:tc>
        <w:tc>
          <w:tcPr>
            <w:tcW w:w="961" w:type="dxa"/>
            <w:hideMark/>
          </w:tcPr>
          <w:p w14:paraId="5A12F353"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2" w:type="dxa"/>
            <w:gridSpan w:val="2"/>
            <w:hideMark/>
          </w:tcPr>
          <w:p w14:paraId="240D9A0F" w14:textId="760500CF"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Yes</w:t>
            </w:r>
          </w:p>
        </w:tc>
        <w:tc>
          <w:tcPr>
            <w:tcW w:w="1393" w:type="dxa"/>
            <w:hideMark/>
          </w:tcPr>
          <w:p w14:paraId="38DC024C" w14:textId="7B33FFC9"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 xml:space="preserve">External existing knowledge </w:t>
            </w:r>
            <w:r>
              <w:rPr>
                <w:sz w:val="16"/>
                <w:szCs w:val="16"/>
              </w:rPr>
              <w:t>–</w:t>
            </w:r>
            <w:r w:rsidRPr="001F040C">
              <w:rPr>
                <w:sz w:val="16"/>
                <w:szCs w:val="16"/>
              </w:rPr>
              <w:t xml:space="preserve"> Literature</w:t>
            </w:r>
            <w:r>
              <w:rPr>
                <w:sz w:val="16"/>
                <w:szCs w:val="16"/>
              </w:rPr>
              <w:t xml:space="preserve"> </w:t>
            </w:r>
            <w:r w:rsidRPr="001F040C">
              <w:rPr>
                <w:sz w:val="16"/>
                <w:szCs w:val="16"/>
              </w:rPr>
              <w:t>(Guidelines)</w:t>
            </w:r>
          </w:p>
        </w:tc>
      </w:tr>
      <w:tr w:rsidR="00E42F62" w:rsidRPr="001F040C" w14:paraId="5F5A5215" w14:textId="777A7A63" w:rsidTr="002118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1C236919" w14:textId="264586B4"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"10.1200/JOP.2015.007765", "ISBN" : "0923-7534", "ISSN" : "1554-7477", "PMID" : "26759493", "abstract" : "PURPOSE To meet increasing demand for cancer genetic testing and improve value-based cancer care delivery, National Cancer Centre Singapore restructured the Cancer Genetics Service in 2014. Care delivery processes were redesigned. We sought to improve access by increasing the clinic capacity of the Cancer Genetics Service by 100% within 1 year without increasing direct personnel costs. METHODS Process mapping and plan-do-study-act (PDSA) cycles were used in a quality improvement project for the Cancer Genetics Service clinic. The impact of interventions was evaluated by tracking the weekly number of patient consultations and access times for appointments between April 2014 and May 2015. The cost impact of implemented process changes was calculated using the time-driven activity-based costing method. RESULTS Our study completed two PDSA cycles. An important outcome was achieved after the first cycle: The inclusion of a genetic counselor increased clinic capacity by 350%. The number of patients seen per week increased from two in April 2014 (range, zero to four patients) to seven in November 2014 (range, four to 10 patients). Our second PDSA cycle showed that manual preappointment reminder calls reduced the variation in the nonattendance rate and contributed to a further increase in patients seen per week to 10 in May 2015 (range, seven to 13 patients). There was a concomitant decrease in costs of the patient care cycle by 18% after both PDSA cycles. CONCLUSION This study shows how quality improvement methods can be combined with time-driven activity-based costing to increase value. In this paper, we demonstrate how we improved access while reducing costs of care delivery.", "author" : [ { "dropping-particle" : "", "family" : "Tan", "given" : "Ryan Y.C.", "non-dropping-particle" : "", "parse-names" : false, "suffix" : "" }, { "dropping-particle" : "", "family" : "Met-Domestici", "given" : "Marie", "non-dropping-particle" : "", "parse-names" : false, "suffix" : "" }, { "dropping-particle" : "", "family" : "Zhou", "given" : "Ke", "non-dropping-particle" : "", "parse-names" : false, "suffix" : "" }, { "dropping-particle" : "", "family" : "Guzman", "given" : "Alexis B.", "non-dropping-particle" : "", "parse-names" : false, "suffix" : "" }, { "dropping-particle" : "", "family" : "Lim", "given" : "Soon Thye", "non-dropping-particle" : "", "parse-names" : false, "suffix" : "" }, { "dropping-particle" : "", "family" : "Soo", "given" : "Khee Chee", "non-dropping-particle" : "", "parse-names" : false, "suffix" : "" }, { "dropping-particle" : "", "family" : "Feeley", "given" : "Thomas W.", "non-dropping-particle" : "", "parse-names" : false, "suffix" : "" }, { "dropping-particle" : "", "family" : "Ngeow", "given" : "Joanne", "non-dropping-particle" : "", "parse-names" : false, "suffix" : "" } ], "container-title" : "Journal of Oncology Practice", "id" : "ITEM-1", "issue" : "3", "issued" : { "date-parts" : [ [ "2016" ] ] }, "page" : "e320-e331", "title" : "Using Quality Improvement Methods and Time-Driven Activity-Based Costing to Improve Value-Based Cancer Care Delivery at a Cancer Genetics Clinic", "type" : "article-journal", "volume" : "12" }, "uris" : [ "http://www.mendeley.com/documents/?uuid=14ccc256-03f4-442a-9775-d523b0f0f380" ] } ], "mendeley" : { "formattedCitation" : "[67]", "plainTextFormattedCitation" : "[67]", "previouslyFormattedCitation" : "[67]" }, "properties" : {  }, "schema" : "https://github.com/citation-style-language/schema/raw/master/csl-citation.json" }</w:instrText>
            </w:r>
            <w:r w:rsidRPr="001F040C">
              <w:rPr>
                <w:sz w:val="16"/>
                <w:szCs w:val="16"/>
              </w:rPr>
              <w:fldChar w:fldCharType="separate"/>
            </w:r>
            <w:r w:rsidRPr="0056067F">
              <w:rPr>
                <w:noProof/>
                <w:sz w:val="16"/>
                <w:szCs w:val="16"/>
              </w:rPr>
              <w:t>[67]</w:t>
            </w:r>
            <w:r w:rsidRPr="001F040C">
              <w:rPr>
                <w:sz w:val="16"/>
                <w:szCs w:val="16"/>
              </w:rPr>
              <w:fldChar w:fldCharType="end"/>
            </w:r>
            <w:r w:rsidRPr="001F040C">
              <w:rPr>
                <w:sz w:val="16"/>
                <w:szCs w:val="16"/>
              </w:rPr>
              <w:t xml:space="preserve"> Tan</w:t>
            </w:r>
          </w:p>
        </w:tc>
        <w:tc>
          <w:tcPr>
            <w:tcW w:w="689" w:type="dxa"/>
            <w:hideMark/>
          </w:tcPr>
          <w:p w14:paraId="1583ABCB" w14:textId="68EA0F1A"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3</w:t>
            </w:r>
          </w:p>
        </w:tc>
        <w:tc>
          <w:tcPr>
            <w:tcW w:w="554" w:type="dxa"/>
            <w:hideMark/>
          </w:tcPr>
          <w:p w14:paraId="776237B3"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826" w:type="dxa"/>
            <w:hideMark/>
          </w:tcPr>
          <w:p w14:paraId="0DFFCDA2"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 xml:space="preserve">Multiple isolated </w:t>
            </w:r>
            <w:r w:rsidRPr="001F040C">
              <w:rPr>
                <w:sz w:val="16"/>
                <w:szCs w:val="16"/>
              </w:rPr>
              <w:lastRenderedPageBreak/>
              <w:t>cycles</w:t>
            </w:r>
          </w:p>
        </w:tc>
        <w:tc>
          <w:tcPr>
            <w:tcW w:w="808" w:type="dxa"/>
            <w:hideMark/>
          </w:tcPr>
          <w:p w14:paraId="29808037"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lastRenderedPageBreak/>
              <w:t>No</w:t>
            </w:r>
          </w:p>
        </w:tc>
        <w:tc>
          <w:tcPr>
            <w:tcW w:w="571" w:type="dxa"/>
            <w:hideMark/>
          </w:tcPr>
          <w:p w14:paraId="41C398F2"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07CF4306"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Testing</w:t>
            </w:r>
          </w:p>
        </w:tc>
        <w:tc>
          <w:tcPr>
            <w:tcW w:w="957" w:type="dxa"/>
            <w:hideMark/>
          </w:tcPr>
          <w:p w14:paraId="1929F5BF"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N/A</w:t>
            </w:r>
          </w:p>
        </w:tc>
        <w:tc>
          <w:tcPr>
            <w:tcW w:w="690" w:type="dxa"/>
            <w:hideMark/>
          </w:tcPr>
          <w:p w14:paraId="79C55DAD"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1098" w:type="dxa"/>
            <w:hideMark/>
          </w:tcPr>
          <w:p w14:paraId="23A7A604"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 xml:space="preserve">Regular: Three </w:t>
            </w:r>
            <w:r w:rsidRPr="001F040C">
              <w:rPr>
                <w:sz w:val="16"/>
                <w:szCs w:val="16"/>
              </w:rPr>
              <w:lastRenderedPageBreak/>
              <w:t>datapoints or more</w:t>
            </w:r>
          </w:p>
        </w:tc>
        <w:tc>
          <w:tcPr>
            <w:tcW w:w="690" w:type="dxa"/>
            <w:hideMark/>
          </w:tcPr>
          <w:p w14:paraId="7198BE24"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lastRenderedPageBreak/>
              <w:t>Yes</w:t>
            </w:r>
          </w:p>
        </w:tc>
        <w:tc>
          <w:tcPr>
            <w:tcW w:w="825" w:type="dxa"/>
            <w:hideMark/>
          </w:tcPr>
          <w:p w14:paraId="0BC3715A"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Control Chart</w:t>
            </w:r>
          </w:p>
        </w:tc>
        <w:tc>
          <w:tcPr>
            <w:tcW w:w="1098" w:type="dxa"/>
            <w:hideMark/>
          </w:tcPr>
          <w:p w14:paraId="63E0505A"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Quantitative</w:t>
            </w:r>
          </w:p>
        </w:tc>
        <w:tc>
          <w:tcPr>
            <w:tcW w:w="961" w:type="dxa"/>
            <w:hideMark/>
          </w:tcPr>
          <w:p w14:paraId="2F77718D"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2" w:type="dxa"/>
            <w:gridSpan w:val="2"/>
            <w:hideMark/>
          </w:tcPr>
          <w:p w14:paraId="144BF46F" w14:textId="5A415AB8"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Yes</w:t>
            </w:r>
          </w:p>
        </w:tc>
        <w:tc>
          <w:tcPr>
            <w:tcW w:w="1393" w:type="dxa"/>
            <w:hideMark/>
          </w:tcPr>
          <w:p w14:paraId="40ED015E" w14:textId="191F601D"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 xml:space="preserve">Internally developed </w:t>
            </w:r>
            <w:r w:rsidRPr="001F040C">
              <w:rPr>
                <w:sz w:val="16"/>
                <w:szCs w:val="16"/>
              </w:rPr>
              <w:lastRenderedPageBreak/>
              <w:t>knowledge - Logical visualising and description</w:t>
            </w:r>
          </w:p>
        </w:tc>
      </w:tr>
      <w:tr w:rsidR="00E42F62" w:rsidRPr="001F040C" w14:paraId="7148CA5E" w14:textId="57861E6A" w:rsidTr="002118F0">
        <w:trPr>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270BCECA" w14:textId="2F2A8979" w:rsidR="00E42F62" w:rsidRPr="001F040C" w:rsidRDefault="00E42F62" w:rsidP="0087558F">
            <w:pPr>
              <w:rPr>
                <w:sz w:val="16"/>
                <w:szCs w:val="16"/>
              </w:rPr>
            </w:pPr>
            <w:r w:rsidRPr="001F040C">
              <w:rPr>
                <w:sz w:val="16"/>
                <w:szCs w:val="16"/>
              </w:rPr>
              <w:lastRenderedPageBreak/>
              <w:fldChar w:fldCharType="begin" w:fldLock="1"/>
            </w:r>
            <w:r>
              <w:rPr>
                <w:sz w:val="16"/>
                <w:szCs w:val="16"/>
              </w:rPr>
              <w:instrText>ADDIN CSL_CITATION { "citationItems" : [ { "id" : "ITEM-1", "itemData" : { "DOI" : "10.1186/s12245-015-0072-5", "ISBN" : "1865-1380", "ISSN" : "18651380", "PMID" : "26191085", "abstract" : "BACKGROUND:Mnazi Mmoja Hospital is a tertiary hospital in Zanzibar serving a population of 1.2 million. The emergency department was overcrowded and understaffed and the hospital management initiated a quality improvement project. The aim of this article is to describe the approach, methods and main results of this quality improvement process.METHODS:The Plan-Do-Study-Act (PDSA) method was used in a five-circle process. In addition, a consensus-based approach was performed to identify areas of improvement.RESULTS:Over a period of 6months, regular staff meetings were implemented, a registration system was developed and implemented, the numbers of patients with simple problems were reduced, a simple triage tool was developed and implemented and an emergency room was established.CONCLUSIONS:Change and improvement in health care are achievable despite limited financial resources if a comprehensive, robust and simple system is used. Involvement of all stakeholders from the start, identification and use of change agents, regular feedback and a focus on human resources rather than equipment have been key factors for the success of this project.", "author" : [ { "dropping-particle" : "", "family" : "Thomassen", "given" : "Oyvind", "non-dropping-particle" : "", "parse-names" : false, "suffix" : "" }, { "dropping-particle" : "", "family" : "Mann", "given" : "Clifford", "non-dropping-particle" : "", "parse-names" : false, "suffix" : "" }, { "dropping-particle" : "", "family" : "Mbwana", "given" : "Juma Salum", "non-dropping-particle" : "", "parse-names" : false, "suffix" : "" }, { "dropping-particle" : "", "family" : "Brattebo", "given" : "Guttorm", "non-dropping-particle" : "", "parse-names" : false, "suffix" : "" } ], "container-title" : "International Journal of Emergency Medicine", "id" : "ITEM-1", "issue" : "1", "issued" : { "date-parts" : [ [ "2015" ] ] }, "page" : "22", "publisher-place" : "England", "title" : "Emergency medicine in Zanzibar: the effect of system changes in the emergency department", "type" : "article-journal", "volume" : "8" }, "uris" : [ "http://www.mendeley.com/documents/?uuid=ae9efd22-d987-4d4e-875a-e871c9afeebb" ] } ], "mendeley" : { "formattedCitation" : "[68]", "plainTextFormattedCitation" : "[68]", "previouslyFormattedCitation" : "[68]" }, "properties" : {  }, "schema" : "https://github.com/citation-style-language/schema/raw/master/csl-citation.json" }</w:instrText>
            </w:r>
            <w:r w:rsidRPr="001F040C">
              <w:rPr>
                <w:sz w:val="16"/>
                <w:szCs w:val="16"/>
              </w:rPr>
              <w:fldChar w:fldCharType="separate"/>
            </w:r>
            <w:r w:rsidRPr="0056067F">
              <w:rPr>
                <w:noProof/>
                <w:sz w:val="16"/>
                <w:szCs w:val="16"/>
              </w:rPr>
              <w:t>[68]</w:t>
            </w:r>
            <w:r w:rsidRPr="001F040C">
              <w:rPr>
                <w:sz w:val="16"/>
                <w:szCs w:val="16"/>
              </w:rPr>
              <w:fldChar w:fldCharType="end"/>
            </w:r>
            <w:r w:rsidRPr="001F040C">
              <w:rPr>
                <w:sz w:val="16"/>
                <w:szCs w:val="16"/>
              </w:rPr>
              <w:t xml:space="preserve"> Thomassen</w:t>
            </w:r>
          </w:p>
        </w:tc>
        <w:tc>
          <w:tcPr>
            <w:tcW w:w="689" w:type="dxa"/>
            <w:hideMark/>
          </w:tcPr>
          <w:p w14:paraId="0B08E916" w14:textId="4E1A4141"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3</w:t>
            </w:r>
          </w:p>
        </w:tc>
        <w:tc>
          <w:tcPr>
            <w:tcW w:w="554" w:type="dxa"/>
            <w:hideMark/>
          </w:tcPr>
          <w:p w14:paraId="6FE2B254"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6" w:type="dxa"/>
            <w:hideMark/>
          </w:tcPr>
          <w:p w14:paraId="66E02957"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Mix of iterative chains and isolated cycles</w:t>
            </w:r>
          </w:p>
        </w:tc>
        <w:tc>
          <w:tcPr>
            <w:tcW w:w="808" w:type="dxa"/>
            <w:hideMark/>
          </w:tcPr>
          <w:p w14:paraId="409ECCF1"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571" w:type="dxa"/>
            <w:hideMark/>
          </w:tcPr>
          <w:p w14:paraId="27290754"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6C0AE9D2"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Testing</w:t>
            </w:r>
          </w:p>
        </w:tc>
        <w:tc>
          <w:tcPr>
            <w:tcW w:w="957" w:type="dxa"/>
            <w:hideMark/>
          </w:tcPr>
          <w:p w14:paraId="498E4BE8"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N/A</w:t>
            </w:r>
          </w:p>
        </w:tc>
        <w:tc>
          <w:tcPr>
            <w:tcW w:w="690" w:type="dxa"/>
            <w:hideMark/>
          </w:tcPr>
          <w:p w14:paraId="7302ED01"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1098" w:type="dxa"/>
            <w:hideMark/>
          </w:tcPr>
          <w:p w14:paraId="524B2484"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Regular: Three datapoints or more</w:t>
            </w:r>
          </w:p>
        </w:tc>
        <w:tc>
          <w:tcPr>
            <w:tcW w:w="690" w:type="dxa"/>
            <w:hideMark/>
          </w:tcPr>
          <w:p w14:paraId="27C4BE30"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5" w:type="dxa"/>
            <w:hideMark/>
          </w:tcPr>
          <w:p w14:paraId="41C0EFEF"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Control Chart</w:t>
            </w:r>
          </w:p>
        </w:tc>
        <w:tc>
          <w:tcPr>
            <w:tcW w:w="1098" w:type="dxa"/>
            <w:hideMark/>
          </w:tcPr>
          <w:p w14:paraId="21C17C04"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Quantitative</w:t>
            </w:r>
          </w:p>
        </w:tc>
        <w:tc>
          <w:tcPr>
            <w:tcW w:w="961" w:type="dxa"/>
            <w:hideMark/>
          </w:tcPr>
          <w:p w14:paraId="16BF7747"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2" w:type="dxa"/>
            <w:gridSpan w:val="2"/>
            <w:hideMark/>
          </w:tcPr>
          <w:p w14:paraId="4A4F9FC1"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Not stated</w:t>
            </w:r>
          </w:p>
        </w:tc>
        <w:tc>
          <w:tcPr>
            <w:tcW w:w="1393" w:type="dxa"/>
            <w:hideMark/>
          </w:tcPr>
          <w:p w14:paraId="6BB09B75"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Not stated</w:t>
            </w:r>
          </w:p>
        </w:tc>
      </w:tr>
      <w:tr w:rsidR="00E42F62" w:rsidRPr="001F040C" w14:paraId="57A24E90" w14:textId="59F0FEF5" w:rsidTr="002118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10886386" w14:textId="1DEF8E76"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"10.1097/NCQ.0000000000000107", "ISBN" : "1057-3631", "ISSN" : "15505065", "PMID" : "25503373", "abstract" : "Implementation of effective family-centered rounds in an intensive care unit environment is fraught with challenges. We describe the application of PDSA (Plan, Do, Study, Act) cycles in a quality improvement project to improve the process of rounds and increase family participation and provider satisfaction. We conducted pre-/postintervention surveys and used 5 process measures for a total of 1296 daily patient rounds over 7 months. We were successful in conducting family-centered rounds for 90% of patients, with 40% family participation and a 64.6% satisfactory rating by pediatric intensive care unit providers.", "author" : [ { "dropping-particle" : "", "family" : "Tripathi", "given" : "Sandeep", "non-dropping-particle" : "", "parse-names" : false, "suffix" : "" }, { "dropping-particle" : "", "family" : "Arteaga", "given" : "Grace", "non-dropping-particle" : "", "parse-names" : false, "suffix" : "" }, { "dropping-particle" : "", "family" : "Rohlik", "given" : "Gina", "non-dropping-particle" : "", "parse-names" : false, "suffix" : "" }, { "dropping-particle" : "", "family" : "Boynton", "given" : "Bradley", "non-dropping-particle" : "", "parse-names" : false, "suffix" : "" }, { "dropping-particle" : "", "family" : "Graner", "given" : "Kevin", "non-dropping-particle" : "", "parse-names" : false, "suffix" : "" }, { "dropping-particle" : "", "family" : "Ouellette", "given" : "Yves", "non-dropping-particle" : "", "parse-names" : false, "suffix" : "" } ], "container-title" : "Journal of Nursing Care Quality", "id" : "ITEM-1", "issue" : "2", "issued" : { "date-parts" : [ [ "2015" ] ] }, "page" : "160-166", "publisher-place" : "United States", "title" : "Implementation of Patient-Centered Bedside Rounds in the Pediatric Intensive Care Unit", "type" : "article-journal", "volume" : "30" }, "uris" : [ "http://www.mendeley.com/documents/?uuid=6543bd43-60e2-42e8-ba44-4558b5f7b3b8" ] } ], "mendeley" : { "formattedCitation" : "[69]", "plainTextFormattedCitation" : "[69]", "previouslyFormattedCitation" : "[69]" }, "properties" : {  }, "schema" : "https://github.com/citation-style-language/schema/raw/master/csl-citation.json" }</w:instrText>
            </w:r>
            <w:r w:rsidRPr="001F040C">
              <w:rPr>
                <w:sz w:val="16"/>
                <w:szCs w:val="16"/>
              </w:rPr>
              <w:fldChar w:fldCharType="separate"/>
            </w:r>
            <w:r w:rsidRPr="0056067F">
              <w:rPr>
                <w:noProof/>
                <w:sz w:val="16"/>
                <w:szCs w:val="16"/>
              </w:rPr>
              <w:t>[69]</w:t>
            </w:r>
            <w:r w:rsidRPr="001F040C">
              <w:rPr>
                <w:sz w:val="16"/>
                <w:szCs w:val="16"/>
              </w:rPr>
              <w:fldChar w:fldCharType="end"/>
            </w:r>
            <w:r w:rsidRPr="001F040C">
              <w:rPr>
                <w:sz w:val="16"/>
                <w:szCs w:val="16"/>
              </w:rPr>
              <w:t xml:space="preserve"> Tripathi</w:t>
            </w:r>
          </w:p>
        </w:tc>
        <w:tc>
          <w:tcPr>
            <w:tcW w:w="689" w:type="dxa"/>
            <w:hideMark/>
          </w:tcPr>
          <w:p w14:paraId="5B5ECA65" w14:textId="7D47636C"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4</w:t>
            </w:r>
          </w:p>
        </w:tc>
        <w:tc>
          <w:tcPr>
            <w:tcW w:w="554" w:type="dxa"/>
            <w:hideMark/>
          </w:tcPr>
          <w:p w14:paraId="5E875FCD"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6" w:type="dxa"/>
            <w:hideMark/>
          </w:tcPr>
          <w:p w14:paraId="0A7336E2"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Iterative chain</w:t>
            </w:r>
          </w:p>
        </w:tc>
        <w:tc>
          <w:tcPr>
            <w:tcW w:w="808" w:type="dxa"/>
            <w:hideMark/>
          </w:tcPr>
          <w:p w14:paraId="010D35CD"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571" w:type="dxa"/>
            <w:hideMark/>
          </w:tcPr>
          <w:p w14:paraId="72D5A7B3"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098F8102"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Implementation</w:t>
            </w:r>
          </w:p>
        </w:tc>
        <w:tc>
          <w:tcPr>
            <w:tcW w:w="957" w:type="dxa"/>
            <w:hideMark/>
          </w:tcPr>
          <w:p w14:paraId="0E9D323D"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N/A</w:t>
            </w:r>
          </w:p>
        </w:tc>
        <w:tc>
          <w:tcPr>
            <w:tcW w:w="690" w:type="dxa"/>
            <w:hideMark/>
          </w:tcPr>
          <w:p w14:paraId="3F9D156B"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1098" w:type="dxa"/>
            <w:hideMark/>
          </w:tcPr>
          <w:p w14:paraId="084B79C0"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Irregular: Before and after, or per cycle</w:t>
            </w:r>
          </w:p>
        </w:tc>
        <w:tc>
          <w:tcPr>
            <w:tcW w:w="690" w:type="dxa"/>
            <w:hideMark/>
          </w:tcPr>
          <w:p w14:paraId="528A5FFD"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5" w:type="dxa"/>
            <w:hideMark/>
          </w:tcPr>
          <w:p w14:paraId="21915151"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N/A</w:t>
            </w:r>
          </w:p>
        </w:tc>
        <w:tc>
          <w:tcPr>
            <w:tcW w:w="1098" w:type="dxa"/>
            <w:hideMark/>
          </w:tcPr>
          <w:p w14:paraId="5EE9532F" w14:textId="0E73DCF6"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 xml:space="preserve">Quantitative supplemented </w:t>
            </w:r>
          </w:p>
        </w:tc>
        <w:tc>
          <w:tcPr>
            <w:tcW w:w="961" w:type="dxa"/>
            <w:hideMark/>
          </w:tcPr>
          <w:p w14:paraId="38292C35"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2" w:type="dxa"/>
            <w:gridSpan w:val="2"/>
            <w:hideMark/>
          </w:tcPr>
          <w:p w14:paraId="1E91C9F1" w14:textId="3B7A92EE"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Yes</w:t>
            </w:r>
          </w:p>
        </w:tc>
        <w:tc>
          <w:tcPr>
            <w:tcW w:w="1393" w:type="dxa"/>
            <w:hideMark/>
          </w:tcPr>
          <w:p w14:paraId="59FCF07A" w14:textId="04CE1B96"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 xml:space="preserve">External existing knowledge </w:t>
            </w:r>
            <w:r>
              <w:rPr>
                <w:sz w:val="16"/>
                <w:szCs w:val="16"/>
              </w:rPr>
              <w:t>–</w:t>
            </w:r>
            <w:r w:rsidRPr="001F040C">
              <w:rPr>
                <w:sz w:val="16"/>
                <w:szCs w:val="16"/>
              </w:rPr>
              <w:t xml:space="preserve"> Literature</w:t>
            </w:r>
            <w:r>
              <w:rPr>
                <w:sz w:val="16"/>
                <w:szCs w:val="16"/>
              </w:rPr>
              <w:t xml:space="preserve"> </w:t>
            </w:r>
            <w:r w:rsidRPr="001F040C">
              <w:rPr>
                <w:sz w:val="16"/>
                <w:szCs w:val="16"/>
              </w:rPr>
              <w:t>(EBM)</w:t>
            </w:r>
          </w:p>
        </w:tc>
      </w:tr>
      <w:tr w:rsidR="00E42F62" w:rsidRPr="001F040C" w14:paraId="6A63BB24" w14:textId="6296D649" w:rsidTr="002118F0">
        <w:trPr>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08ACC6C7" w14:textId="22EC7D3B"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"10.1136/bmjquality.u206069.w2989", "ISBN" : "2050-1315", "ISSN" : "2050-1315", "PMID" : "26734418", "abstract" : "Handover is a \"major preventable cause of patient harm\"[1] and this project aims to improve the quality of night handover within a teaching hospitals general medicine department, resulting in the safe transfer of patient care to the night team. Quality of handover was assessed both qualitatively, via structured qualitative interviews with trainees and a baseline survey assessing doctor's opinions of night handover, and quantitatively through the collection of a data set during regular observation of night handover. The initial intervention instituted a new handover meeting with a set time and new location and invited the night nurse practitioner to attend. A prompt card, standardised documentation, defined leadership, and an attendance register were also introduced. Successive PDSA cycles introduced technology to the intervention, enabled the nurse night practitioners to actually attend and re-branded the prompt card as an agenda. Results show a sustained reduction in length of handover from 70 minutes (n=7) to 34 minutes (n=13) post-intervention as well as a reduction in the number of distractions occurring during each handover from a mean of 14 to a mean of 8.5. An improved quality of handover was also demonstrated with an overall increase in the percentage of task handovers containing hospital number, an admitting diagnosis, comorbidities and a time allocated for the task to be performed of at least 10%. When trainees were surveyed post-implementation they unanimously identified the new handover system as safer than the previous handover process (n=30). This project demonstrates that replacing an ad-hoc system of handover with a multi-disciplinary, team based approach to handover improves handover quality. In addition it provides a useful guide to introducing a new handover meeting to a department and contains useful lessons on how to combat cultural barriers to change within a department.", "author" : [ { "dropping-particle" : "", "family" : "Walton", "given" : "Henry", "non-dropping-particle" : "", "parse-names" : false, "suffix" : "" }, { "dropping-particle" : "", "family" : "Munro", "given" : "Wendy", "non-dropping-particle" : "", "parse-names" : false, "suffix" : "" } ], "container-title" : "BMJ Quality Improvement Reports", "id" : "ITEM-1", "issue" : "1", "issued" : { "date-parts" : [ [ "2015" ] ] }, "note" : "Henrik V. B. Laursen (2016-11-24 06:02:20)(Select): http://qir.bmj.com/content/4/1/u206069.w2989/suppl/DC1;", "page" : "u206069.w2989", "publisher-place" : "England", "title" : "Improving the quality of handover by addressing handover culture and introducing a new, multi-disciplinary, team-based handover meeting", "type" : "article-journal", "volume" : "4" }, "uris" : [ "http://www.mendeley.com/documents/?uuid=6775088d-ebab-4087-b8bc-8321d504e505" ] } ], "mendeley" : { "formattedCitation" : "[70]", "plainTextFormattedCitation" : "[70]", "previouslyFormattedCitation" : "[70]" }, "properties" : {  }, "schema" : "https://github.com/citation-style-language/schema/raw/master/csl-citation.json" }</w:instrText>
            </w:r>
            <w:r w:rsidRPr="001F040C">
              <w:rPr>
                <w:sz w:val="16"/>
                <w:szCs w:val="16"/>
              </w:rPr>
              <w:fldChar w:fldCharType="separate"/>
            </w:r>
            <w:r w:rsidRPr="0056067F">
              <w:rPr>
                <w:noProof/>
                <w:sz w:val="16"/>
                <w:szCs w:val="16"/>
              </w:rPr>
              <w:t>[70]</w:t>
            </w:r>
            <w:r w:rsidRPr="001F040C">
              <w:rPr>
                <w:sz w:val="16"/>
                <w:szCs w:val="16"/>
              </w:rPr>
              <w:fldChar w:fldCharType="end"/>
            </w:r>
            <w:r w:rsidRPr="001F040C">
              <w:rPr>
                <w:sz w:val="16"/>
                <w:szCs w:val="16"/>
              </w:rPr>
              <w:t xml:space="preserve"> Walton</w:t>
            </w:r>
          </w:p>
        </w:tc>
        <w:tc>
          <w:tcPr>
            <w:tcW w:w="689" w:type="dxa"/>
            <w:hideMark/>
          </w:tcPr>
          <w:p w14:paraId="67527950" w14:textId="023A021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3</w:t>
            </w:r>
          </w:p>
        </w:tc>
        <w:tc>
          <w:tcPr>
            <w:tcW w:w="554" w:type="dxa"/>
            <w:hideMark/>
          </w:tcPr>
          <w:p w14:paraId="6204D4AB"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6" w:type="dxa"/>
            <w:hideMark/>
          </w:tcPr>
          <w:p w14:paraId="6E5F7F75"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Iterative chain</w:t>
            </w:r>
          </w:p>
        </w:tc>
        <w:tc>
          <w:tcPr>
            <w:tcW w:w="808" w:type="dxa"/>
            <w:hideMark/>
          </w:tcPr>
          <w:p w14:paraId="60A99573"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571" w:type="dxa"/>
            <w:hideMark/>
          </w:tcPr>
          <w:p w14:paraId="64D756FC"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3430E534"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Implementation</w:t>
            </w:r>
          </w:p>
        </w:tc>
        <w:tc>
          <w:tcPr>
            <w:tcW w:w="957" w:type="dxa"/>
            <w:hideMark/>
          </w:tcPr>
          <w:p w14:paraId="6E0E1447"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N/A</w:t>
            </w:r>
          </w:p>
        </w:tc>
        <w:tc>
          <w:tcPr>
            <w:tcW w:w="690" w:type="dxa"/>
            <w:hideMark/>
          </w:tcPr>
          <w:p w14:paraId="2D2CE719"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1098" w:type="dxa"/>
            <w:hideMark/>
          </w:tcPr>
          <w:p w14:paraId="2EAA74F0"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Regular: Three datapoints or more</w:t>
            </w:r>
          </w:p>
        </w:tc>
        <w:tc>
          <w:tcPr>
            <w:tcW w:w="690" w:type="dxa"/>
            <w:hideMark/>
          </w:tcPr>
          <w:p w14:paraId="5C54E045"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5" w:type="dxa"/>
            <w:hideMark/>
          </w:tcPr>
          <w:p w14:paraId="3F2CA30A"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Control Chart</w:t>
            </w:r>
          </w:p>
        </w:tc>
        <w:tc>
          <w:tcPr>
            <w:tcW w:w="1098" w:type="dxa"/>
            <w:hideMark/>
          </w:tcPr>
          <w:p w14:paraId="2E7786A8"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Quantitative &amp; Qualitative used to inform cycles</w:t>
            </w:r>
          </w:p>
        </w:tc>
        <w:tc>
          <w:tcPr>
            <w:tcW w:w="961" w:type="dxa"/>
            <w:hideMark/>
          </w:tcPr>
          <w:p w14:paraId="3A75B492"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2" w:type="dxa"/>
            <w:gridSpan w:val="2"/>
            <w:hideMark/>
          </w:tcPr>
          <w:p w14:paraId="509D2133" w14:textId="4ACD7A62"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Yes</w:t>
            </w:r>
          </w:p>
        </w:tc>
        <w:tc>
          <w:tcPr>
            <w:tcW w:w="1393" w:type="dxa"/>
            <w:hideMark/>
          </w:tcPr>
          <w:p w14:paraId="370F8B67"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Not stated</w:t>
            </w:r>
          </w:p>
        </w:tc>
      </w:tr>
      <w:tr w:rsidR="00E42F62" w:rsidRPr="001F040C" w14:paraId="0EFEC486" w14:textId="6D7F710B" w:rsidTr="002118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0F0F5449" w14:textId="3527F36A"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"10.1136/bmjquality.u208308.w3441 [doi]", "ISBN" : "2050-1315", "ISSN" : "2050-1315", "PMID" : "26734373", "abstract" : "Poorly organised clinical equipment can waste significant amounts of time otherwise available for direct patient care. As a group of foundation year one doctors, we identified the organisation of clinical equipment across surgical wards at North Bristol NHS Trust to be poor with stocks often low and items frequently difficult to locate. Time-motion studies (n=80) were confirmatory demonstrating that the mean time to collect equipment necessary for venepuncture, cannulation, arterial blood gases, or blood cultures ranged from 121 to 174 seconds between different areas. By applying a plan-do-study-act (PDSA) methodology, surveying peers as well as working with nursing staff and senior managers, we were able to purchase and implement clinical equipment trolleys on 10 surgical wards across the trust to reduce the time-taken to locate clinical equipment to between 38 to 45 seconds (p=0.01). We feel the key factors for the success of our initiative were strong multidisciplinary engagement and a simple uniform idea. Clinical equipment trolleys organised in a standardised manner have now been rolled out hospital-wide in the new Southmead Hospital Brunel building.", "author" : [ { "dropping-particle" : "", "family" : "Ward", "given" : "J", "non-dropping-particle" : "", "parse-names" : false, "suffix" : "" }, { "dropping-particle" : "", "family" : "Spencer", "given" : "R", "non-dropping-particle" : "", "parse-names" : false, "suffix" : "" }, { "dropping-particle" : "", "family" : "Soo", "given" : "E", "non-dropping-particle" : "", "parse-names" : false, "suffix" : "" }, { "dropping-particle" : "", "family" : "Finucane", "given" : "K", "non-dropping-particle" : "", "parse-names" : false, "suffix" : "" } ], "container-title" : "BMJ quality improvement reports", "id" : "ITEM-1", "issue" : "1 PG  - 10.1136/bmjquality.u208308.w3441. eCollection 2015", "issued" : { "date-parts" : [ [ "2015" ] ] }, "note" : "Henrik V. B. Laursen (2016-11-24 01:12:25)(Select): suppl: http://qir.bmj.com/content/4/1/u208308.w3441/suppl/DC1;", "page" : "10.1136/bmjquality.u208308.w3441. eCollection 2015", "publisher-place" : "England", "title" : "Standardising the organisation of clinical equipment on surgical wards at North Bristol NHS Trust: a quality improvement initiative", "type" : "article-journal", "volume" : "4" }, "uris" : [ "http://www.mendeley.com/documents/?uuid=4c72578e-1c70-47e8-ad17-efa4740136d6" ] } ], "mendeley" : { "formattedCitation" : "[71]", "plainTextFormattedCitation" : "[71]", "previouslyFormattedCitation" : "[71]" }, "properties" : {  }, "schema" : "https://github.com/citation-style-language/schema/raw/master/csl-citation.json" }</w:instrText>
            </w:r>
            <w:r w:rsidRPr="001F040C">
              <w:rPr>
                <w:sz w:val="16"/>
                <w:szCs w:val="16"/>
              </w:rPr>
              <w:fldChar w:fldCharType="separate"/>
            </w:r>
            <w:r w:rsidRPr="0056067F">
              <w:rPr>
                <w:noProof/>
                <w:sz w:val="16"/>
                <w:szCs w:val="16"/>
              </w:rPr>
              <w:t>[71]</w:t>
            </w:r>
            <w:r w:rsidRPr="001F040C">
              <w:rPr>
                <w:sz w:val="16"/>
                <w:szCs w:val="16"/>
              </w:rPr>
              <w:fldChar w:fldCharType="end"/>
            </w:r>
            <w:r w:rsidRPr="001F040C">
              <w:rPr>
                <w:sz w:val="16"/>
                <w:szCs w:val="16"/>
              </w:rPr>
              <w:t xml:space="preserve"> Ward</w:t>
            </w:r>
          </w:p>
        </w:tc>
        <w:tc>
          <w:tcPr>
            <w:tcW w:w="689" w:type="dxa"/>
            <w:hideMark/>
          </w:tcPr>
          <w:p w14:paraId="5A211FD4" w14:textId="663783EE"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3</w:t>
            </w:r>
          </w:p>
        </w:tc>
        <w:tc>
          <w:tcPr>
            <w:tcW w:w="554" w:type="dxa"/>
            <w:hideMark/>
          </w:tcPr>
          <w:p w14:paraId="43CEE168"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6" w:type="dxa"/>
            <w:hideMark/>
          </w:tcPr>
          <w:p w14:paraId="72AA2101"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Iterative chain</w:t>
            </w:r>
          </w:p>
        </w:tc>
        <w:tc>
          <w:tcPr>
            <w:tcW w:w="808" w:type="dxa"/>
            <w:hideMark/>
          </w:tcPr>
          <w:p w14:paraId="03C1157C"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571" w:type="dxa"/>
            <w:hideMark/>
          </w:tcPr>
          <w:p w14:paraId="2161DBBD"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961" w:type="dxa"/>
            <w:gridSpan w:val="2"/>
            <w:hideMark/>
          </w:tcPr>
          <w:p w14:paraId="4237A326"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Implementation</w:t>
            </w:r>
          </w:p>
        </w:tc>
        <w:tc>
          <w:tcPr>
            <w:tcW w:w="957" w:type="dxa"/>
            <w:hideMark/>
          </w:tcPr>
          <w:p w14:paraId="5E1FD5E8"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Increasing</w:t>
            </w:r>
          </w:p>
        </w:tc>
        <w:tc>
          <w:tcPr>
            <w:tcW w:w="690" w:type="dxa"/>
            <w:hideMark/>
          </w:tcPr>
          <w:p w14:paraId="065E1334"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1098" w:type="dxa"/>
            <w:hideMark/>
          </w:tcPr>
          <w:p w14:paraId="62137746"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A single data point, after cycle</w:t>
            </w:r>
          </w:p>
        </w:tc>
        <w:tc>
          <w:tcPr>
            <w:tcW w:w="690" w:type="dxa"/>
            <w:hideMark/>
          </w:tcPr>
          <w:p w14:paraId="1FD399EA"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Yes</w:t>
            </w:r>
          </w:p>
        </w:tc>
        <w:tc>
          <w:tcPr>
            <w:tcW w:w="825" w:type="dxa"/>
            <w:hideMark/>
          </w:tcPr>
          <w:p w14:paraId="13C4658D"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N/A</w:t>
            </w:r>
          </w:p>
        </w:tc>
        <w:tc>
          <w:tcPr>
            <w:tcW w:w="1098" w:type="dxa"/>
            <w:hideMark/>
          </w:tcPr>
          <w:p w14:paraId="707886E5"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Quantitative</w:t>
            </w:r>
          </w:p>
        </w:tc>
        <w:tc>
          <w:tcPr>
            <w:tcW w:w="961" w:type="dxa"/>
            <w:hideMark/>
          </w:tcPr>
          <w:p w14:paraId="5ADBF3A1"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No</w:t>
            </w:r>
          </w:p>
        </w:tc>
        <w:tc>
          <w:tcPr>
            <w:tcW w:w="962" w:type="dxa"/>
            <w:gridSpan w:val="2"/>
            <w:hideMark/>
          </w:tcPr>
          <w:p w14:paraId="431E4BD1" w14:textId="7DDB7B3B"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Yes</w:t>
            </w:r>
          </w:p>
        </w:tc>
        <w:tc>
          <w:tcPr>
            <w:tcW w:w="1393" w:type="dxa"/>
            <w:hideMark/>
          </w:tcPr>
          <w:p w14:paraId="7C4F7314" w14:textId="77777777" w:rsidR="00E42F62" w:rsidRPr="001F040C" w:rsidRDefault="00E42F62" w:rsidP="0087558F">
            <w:pPr>
              <w:cnfStyle w:val="000000100000" w:firstRow="0" w:lastRow="0" w:firstColumn="0" w:lastColumn="0" w:oddVBand="0" w:evenVBand="0" w:oddHBand="1" w:evenHBand="0" w:firstRowFirstColumn="0" w:firstRowLastColumn="0" w:lastRowFirstColumn="0" w:lastRowLastColumn="0"/>
              <w:rPr>
                <w:sz w:val="16"/>
                <w:szCs w:val="16"/>
              </w:rPr>
            </w:pPr>
            <w:r w:rsidRPr="001F040C">
              <w:rPr>
                <w:sz w:val="16"/>
                <w:szCs w:val="16"/>
              </w:rPr>
              <w:t>External existing knowledge - Benchmarking</w:t>
            </w:r>
          </w:p>
        </w:tc>
      </w:tr>
      <w:tr w:rsidR="00E42F62" w:rsidRPr="001F040C" w14:paraId="41AF2DCD" w14:textId="772C03DD" w:rsidTr="002118F0">
        <w:trPr>
          <w:trHeight w:val="315"/>
        </w:trPr>
        <w:tc>
          <w:tcPr>
            <w:cnfStyle w:val="001000000000" w:firstRow="0" w:lastRow="0" w:firstColumn="1" w:lastColumn="0" w:oddVBand="0" w:evenVBand="0" w:oddHBand="0" w:evenHBand="0" w:firstRowFirstColumn="0" w:firstRowLastColumn="0" w:lastRowFirstColumn="0" w:lastRowLastColumn="0"/>
            <w:tcW w:w="1092" w:type="dxa"/>
            <w:hideMark/>
          </w:tcPr>
          <w:p w14:paraId="5EC5FEB4" w14:textId="4F962C3D" w:rsidR="00E42F62" w:rsidRPr="001F040C" w:rsidRDefault="00E42F62" w:rsidP="0087558F">
            <w:pPr>
              <w:rPr>
                <w:sz w:val="16"/>
                <w:szCs w:val="16"/>
              </w:rPr>
            </w:pPr>
            <w:r w:rsidRPr="001F040C">
              <w:rPr>
                <w:sz w:val="16"/>
                <w:szCs w:val="16"/>
              </w:rPr>
              <w:fldChar w:fldCharType="begin" w:fldLock="1"/>
            </w:r>
            <w:r>
              <w:rPr>
                <w:sz w:val="16"/>
                <w:szCs w:val="16"/>
              </w:rPr>
              <w:instrText>ADDIN CSL_CITATION { "citationItems" : [ { "id" : "ITEM-1", "itemData" : { "DOI" : "10.1016/j.pedn.2015.05.024", "ISBN" : "0000000000000", "ISSN" : "08825963", "PMID" : "26209173", "abstract" : "An electronic medical record (EMR)-based transition planning tool (TPT) designed to facilitate transition from pediatric to adult-based health care for youth (16-25. years) with special health care needs was introduced at a large children's hospital. Activities to increase provider use were implemented in five plan-do-study-act cycles. Overall, 22 of 25 (88%) consenting providers in four pediatric subspecialty services used the TPT during 303 patient encounters, with nurses and case-managers the top users and physicians the least likely users. Use was highest with intensive technical assistance and following the introduction of an upgraded tool. Provider satisfaction with the TPT and self-reported transition planning activities notably increased across the PDSA cycles.", "author" : [ { "dropping-particle" : "", "family" : "Wiemann", "given" : "Constance M.", "non-dropping-particle" : "", "parse-names" : false, "suffix" : "" }, { "dropping-particle" : "", "family" : "Hergenroeder", "given" : "Albert C.", "non-dropping-particle" : "", "parse-names" : false, "suffix" : "" }, { "dropping-particle" : "", "family" : "Bartley", "given" : "Krystle A.", "non-dropping-particle" : "", "parse-names" : false, "suffix" : "" }, { "dropping-particle" : "", "family" : "Sanchez-Fournier", "given" : "Blanca", "non-dropping-particle" : "", "parse-names" : false, "suffix" : "" }, { "dropping-particle" : "", "family" : "Hilliard", "given" : "Marisa E.", "non-dropping-particle" : "", "parse-names" : false, "suffix" : "" }, { "dropping-particle" : "", "family" : "Warren", "given" : "Laura J.", "non-dropping-particle" : "", "parse-names" : false, "suffix" : "" }, { "dropping-particle" : "", "family" : "Graham", "given" : "Sarah C.", "non-dropping-particle" : "", "parse-names" : false, "suffix" : "" } ], "container-title" : "Journal of Pediatric Nursing", "id" : "ITEM-1", "issue" : "5", "issued" : { "date-parts" : [ [ "2015" ] ] }, "page" : "776-787", "publisher" : ". Published by Elsevier Inc", "publisher-place" : "United States", "title" : "Integrating an EMR-based Transition Planning Tool for CYSHCN at a Children's Hospital: A Quality Improvement Project to Increase Provider Use and Satisfaction", "type" : "article-journal", "volume" : "30" }, "uris" : [ "http://www.mendeley.com/documents/?uuid=eb334360-be69-4466-8acf-c38a85f53d3e" ] } ], "mendeley" : { "formattedCitation" : "[72]", "plainTextFormattedCitation" : "[72]", "previouslyFormattedCitation" : "[72]" }, "properties" : {  }, "schema" : "https://github.com/citation-style-language/schema/raw/master/csl-citation.json" }</w:instrText>
            </w:r>
            <w:r w:rsidRPr="001F040C">
              <w:rPr>
                <w:sz w:val="16"/>
                <w:szCs w:val="16"/>
              </w:rPr>
              <w:fldChar w:fldCharType="separate"/>
            </w:r>
            <w:r w:rsidRPr="0056067F">
              <w:rPr>
                <w:noProof/>
                <w:sz w:val="16"/>
                <w:szCs w:val="16"/>
              </w:rPr>
              <w:t>[72]</w:t>
            </w:r>
            <w:r w:rsidRPr="001F040C">
              <w:rPr>
                <w:sz w:val="16"/>
                <w:szCs w:val="16"/>
              </w:rPr>
              <w:fldChar w:fldCharType="end"/>
            </w:r>
            <w:r w:rsidRPr="001F040C">
              <w:rPr>
                <w:sz w:val="16"/>
                <w:szCs w:val="16"/>
              </w:rPr>
              <w:t xml:space="preserve"> Wiemann</w:t>
            </w:r>
          </w:p>
        </w:tc>
        <w:tc>
          <w:tcPr>
            <w:tcW w:w="689" w:type="dxa"/>
            <w:hideMark/>
          </w:tcPr>
          <w:p w14:paraId="6CC917CE" w14:textId="2E45B8F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3</w:t>
            </w:r>
          </w:p>
        </w:tc>
        <w:tc>
          <w:tcPr>
            <w:tcW w:w="554" w:type="dxa"/>
            <w:hideMark/>
          </w:tcPr>
          <w:p w14:paraId="79A3208F"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826" w:type="dxa"/>
            <w:hideMark/>
          </w:tcPr>
          <w:p w14:paraId="02250F5B"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Mix of iterative chains and isolated cycles</w:t>
            </w:r>
          </w:p>
        </w:tc>
        <w:tc>
          <w:tcPr>
            <w:tcW w:w="808" w:type="dxa"/>
            <w:hideMark/>
          </w:tcPr>
          <w:p w14:paraId="62CABDD8"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571" w:type="dxa"/>
            <w:hideMark/>
          </w:tcPr>
          <w:p w14:paraId="16E1F29F"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1" w:type="dxa"/>
            <w:gridSpan w:val="2"/>
            <w:hideMark/>
          </w:tcPr>
          <w:p w14:paraId="75257E7F"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Implementation</w:t>
            </w:r>
          </w:p>
        </w:tc>
        <w:tc>
          <w:tcPr>
            <w:tcW w:w="957" w:type="dxa"/>
            <w:hideMark/>
          </w:tcPr>
          <w:p w14:paraId="6106B57D"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N/A</w:t>
            </w:r>
          </w:p>
        </w:tc>
        <w:tc>
          <w:tcPr>
            <w:tcW w:w="690" w:type="dxa"/>
            <w:hideMark/>
          </w:tcPr>
          <w:p w14:paraId="596D6D8D"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Yes</w:t>
            </w:r>
          </w:p>
        </w:tc>
        <w:tc>
          <w:tcPr>
            <w:tcW w:w="1098" w:type="dxa"/>
            <w:hideMark/>
          </w:tcPr>
          <w:p w14:paraId="56109EB3"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Regular: Three datapoints or more</w:t>
            </w:r>
          </w:p>
        </w:tc>
        <w:tc>
          <w:tcPr>
            <w:tcW w:w="690" w:type="dxa"/>
            <w:hideMark/>
          </w:tcPr>
          <w:p w14:paraId="56A5291E"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825" w:type="dxa"/>
            <w:hideMark/>
          </w:tcPr>
          <w:p w14:paraId="192759EA"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Run Chart</w:t>
            </w:r>
          </w:p>
        </w:tc>
        <w:tc>
          <w:tcPr>
            <w:tcW w:w="1098" w:type="dxa"/>
            <w:hideMark/>
          </w:tcPr>
          <w:p w14:paraId="15B11CB5" w14:textId="0DF07820"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 xml:space="preserve">Quantitative supplemented </w:t>
            </w:r>
          </w:p>
        </w:tc>
        <w:tc>
          <w:tcPr>
            <w:tcW w:w="961" w:type="dxa"/>
            <w:hideMark/>
          </w:tcPr>
          <w:p w14:paraId="46A71628" w14:textId="77777777"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No</w:t>
            </w:r>
          </w:p>
        </w:tc>
        <w:tc>
          <w:tcPr>
            <w:tcW w:w="962" w:type="dxa"/>
            <w:gridSpan w:val="2"/>
            <w:hideMark/>
          </w:tcPr>
          <w:p w14:paraId="1309E489" w14:textId="4D88EAC3"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Yes</w:t>
            </w:r>
          </w:p>
        </w:tc>
        <w:tc>
          <w:tcPr>
            <w:tcW w:w="1393" w:type="dxa"/>
            <w:hideMark/>
          </w:tcPr>
          <w:p w14:paraId="7D9113BD" w14:textId="638F4363" w:rsidR="00E42F62" w:rsidRPr="001F040C" w:rsidRDefault="00E42F62" w:rsidP="0087558F">
            <w:pPr>
              <w:cnfStyle w:val="000000000000" w:firstRow="0" w:lastRow="0" w:firstColumn="0" w:lastColumn="0" w:oddVBand="0" w:evenVBand="0" w:oddHBand="0" w:evenHBand="0" w:firstRowFirstColumn="0" w:firstRowLastColumn="0" w:lastRowFirstColumn="0" w:lastRowLastColumn="0"/>
              <w:rPr>
                <w:sz w:val="16"/>
                <w:szCs w:val="16"/>
              </w:rPr>
            </w:pPr>
            <w:r w:rsidRPr="001F040C">
              <w:rPr>
                <w:sz w:val="16"/>
                <w:szCs w:val="16"/>
              </w:rPr>
              <w:t xml:space="preserve">External existing knowledge </w:t>
            </w:r>
            <w:r>
              <w:rPr>
                <w:sz w:val="16"/>
                <w:szCs w:val="16"/>
              </w:rPr>
              <w:t>–</w:t>
            </w:r>
            <w:r w:rsidRPr="001F040C">
              <w:rPr>
                <w:sz w:val="16"/>
                <w:szCs w:val="16"/>
              </w:rPr>
              <w:t xml:space="preserve"> Literature</w:t>
            </w:r>
            <w:r>
              <w:rPr>
                <w:sz w:val="16"/>
                <w:szCs w:val="16"/>
              </w:rPr>
              <w:t xml:space="preserve"> </w:t>
            </w:r>
            <w:r w:rsidRPr="001F040C">
              <w:rPr>
                <w:sz w:val="16"/>
                <w:szCs w:val="16"/>
              </w:rPr>
              <w:t>(EBM)</w:t>
            </w:r>
          </w:p>
        </w:tc>
      </w:tr>
    </w:tbl>
    <w:p w14:paraId="4EBAE1B0" w14:textId="7271054F" w:rsidR="008007E5" w:rsidRDefault="008007E5" w:rsidP="005C54B3">
      <w:pPr>
        <w:rPr>
          <w:sz w:val="16"/>
          <w:szCs w:val="16"/>
        </w:rPr>
      </w:pPr>
    </w:p>
    <w:tbl>
      <w:tblPr>
        <w:tblStyle w:val="TableGrid"/>
        <w:tblW w:w="0" w:type="auto"/>
        <w:tblLook w:val="04A0" w:firstRow="1" w:lastRow="0" w:firstColumn="1" w:lastColumn="0" w:noHBand="0" w:noVBand="1"/>
      </w:tblPr>
      <w:tblGrid>
        <w:gridCol w:w="2547"/>
        <w:gridCol w:w="2977"/>
      </w:tblGrid>
      <w:tr w:rsidR="00E02EF4" w14:paraId="738C140C" w14:textId="77777777" w:rsidTr="00D21163">
        <w:tc>
          <w:tcPr>
            <w:tcW w:w="5524" w:type="dxa"/>
            <w:gridSpan w:val="2"/>
          </w:tcPr>
          <w:p w14:paraId="7A283527" w14:textId="6F4E1846" w:rsidR="00E02EF4" w:rsidRPr="008A039D" w:rsidRDefault="00BB3472" w:rsidP="00BB3472">
            <w:pPr>
              <w:jc w:val="center"/>
              <w:rPr>
                <w:b/>
                <w:szCs w:val="16"/>
              </w:rPr>
            </w:pPr>
            <w:r w:rsidRPr="008A039D">
              <w:rPr>
                <w:b/>
                <w:szCs w:val="16"/>
              </w:rPr>
              <w:t>Elaboration</w:t>
            </w:r>
            <w:r w:rsidR="00E02EF4" w:rsidRPr="008A039D">
              <w:rPr>
                <w:b/>
                <w:szCs w:val="16"/>
              </w:rPr>
              <w:t xml:space="preserve"> table</w:t>
            </w:r>
          </w:p>
        </w:tc>
      </w:tr>
      <w:tr w:rsidR="00D21163" w14:paraId="0CCD50B6" w14:textId="77777777" w:rsidTr="00E02EF4">
        <w:tc>
          <w:tcPr>
            <w:tcW w:w="2547" w:type="dxa"/>
          </w:tcPr>
          <w:p w14:paraId="396093D0" w14:textId="2155D89F" w:rsidR="00B5095C" w:rsidRPr="003359AC" w:rsidRDefault="00D21163" w:rsidP="005C54B3">
            <w:pPr>
              <w:rPr>
                <w:b/>
                <w:sz w:val="18"/>
                <w:szCs w:val="16"/>
              </w:rPr>
            </w:pPr>
            <w:r w:rsidRPr="003359AC">
              <w:rPr>
                <w:b/>
                <w:sz w:val="18"/>
                <w:szCs w:val="16"/>
              </w:rPr>
              <w:t>PDSA thoroughness</w:t>
            </w:r>
          </w:p>
        </w:tc>
        <w:tc>
          <w:tcPr>
            <w:tcW w:w="2977" w:type="dxa"/>
          </w:tcPr>
          <w:p w14:paraId="49136176" w14:textId="2DC4B6C4" w:rsidR="00D21163" w:rsidRPr="003359AC" w:rsidRDefault="00D21163" w:rsidP="005C54B3">
            <w:pPr>
              <w:rPr>
                <w:b/>
                <w:sz w:val="18"/>
                <w:szCs w:val="16"/>
              </w:rPr>
            </w:pPr>
            <w:r w:rsidRPr="003359AC">
              <w:rPr>
                <w:b/>
                <w:sz w:val="18"/>
                <w:szCs w:val="16"/>
              </w:rPr>
              <w:t>Main type of data used</w:t>
            </w:r>
          </w:p>
        </w:tc>
      </w:tr>
      <w:tr w:rsidR="00D21163" w14:paraId="7D4752DF" w14:textId="77777777" w:rsidTr="00E02EF4">
        <w:tc>
          <w:tcPr>
            <w:tcW w:w="2547" w:type="dxa"/>
          </w:tcPr>
          <w:p w14:paraId="08DCCDA1" w14:textId="5D5D9196" w:rsidR="00642A4E" w:rsidRPr="00642A4E" w:rsidRDefault="00642A4E" w:rsidP="00DE6878">
            <w:pPr>
              <w:rPr>
                <w:b/>
                <w:i/>
                <w:sz w:val="16"/>
                <w:szCs w:val="16"/>
                <w:u w:val="single"/>
              </w:rPr>
            </w:pPr>
            <w:r w:rsidRPr="000606AB">
              <w:rPr>
                <w:b/>
                <w:i/>
                <w:sz w:val="16"/>
                <w:szCs w:val="16"/>
                <w:u w:val="single"/>
              </w:rPr>
              <w:t>1 or 2 = insufficient documentation</w:t>
            </w:r>
            <w:r>
              <w:rPr>
                <w:b/>
                <w:i/>
                <w:sz w:val="16"/>
                <w:szCs w:val="16"/>
                <w:u w:val="single"/>
              </w:rPr>
              <w:t xml:space="preserve"> of PDSA</w:t>
            </w:r>
          </w:p>
          <w:p w14:paraId="703DE667" w14:textId="23FF012C" w:rsidR="00DE6878" w:rsidRPr="00905E37" w:rsidRDefault="00DE6878" w:rsidP="00DE6878">
            <w:pPr>
              <w:rPr>
                <w:rFonts w:eastAsia="Times New Roman" w:cstheme="minorHAnsi"/>
                <w:sz w:val="16"/>
                <w:szCs w:val="16"/>
                <w:lang w:eastAsia="en-GB"/>
              </w:rPr>
            </w:pPr>
            <w:r w:rsidRPr="00905E37">
              <w:rPr>
                <w:rFonts w:eastAsia="Times New Roman" w:cstheme="minorHAnsi"/>
                <w:sz w:val="16"/>
                <w:szCs w:val="16"/>
                <w:lang w:eastAsia="en-GB"/>
              </w:rPr>
              <w:t>1 = No details of cycles</w:t>
            </w:r>
          </w:p>
          <w:p w14:paraId="2FB4E685" w14:textId="41C3E1C0" w:rsidR="00905E37" w:rsidRDefault="00DE6878" w:rsidP="00DE6878">
            <w:pPr>
              <w:rPr>
                <w:rFonts w:eastAsia="Times New Roman" w:cstheme="minorHAnsi"/>
                <w:sz w:val="16"/>
                <w:szCs w:val="16"/>
                <w:lang w:eastAsia="en-GB"/>
              </w:rPr>
            </w:pPr>
            <w:r w:rsidRPr="00905E37">
              <w:rPr>
                <w:rFonts w:eastAsia="Times New Roman" w:cstheme="minorHAnsi"/>
                <w:sz w:val="16"/>
                <w:szCs w:val="16"/>
                <w:lang w:eastAsia="en-GB"/>
              </w:rPr>
              <w:t>2 = Themes of cycles but no additional details</w:t>
            </w:r>
          </w:p>
          <w:p w14:paraId="12B86608" w14:textId="3466C14B" w:rsidR="00642A4E" w:rsidRPr="00642A4E" w:rsidRDefault="00642A4E" w:rsidP="00642A4E">
            <w:pPr>
              <w:rPr>
                <w:rFonts w:eastAsia="Times New Roman" w:cstheme="minorHAnsi"/>
                <w:b/>
                <w:sz w:val="16"/>
                <w:szCs w:val="16"/>
                <w:lang w:eastAsia="en-GB"/>
              </w:rPr>
            </w:pPr>
            <w:r w:rsidRPr="00642A4E">
              <w:rPr>
                <w:rFonts w:eastAsia="Times New Roman" w:cstheme="minorHAnsi"/>
                <w:b/>
                <w:sz w:val="16"/>
                <w:szCs w:val="16"/>
                <w:lang w:eastAsia="en-GB"/>
              </w:rPr>
              <w:t>Studies with 1 or 2 were excluded from full analysis.</w:t>
            </w:r>
          </w:p>
          <w:p w14:paraId="7C13D141" w14:textId="77777777" w:rsidR="000606AB" w:rsidRPr="00905E37" w:rsidRDefault="000606AB" w:rsidP="00DE6878">
            <w:pPr>
              <w:rPr>
                <w:rFonts w:eastAsia="Times New Roman" w:cstheme="minorHAnsi"/>
                <w:sz w:val="16"/>
                <w:szCs w:val="16"/>
                <w:lang w:eastAsia="en-GB"/>
              </w:rPr>
            </w:pPr>
          </w:p>
          <w:p w14:paraId="4C927A1F" w14:textId="5547E25D" w:rsidR="00642A4E" w:rsidRPr="00642A4E" w:rsidRDefault="00642A4E" w:rsidP="00E02EF4">
            <w:pPr>
              <w:rPr>
                <w:rFonts w:eastAsia="Times New Roman" w:cstheme="minorHAnsi"/>
                <w:b/>
                <w:i/>
                <w:sz w:val="16"/>
                <w:szCs w:val="16"/>
                <w:u w:val="single"/>
                <w:lang w:eastAsia="en-GB"/>
              </w:rPr>
            </w:pPr>
            <w:r>
              <w:rPr>
                <w:rFonts w:eastAsia="Times New Roman" w:cstheme="minorHAnsi"/>
                <w:b/>
                <w:i/>
                <w:sz w:val="16"/>
                <w:szCs w:val="16"/>
                <w:u w:val="single"/>
                <w:lang w:eastAsia="en-GB"/>
              </w:rPr>
              <w:t>3 or 4 = sufficient documentation of PDSA</w:t>
            </w:r>
          </w:p>
          <w:p w14:paraId="24341700" w14:textId="4A26C64E" w:rsidR="00D21163" w:rsidRPr="00905E37" w:rsidRDefault="00D21163" w:rsidP="00E02EF4">
            <w:pPr>
              <w:rPr>
                <w:rFonts w:eastAsia="Times New Roman" w:cstheme="minorHAnsi"/>
                <w:sz w:val="16"/>
                <w:szCs w:val="16"/>
                <w:lang w:eastAsia="en-GB"/>
              </w:rPr>
            </w:pPr>
            <w:r w:rsidRPr="00905E37">
              <w:rPr>
                <w:rFonts w:eastAsia="Times New Roman" w:cstheme="minorHAnsi"/>
                <w:sz w:val="16"/>
                <w:szCs w:val="16"/>
                <w:lang w:eastAsia="en-GB"/>
              </w:rPr>
              <w:t>3 = details of individual cycles but not stages of cycles</w:t>
            </w:r>
          </w:p>
          <w:p w14:paraId="7D632CE5" w14:textId="75444823" w:rsidR="00D21163" w:rsidRDefault="00D21163" w:rsidP="00E02EF4">
            <w:pPr>
              <w:rPr>
                <w:rFonts w:eastAsia="Times New Roman" w:cstheme="minorHAnsi"/>
                <w:sz w:val="16"/>
                <w:szCs w:val="16"/>
                <w:lang w:eastAsia="en-GB"/>
              </w:rPr>
            </w:pPr>
            <w:r w:rsidRPr="00905E37">
              <w:rPr>
                <w:rFonts w:eastAsia="Times New Roman" w:cstheme="minorHAnsi"/>
                <w:sz w:val="16"/>
                <w:szCs w:val="16"/>
                <w:lang w:eastAsia="en-GB"/>
              </w:rPr>
              <w:t xml:space="preserve">4 = details of cycles including </w:t>
            </w:r>
            <w:r w:rsidR="00BF2F1F" w:rsidRPr="00905E37">
              <w:rPr>
                <w:rFonts w:eastAsia="Times New Roman" w:cstheme="minorHAnsi"/>
                <w:sz w:val="16"/>
                <w:szCs w:val="16"/>
                <w:lang w:eastAsia="en-GB"/>
              </w:rPr>
              <w:t>separate</w:t>
            </w:r>
            <w:r w:rsidRPr="00905E37">
              <w:rPr>
                <w:rFonts w:eastAsia="Times New Roman" w:cstheme="minorHAnsi"/>
                <w:sz w:val="16"/>
                <w:szCs w:val="16"/>
                <w:lang w:eastAsia="en-GB"/>
              </w:rPr>
              <w:t xml:space="preserve"> information on stages of cycles</w:t>
            </w:r>
          </w:p>
          <w:p w14:paraId="024320E1" w14:textId="77777777" w:rsidR="00D21163" w:rsidRDefault="00D21163" w:rsidP="00642A4E">
            <w:pPr>
              <w:rPr>
                <w:sz w:val="16"/>
                <w:szCs w:val="16"/>
              </w:rPr>
            </w:pPr>
          </w:p>
        </w:tc>
        <w:tc>
          <w:tcPr>
            <w:tcW w:w="2977" w:type="dxa"/>
          </w:tcPr>
          <w:p w14:paraId="0CFCE29A" w14:textId="77777777" w:rsidR="00D21163" w:rsidRPr="001F040C" w:rsidRDefault="00D21163" w:rsidP="00E02EF4">
            <w:pPr>
              <w:rPr>
                <w:sz w:val="16"/>
                <w:szCs w:val="16"/>
              </w:rPr>
            </w:pPr>
            <w:r w:rsidRPr="001F040C">
              <w:rPr>
                <w:sz w:val="16"/>
                <w:szCs w:val="16"/>
              </w:rPr>
              <w:t>Quantitative supplemented = The quantitative data was supplemented by measures on patient/staff satisfaction/experience</w:t>
            </w:r>
          </w:p>
          <w:p w14:paraId="410AB1AE" w14:textId="77777777" w:rsidR="00D21163" w:rsidRDefault="00D21163" w:rsidP="00E02EF4">
            <w:pPr>
              <w:rPr>
                <w:sz w:val="16"/>
                <w:szCs w:val="16"/>
              </w:rPr>
            </w:pPr>
          </w:p>
          <w:p w14:paraId="5C8DEFCE" w14:textId="4C35A513" w:rsidR="00D21163" w:rsidRPr="001F040C" w:rsidRDefault="00D21163" w:rsidP="00E02EF4">
            <w:pPr>
              <w:rPr>
                <w:sz w:val="16"/>
                <w:szCs w:val="16"/>
              </w:rPr>
            </w:pPr>
            <w:r w:rsidRPr="001F040C">
              <w:rPr>
                <w:sz w:val="16"/>
                <w:szCs w:val="16"/>
              </w:rPr>
              <w:t>Quantitative &amp; Qualitative = Quantitative &amp; Qualitative was used to inform cycles</w:t>
            </w:r>
          </w:p>
          <w:p w14:paraId="64510CB6" w14:textId="77777777" w:rsidR="00D21163" w:rsidRDefault="00D21163" w:rsidP="005C54B3">
            <w:pPr>
              <w:rPr>
                <w:sz w:val="16"/>
                <w:szCs w:val="16"/>
              </w:rPr>
            </w:pPr>
          </w:p>
        </w:tc>
      </w:tr>
    </w:tbl>
    <w:p w14:paraId="5E14431C" w14:textId="77777777" w:rsidR="001F040C" w:rsidRPr="001F040C" w:rsidRDefault="001F040C" w:rsidP="001F040C">
      <w:pPr>
        <w:rPr>
          <w:sz w:val="16"/>
          <w:szCs w:val="16"/>
        </w:rPr>
      </w:pPr>
    </w:p>
    <w:p w14:paraId="5E363D3D" w14:textId="509D6B7B" w:rsidR="003C0498" w:rsidRPr="003C0498" w:rsidRDefault="00B2650F" w:rsidP="003C0498">
      <w:pPr>
        <w:widowControl w:val="0"/>
        <w:autoSpaceDE w:val="0"/>
        <w:autoSpaceDN w:val="0"/>
        <w:adjustRightInd w:val="0"/>
        <w:spacing w:line="240" w:lineRule="auto"/>
        <w:ind w:left="640" w:hanging="640"/>
        <w:rPr>
          <w:rFonts w:ascii="Calibri" w:hAnsi="Calibri" w:cs="Calibri"/>
          <w:noProof/>
          <w:sz w:val="16"/>
          <w:szCs w:val="24"/>
        </w:rPr>
      </w:pPr>
      <w:r w:rsidRPr="001F040C">
        <w:rPr>
          <w:sz w:val="16"/>
          <w:szCs w:val="16"/>
        </w:rPr>
        <w:fldChar w:fldCharType="begin" w:fldLock="1"/>
      </w:r>
      <w:r w:rsidRPr="001F040C">
        <w:rPr>
          <w:sz w:val="16"/>
          <w:szCs w:val="16"/>
        </w:rPr>
        <w:instrText xml:space="preserve">ADDIN Mendeley Bibliography CSL_BIBLIOGRAPHY </w:instrText>
      </w:r>
      <w:r w:rsidRPr="001F040C">
        <w:rPr>
          <w:sz w:val="16"/>
          <w:szCs w:val="16"/>
        </w:rPr>
        <w:fldChar w:fldCharType="separate"/>
      </w:r>
      <w:r w:rsidR="003C0498" w:rsidRPr="003C0498">
        <w:rPr>
          <w:rFonts w:ascii="Calibri" w:hAnsi="Calibri" w:cs="Calibri"/>
          <w:noProof/>
          <w:sz w:val="16"/>
          <w:szCs w:val="24"/>
        </w:rPr>
        <w:t xml:space="preserve">1 </w:t>
      </w:r>
      <w:r w:rsidR="003C0498" w:rsidRPr="003C0498">
        <w:rPr>
          <w:rFonts w:ascii="Calibri" w:hAnsi="Calibri" w:cs="Calibri"/>
          <w:noProof/>
          <w:sz w:val="16"/>
          <w:szCs w:val="24"/>
        </w:rPr>
        <w:tab/>
        <w:t xml:space="preserve">Afanvi KA. From many deaths to some few cases of drug-resistant tuberculosis: travelling with the systems quality improvement model in Lacs Health District, Togo. </w:t>
      </w:r>
      <w:r w:rsidR="003C0498" w:rsidRPr="003C0498">
        <w:rPr>
          <w:rFonts w:ascii="Calibri" w:hAnsi="Calibri" w:cs="Calibri"/>
          <w:i/>
          <w:iCs/>
          <w:noProof/>
          <w:sz w:val="16"/>
          <w:szCs w:val="24"/>
        </w:rPr>
        <w:t>BMJ Qual Improv Reports</w:t>
      </w:r>
      <w:r w:rsidR="003C0498" w:rsidRPr="003C0498">
        <w:rPr>
          <w:rFonts w:ascii="Calibri" w:hAnsi="Calibri" w:cs="Calibri"/>
          <w:noProof/>
          <w:sz w:val="16"/>
          <w:szCs w:val="24"/>
        </w:rPr>
        <w:t xml:space="preserve"> 2015;</w:t>
      </w:r>
      <w:r w:rsidR="003C0498" w:rsidRPr="003C0498">
        <w:rPr>
          <w:rFonts w:ascii="Calibri" w:hAnsi="Calibri" w:cs="Calibri"/>
          <w:b/>
          <w:bCs/>
          <w:noProof/>
          <w:sz w:val="16"/>
          <w:szCs w:val="24"/>
        </w:rPr>
        <w:t>4</w:t>
      </w:r>
      <w:r w:rsidR="003C0498" w:rsidRPr="003C0498">
        <w:rPr>
          <w:rFonts w:ascii="Calibri" w:hAnsi="Calibri" w:cs="Calibri"/>
          <w:noProof/>
          <w:sz w:val="16"/>
          <w:szCs w:val="24"/>
        </w:rPr>
        <w:t>:u201413.w1473.</w:t>
      </w:r>
    </w:p>
    <w:p w14:paraId="61D83B9A"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2 </w:t>
      </w:r>
      <w:r w:rsidRPr="003C0498">
        <w:rPr>
          <w:rFonts w:ascii="Calibri" w:hAnsi="Calibri" w:cs="Calibri"/>
          <w:noProof/>
          <w:sz w:val="16"/>
          <w:szCs w:val="24"/>
        </w:rPr>
        <w:tab/>
        <w:t xml:space="preserve">Ahmad AN, Leyla Byrne M, Imambaccus N, </w:t>
      </w:r>
      <w:r w:rsidRPr="003C0498">
        <w:rPr>
          <w:rFonts w:ascii="Calibri" w:hAnsi="Calibri" w:cs="Calibri"/>
          <w:i/>
          <w:iCs/>
          <w:noProof/>
          <w:sz w:val="16"/>
          <w:szCs w:val="24"/>
        </w:rPr>
        <w:t>et al.</w:t>
      </w:r>
      <w:r w:rsidRPr="003C0498">
        <w:rPr>
          <w:rFonts w:ascii="Calibri" w:hAnsi="Calibri" w:cs="Calibri"/>
          <w:noProof/>
          <w:sz w:val="16"/>
          <w:szCs w:val="24"/>
        </w:rPr>
        <w:t xml:space="preserve"> Venous thromboembolism capture on electronic systems in obstetrics patients at St Thomas’ Hospital. </w:t>
      </w:r>
      <w:r w:rsidRPr="003C0498">
        <w:rPr>
          <w:rFonts w:ascii="Calibri" w:hAnsi="Calibri" w:cs="Calibri"/>
          <w:i/>
          <w:iCs/>
          <w:noProof/>
          <w:sz w:val="16"/>
          <w:szCs w:val="24"/>
        </w:rPr>
        <w:t>BMJ Qual Improv Reports</w:t>
      </w:r>
      <w:r w:rsidRPr="003C0498">
        <w:rPr>
          <w:rFonts w:ascii="Calibri" w:hAnsi="Calibri" w:cs="Calibri"/>
          <w:noProof/>
          <w:sz w:val="16"/>
          <w:szCs w:val="24"/>
        </w:rPr>
        <w:t xml:space="preserve"> 2016;</w:t>
      </w:r>
      <w:r w:rsidRPr="003C0498">
        <w:rPr>
          <w:rFonts w:ascii="Calibri" w:hAnsi="Calibri" w:cs="Calibri"/>
          <w:b/>
          <w:bCs/>
          <w:noProof/>
          <w:sz w:val="16"/>
          <w:szCs w:val="24"/>
        </w:rPr>
        <w:t>5</w:t>
      </w:r>
      <w:r w:rsidRPr="003C0498">
        <w:rPr>
          <w:rFonts w:ascii="Calibri" w:hAnsi="Calibri" w:cs="Calibri"/>
          <w:noProof/>
          <w:sz w:val="16"/>
          <w:szCs w:val="24"/>
        </w:rPr>
        <w:t>:u212405.w5122.</w:t>
      </w:r>
    </w:p>
    <w:p w14:paraId="3F73791C"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3 </w:t>
      </w:r>
      <w:r w:rsidRPr="003C0498">
        <w:rPr>
          <w:rFonts w:ascii="Calibri" w:hAnsi="Calibri" w:cs="Calibri"/>
          <w:noProof/>
          <w:sz w:val="16"/>
          <w:szCs w:val="24"/>
        </w:rPr>
        <w:tab/>
        <w:t xml:space="preserve">Ahmed Awaji M, Al-Surimi K. Promoting the role of patients in improving hand hygiene compliance amongst health care workers. </w:t>
      </w:r>
      <w:r w:rsidRPr="003C0498">
        <w:rPr>
          <w:rFonts w:ascii="Calibri" w:hAnsi="Calibri" w:cs="Calibri"/>
          <w:i/>
          <w:iCs/>
          <w:noProof/>
          <w:sz w:val="16"/>
          <w:szCs w:val="24"/>
        </w:rPr>
        <w:t>BMJ Qual Improv Reports</w:t>
      </w:r>
      <w:r w:rsidRPr="003C0498">
        <w:rPr>
          <w:rFonts w:ascii="Calibri" w:hAnsi="Calibri" w:cs="Calibri"/>
          <w:noProof/>
          <w:sz w:val="16"/>
          <w:szCs w:val="24"/>
        </w:rPr>
        <w:t xml:space="preserve"> 2016;</w:t>
      </w:r>
      <w:r w:rsidRPr="003C0498">
        <w:rPr>
          <w:rFonts w:ascii="Calibri" w:hAnsi="Calibri" w:cs="Calibri"/>
          <w:b/>
          <w:bCs/>
          <w:noProof/>
          <w:sz w:val="16"/>
          <w:szCs w:val="24"/>
        </w:rPr>
        <w:t>5</w:t>
      </w:r>
      <w:r w:rsidRPr="003C0498">
        <w:rPr>
          <w:rFonts w:ascii="Calibri" w:hAnsi="Calibri" w:cs="Calibri"/>
          <w:noProof/>
          <w:sz w:val="16"/>
          <w:szCs w:val="24"/>
        </w:rPr>
        <w:t>:u210787.w4336.</w:t>
      </w:r>
    </w:p>
    <w:p w14:paraId="4BF9EBCE"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lastRenderedPageBreak/>
        <w:t xml:space="preserve">4 </w:t>
      </w:r>
      <w:r w:rsidRPr="003C0498">
        <w:rPr>
          <w:rFonts w:ascii="Calibri" w:hAnsi="Calibri" w:cs="Calibri"/>
          <w:noProof/>
          <w:sz w:val="16"/>
          <w:szCs w:val="24"/>
        </w:rPr>
        <w:tab/>
        <w:t xml:space="preserve">Akinbobuyi O, shalders  louise, Nokes T. Ensuring timely thromboprophylaxis on a Medical Assessment Unit. </w:t>
      </w:r>
      <w:r w:rsidRPr="003C0498">
        <w:rPr>
          <w:rFonts w:ascii="Calibri" w:hAnsi="Calibri" w:cs="Calibri"/>
          <w:i/>
          <w:iCs/>
          <w:noProof/>
          <w:sz w:val="16"/>
          <w:szCs w:val="24"/>
        </w:rPr>
        <w:t>BMJ Qual Improv Reports</w:t>
      </w:r>
      <w:r w:rsidRPr="003C0498">
        <w:rPr>
          <w:rFonts w:ascii="Calibri" w:hAnsi="Calibri" w:cs="Calibri"/>
          <w:noProof/>
          <w:sz w:val="16"/>
          <w:szCs w:val="24"/>
        </w:rPr>
        <w:t xml:space="preserve"> 2016;</w:t>
      </w:r>
      <w:r w:rsidRPr="003C0498">
        <w:rPr>
          <w:rFonts w:ascii="Calibri" w:hAnsi="Calibri" w:cs="Calibri"/>
          <w:b/>
          <w:bCs/>
          <w:noProof/>
          <w:sz w:val="16"/>
          <w:szCs w:val="24"/>
        </w:rPr>
        <w:t>5</w:t>
      </w:r>
      <w:r w:rsidRPr="003C0498">
        <w:rPr>
          <w:rFonts w:ascii="Calibri" w:hAnsi="Calibri" w:cs="Calibri"/>
          <w:noProof/>
          <w:sz w:val="16"/>
          <w:szCs w:val="24"/>
        </w:rPr>
        <w:t>:u212414.w4934.</w:t>
      </w:r>
    </w:p>
    <w:p w14:paraId="4DD8265C"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5 </w:t>
      </w:r>
      <w:r w:rsidRPr="003C0498">
        <w:rPr>
          <w:rFonts w:ascii="Calibri" w:hAnsi="Calibri" w:cs="Calibri"/>
          <w:noProof/>
          <w:sz w:val="16"/>
          <w:szCs w:val="24"/>
        </w:rPr>
        <w:tab/>
        <w:t xml:space="preserve">Alhamid SM, Lee DX-Y, Wong HM, </w:t>
      </w:r>
      <w:r w:rsidRPr="003C0498">
        <w:rPr>
          <w:rFonts w:ascii="Calibri" w:hAnsi="Calibri" w:cs="Calibri"/>
          <w:i/>
          <w:iCs/>
          <w:noProof/>
          <w:sz w:val="16"/>
          <w:szCs w:val="24"/>
        </w:rPr>
        <w:t>et al.</w:t>
      </w:r>
      <w:r w:rsidRPr="003C0498">
        <w:rPr>
          <w:rFonts w:ascii="Calibri" w:hAnsi="Calibri" w:cs="Calibri"/>
          <w:noProof/>
          <w:sz w:val="16"/>
          <w:szCs w:val="24"/>
        </w:rPr>
        <w:t xml:space="preserve"> Implementing electronic handover: interventions to improve efficiency, safety and sustainability. </w:t>
      </w:r>
      <w:r w:rsidRPr="003C0498">
        <w:rPr>
          <w:rFonts w:ascii="Calibri" w:hAnsi="Calibri" w:cs="Calibri"/>
          <w:i/>
          <w:iCs/>
          <w:noProof/>
          <w:sz w:val="16"/>
          <w:szCs w:val="24"/>
        </w:rPr>
        <w:t>Int J Qual Heal Care</w:t>
      </w:r>
      <w:r w:rsidRPr="003C0498">
        <w:rPr>
          <w:rFonts w:ascii="Calibri" w:hAnsi="Calibri" w:cs="Calibri"/>
          <w:noProof/>
          <w:sz w:val="16"/>
          <w:szCs w:val="24"/>
        </w:rPr>
        <w:t xml:space="preserve"> 2016;</w:t>
      </w:r>
      <w:r w:rsidRPr="003C0498">
        <w:rPr>
          <w:rFonts w:ascii="Calibri" w:hAnsi="Calibri" w:cs="Calibri"/>
          <w:b/>
          <w:bCs/>
          <w:noProof/>
          <w:sz w:val="16"/>
          <w:szCs w:val="24"/>
        </w:rPr>
        <w:t>28</w:t>
      </w:r>
      <w:r w:rsidRPr="003C0498">
        <w:rPr>
          <w:rFonts w:ascii="Calibri" w:hAnsi="Calibri" w:cs="Calibri"/>
          <w:noProof/>
          <w:sz w:val="16"/>
          <w:szCs w:val="24"/>
        </w:rPr>
        <w:t>:608–14.</w:t>
      </w:r>
    </w:p>
    <w:p w14:paraId="7844802B"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6 </w:t>
      </w:r>
      <w:r w:rsidRPr="003C0498">
        <w:rPr>
          <w:rFonts w:ascii="Calibri" w:hAnsi="Calibri" w:cs="Calibri"/>
          <w:noProof/>
          <w:sz w:val="16"/>
          <w:szCs w:val="24"/>
        </w:rPr>
        <w:tab/>
        <w:t xml:space="preserve">Aljaber A, Al-Surimi K. Promoting oral health practice among patients with diabetes attending primary health care clinics. </w:t>
      </w:r>
      <w:r w:rsidRPr="003C0498">
        <w:rPr>
          <w:rFonts w:ascii="Calibri" w:hAnsi="Calibri" w:cs="Calibri"/>
          <w:i/>
          <w:iCs/>
          <w:noProof/>
          <w:sz w:val="16"/>
          <w:szCs w:val="24"/>
        </w:rPr>
        <w:t>BMJ Qual Improv Reports</w:t>
      </w:r>
      <w:r w:rsidRPr="003C0498">
        <w:rPr>
          <w:rFonts w:ascii="Calibri" w:hAnsi="Calibri" w:cs="Calibri"/>
          <w:noProof/>
          <w:sz w:val="16"/>
          <w:szCs w:val="24"/>
        </w:rPr>
        <w:t xml:space="preserve"> 2015;</w:t>
      </w:r>
      <w:r w:rsidRPr="003C0498">
        <w:rPr>
          <w:rFonts w:ascii="Calibri" w:hAnsi="Calibri" w:cs="Calibri"/>
          <w:b/>
          <w:bCs/>
          <w:noProof/>
          <w:sz w:val="16"/>
          <w:szCs w:val="24"/>
        </w:rPr>
        <w:t>4</w:t>
      </w:r>
      <w:r w:rsidRPr="003C0498">
        <w:rPr>
          <w:rFonts w:ascii="Calibri" w:hAnsi="Calibri" w:cs="Calibri"/>
          <w:noProof/>
          <w:sz w:val="16"/>
          <w:szCs w:val="24"/>
        </w:rPr>
        <w:t>:u209172.w3737.</w:t>
      </w:r>
    </w:p>
    <w:p w14:paraId="76F5EF46"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7 </w:t>
      </w:r>
      <w:r w:rsidRPr="003C0498">
        <w:rPr>
          <w:rFonts w:ascii="Calibri" w:hAnsi="Calibri" w:cs="Calibri"/>
          <w:noProof/>
          <w:sz w:val="16"/>
          <w:szCs w:val="24"/>
        </w:rPr>
        <w:tab/>
        <w:t xml:space="preserve">Al Saleem N, Al-Surimi K. Reducing the occurrence of errors in a laboratory’s specimen receiving and processing department. </w:t>
      </w:r>
      <w:r w:rsidRPr="003C0498">
        <w:rPr>
          <w:rFonts w:ascii="Calibri" w:hAnsi="Calibri" w:cs="Calibri"/>
          <w:i/>
          <w:iCs/>
          <w:noProof/>
          <w:sz w:val="16"/>
          <w:szCs w:val="24"/>
        </w:rPr>
        <w:t>BMJ Qual Improv Reports</w:t>
      </w:r>
      <w:r w:rsidRPr="003C0498">
        <w:rPr>
          <w:rFonts w:ascii="Calibri" w:hAnsi="Calibri" w:cs="Calibri"/>
          <w:noProof/>
          <w:sz w:val="16"/>
          <w:szCs w:val="24"/>
        </w:rPr>
        <w:t xml:space="preserve"> 2016;</w:t>
      </w:r>
      <w:r w:rsidRPr="003C0498">
        <w:rPr>
          <w:rFonts w:ascii="Calibri" w:hAnsi="Calibri" w:cs="Calibri"/>
          <w:b/>
          <w:bCs/>
          <w:noProof/>
          <w:sz w:val="16"/>
          <w:szCs w:val="24"/>
        </w:rPr>
        <w:t>5</w:t>
      </w:r>
      <w:r w:rsidRPr="003C0498">
        <w:rPr>
          <w:rFonts w:ascii="Calibri" w:hAnsi="Calibri" w:cs="Calibri"/>
          <w:noProof/>
          <w:sz w:val="16"/>
          <w:szCs w:val="24"/>
        </w:rPr>
        <w:t>:u211474.w4624.</w:t>
      </w:r>
    </w:p>
    <w:p w14:paraId="53E941CC"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8 </w:t>
      </w:r>
      <w:r w:rsidRPr="003C0498">
        <w:rPr>
          <w:rFonts w:ascii="Calibri" w:hAnsi="Calibri" w:cs="Calibri"/>
          <w:noProof/>
          <w:sz w:val="16"/>
          <w:szCs w:val="24"/>
        </w:rPr>
        <w:tab/>
        <w:t xml:space="preserve">Alshieban S, Al-Surimi K. Reducing turnaround time of surgical pathology reports in pathology and laboratory medicine departments. </w:t>
      </w:r>
      <w:r w:rsidRPr="003C0498">
        <w:rPr>
          <w:rFonts w:ascii="Calibri" w:hAnsi="Calibri" w:cs="Calibri"/>
          <w:i/>
          <w:iCs/>
          <w:noProof/>
          <w:sz w:val="16"/>
          <w:szCs w:val="24"/>
        </w:rPr>
        <w:t>BMJ Qual Improv reports</w:t>
      </w:r>
      <w:r w:rsidRPr="003C0498">
        <w:rPr>
          <w:rFonts w:ascii="Calibri" w:hAnsi="Calibri" w:cs="Calibri"/>
          <w:noProof/>
          <w:sz w:val="16"/>
          <w:szCs w:val="24"/>
        </w:rPr>
        <w:t xml:space="preserve"> 2015;</w:t>
      </w:r>
      <w:r w:rsidRPr="003C0498">
        <w:rPr>
          <w:rFonts w:ascii="Calibri" w:hAnsi="Calibri" w:cs="Calibri"/>
          <w:b/>
          <w:bCs/>
          <w:noProof/>
          <w:sz w:val="16"/>
          <w:szCs w:val="24"/>
        </w:rPr>
        <w:t>4</w:t>
      </w:r>
      <w:r w:rsidRPr="003C0498">
        <w:rPr>
          <w:rFonts w:ascii="Calibri" w:hAnsi="Calibri" w:cs="Calibri"/>
          <w:noProof/>
          <w:sz w:val="16"/>
          <w:szCs w:val="24"/>
        </w:rPr>
        <w:t>:u209223.w3773.</w:t>
      </w:r>
    </w:p>
    <w:p w14:paraId="368E0235"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9 </w:t>
      </w:r>
      <w:r w:rsidRPr="003C0498">
        <w:rPr>
          <w:rFonts w:ascii="Calibri" w:hAnsi="Calibri" w:cs="Calibri"/>
          <w:noProof/>
          <w:sz w:val="16"/>
          <w:szCs w:val="24"/>
        </w:rPr>
        <w:tab/>
        <w:t xml:space="preserve">Anderson C, McNab D. Quality improvement project using a care bundle approach on the management of the immediate discharge document (IDD) within a single general practice. </w:t>
      </w:r>
      <w:r w:rsidRPr="003C0498">
        <w:rPr>
          <w:rFonts w:ascii="Calibri" w:hAnsi="Calibri" w:cs="Calibri"/>
          <w:i/>
          <w:iCs/>
          <w:noProof/>
          <w:sz w:val="16"/>
          <w:szCs w:val="24"/>
        </w:rPr>
        <w:t>BMJ Qual Improv reports</w:t>
      </w:r>
      <w:r w:rsidRPr="003C0498">
        <w:rPr>
          <w:rFonts w:ascii="Calibri" w:hAnsi="Calibri" w:cs="Calibri"/>
          <w:noProof/>
          <w:sz w:val="16"/>
          <w:szCs w:val="24"/>
        </w:rPr>
        <w:t xml:space="preserve"> 2015;</w:t>
      </w:r>
      <w:r w:rsidRPr="003C0498">
        <w:rPr>
          <w:rFonts w:ascii="Calibri" w:hAnsi="Calibri" w:cs="Calibri"/>
          <w:b/>
          <w:bCs/>
          <w:noProof/>
          <w:sz w:val="16"/>
          <w:szCs w:val="24"/>
        </w:rPr>
        <w:t>4</w:t>
      </w:r>
      <w:r w:rsidRPr="003C0498">
        <w:rPr>
          <w:rFonts w:ascii="Calibri" w:hAnsi="Calibri" w:cs="Calibri"/>
          <w:noProof/>
          <w:sz w:val="16"/>
          <w:szCs w:val="24"/>
        </w:rPr>
        <w:t>:10.1136/bmjquality.u204819.w3337. eCollection 2015.</w:t>
      </w:r>
    </w:p>
    <w:p w14:paraId="00F76F98"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10 </w:t>
      </w:r>
      <w:r w:rsidRPr="003C0498">
        <w:rPr>
          <w:rFonts w:ascii="Calibri" w:hAnsi="Calibri" w:cs="Calibri"/>
          <w:noProof/>
          <w:sz w:val="16"/>
          <w:szCs w:val="24"/>
        </w:rPr>
        <w:tab/>
        <w:t xml:space="preserve">Andersson J, Bull T, Paul D, </w:t>
      </w:r>
      <w:r w:rsidRPr="003C0498">
        <w:rPr>
          <w:rFonts w:ascii="Calibri" w:hAnsi="Calibri" w:cs="Calibri"/>
          <w:i/>
          <w:iCs/>
          <w:noProof/>
          <w:sz w:val="16"/>
          <w:szCs w:val="24"/>
        </w:rPr>
        <w:t>et al.</w:t>
      </w:r>
      <w:r w:rsidRPr="003C0498">
        <w:rPr>
          <w:rFonts w:ascii="Calibri" w:hAnsi="Calibri" w:cs="Calibri"/>
          <w:noProof/>
          <w:sz w:val="16"/>
          <w:szCs w:val="24"/>
        </w:rPr>
        <w:t xml:space="preserve"> Safer fluid prescribing at North Bristol Trust: Bringing practice in line with NICE Guidance with a redesign of the fluid prescription chart. </w:t>
      </w:r>
      <w:r w:rsidRPr="003C0498">
        <w:rPr>
          <w:rFonts w:ascii="Calibri" w:hAnsi="Calibri" w:cs="Calibri"/>
          <w:i/>
          <w:iCs/>
          <w:noProof/>
          <w:sz w:val="16"/>
          <w:szCs w:val="24"/>
        </w:rPr>
        <w:t>BMJ Qual Improv Reports</w:t>
      </w:r>
      <w:r w:rsidRPr="003C0498">
        <w:rPr>
          <w:rFonts w:ascii="Calibri" w:hAnsi="Calibri" w:cs="Calibri"/>
          <w:noProof/>
          <w:sz w:val="16"/>
          <w:szCs w:val="24"/>
        </w:rPr>
        <w:t xml:space="preserve"> 2015;</w:t>
      </w:r>
      <w:r w:rsidRPr="003C0498">
        <w:rPr>
          <w:rFonts w:ascii="Calibri" w:hAnsi="Calibri" w:cs="Calibri"/>
          <w:b/>
          <w:bCs/>
          <w:noProof/>
          <w:sz w:val="16"/>
          <w:szCs w:val="24"/>
        </w:rPr>
        <w:t>4</w:t>
      </w:r>
      <w:r w:rsidRPr="003C0498">
        <w:rPr>
          <w:rFonts w:ascii="Calibri" w:hAnsi="Calibri" w:cs="Calibri"/>
          <w:noProof/>
          <w:sz w:val="16"/>
          <w:szCs w:val="24"/>
        </w:rPr>
        <w:t>:u203816.w1911.</w:t>
      </w:r>
    </w:p>
    <w:p w14:paraId="2F80C082"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11 </w:t>
      </w:r>
      <w:r w:rsidRPr="003C0498">
        <w:rPr>
          <w:rFonts w:ascii="Calibri" w:hAnsi="Calibri" w:cs="Calibri"/>
          <w:noProof/>
          <w:sz w:val="16"/>
          <w:szCs w:val="24"/>
        </w:rPr>
        <w:tab/>
        <w:t xml:space="preserve">Aragona E, Ponce-Rios J, Garg P, </w:t>
      </w:r>
      <w:r w:rsidRPr="003C0498">
        <w:rPr>
          <w:rFonts w:ascii="Calibri" w:hAnsi="Calibri" w:cs="Calibri"/>
          <w:i/>
          <w:iCs/>
          <w:noProof/>
          <w:sz w:val="16"/>
          <w:szCs w:val="24"/>
        </w:rPr>
        <w:t>et al.</w:t>
      </w:r>
      <w:r w:rsidRPr="003C0498">
        <w:rPr>
          <w:rFonts w:ascii="Calibri" w:hAnsi="Calibri" w:cs="Calibri"/>
          <w:noProof/>
          <w:sz w:val="16"/>
          <w:szCs w:val="24"/>
        </w:rPr>
        <w:t xml:space="preserve"> A Quality Improvement Project to Increase Nurse Attendance on Pediatric Family Centered Rounds. </w:t>
      </w:r>
      <w:r w:rsidRPr="003C0498">
        <w:rPr>
          <w:rFonts w:ascii="Calibri" w:hAnsi="Calibri" w:cs="Calibri"/>
          <w:i/>
          <w:iCs/>
          <w:noProof/>
          <w:sz w:val="16"/>
          <w:szCs w:val="24"/>
        </w:rPr>
        <w:t>J Pediatr Nurs</w:t>
      </w:r>
      <w:r w:rsidRPr="003C0498">
        <w:rPr>
          <w:rFonts w:ascii="Calibri" w:hAnsi="Calibri" w:cs="Calibri"/>
          <w:noProof/>
          <w:sz w:val="16"/>
          <w:szCs w:val="24"/>
        </w:rPr>
        <w:t xml:space="preserve"> 2016;</w:t>
      </w:r>
      <w:r w:rsidRPr="003C0498">
        <w:rPr>
          <w:rFonts w:ascii="Calibri" w:hAnsi="Calibri" w:cs="Calibri"/>
          <w:b/>
          <w:bCs/>
          <w:noProof/>
          <w:sz w:val="16"/>
          <w:szCs w:val="24"/>
        </w:rPr>
        <w:t>31</w:t>
      </w:r>
      <w:r w:rsidRPr="003C0498">
        <w:rPr>
          <w:rFonts w:ascii="Calibri" w:hAnsi="Calibri" w:cs="Calibri"/>
          <w:noProof/>
          <w:sz w:val="16"/>
          <w:szCs w:val="24"/>
        </w:rPr>
        <w:t>:e3–9.</w:t>
      </w:r>
    </w:p>
    <w:p w14:paraId="79660E18"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12 </w:t>
      </w:r>
      <w:r w:rsidRPr="003C0498">
        <w:rPr>
          <w:rFonts w:ascii="Calibri" w:hAnsi="Calibri" w:cs="Calibri"/>
          <w:noProof/>
          <w:sz w:val="16"/>
          <w:szCs w:val="24"/>
        </w:rPr>
        <w:tab/>
        <w:t xml:space="preserve">Aung TH, Judith Beck A, Siese T, </w:t>
      </w:r>
      <w:r w:rsidRPr="003C0498">
        <w:rPr>
          <w:rFonts w:ascii="Calibri" w:hAnsi="Calibri" w:cs="Calibri"/>
          <w:i/>
          <w:iCs/>
          <w:noProof/>
          <w:sz w:val="16"/>
          <w:szCs w:val="24"/>
        </w:rPr>
        <w:t>et al.</w:t>
      </w:r>
      <w:r w:rsidRPr="003C0498">
        <w:rPr>
          <w:rFonts w:ascii="Calibri" w:hAnsi="Calibri" w:cs="Calibri"/>
          <w:noProof/>
          <w:sz w:val="16"/>
          <w:szCs w:val="24"/>
        </w:rPr>
        <w:t xml:space="preserve"> Less is more: a project to reduce the number of PIMs (potentially inappropriate medications) on an elderly care ward. </w:t>
      </w:r>
      <w:r w:rsidRPr="003C0498">
        <w:rPr>
          <w:rFonts w:ascii="Calibri" w:hAnsi="Calibri" w:cs="Calibri"/>
          <w:i/>
          <w:iCs/>
          <w:noProof/>
          <w:sz w:val="16"/>
          <w:szCs w:val="24"/>
        </w:rPr>
        <w:t>BMJ Qual Improv reports</w:t>
      </w:r>
      <w:r w:rsidRPr="003C0498">
        <w:rPr>
          <w:rFonts w:ascii="Calibri" w:hAnsi="Calibri" w:cs="Calibri"/>
          <w:noProof/>
          <w:sz w:val="16"/>
          <w:szCs w:val="24"/>
        </w:rPr>
        <w:t xml:space="preserve"> 2016;</w:t>
      </w:r>
      <w:r w:rsidRPr="003C0498">
        <w:rPr>
          <w:rFonts w:ascii="Calibri" w:hAnsi="Calibri" w:cs="Calibri"/>
          <w:b/>
          <w:bCs/>
          <w:noProof/>
          <w:sz w:val="16"/>
          <w:szCs w:val="24"/>
        </w:rPr>
        <w:t>5</w:t>
      </w:r>
      <w:r w:rsidRPr="003C0498">
        <w:rPr>
          <w:rFonts w:ascii="Calibri" w:hAnsi="Calibri" w:cs="Calibri"/>
          <w:noProof/>
          <w:sz w:val="16"/>
          <w:szCs w:val="24"/>
        </w:rPr>
        <w:t>:1–4.</w:t>
      </w:r>
    </w:p>
    <w:p w14:paraId="5B37B660"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13 </w:t>
      </w:r>
      <w:r w:rsidRPr="003C0498">
        <w:rPr>
          <w:rFonts w:ascii="Calibri" w:hAnsi="Calibri" w:cs="Calibri"/>
          <w:noProof/>
          <w:sz w:val="16"/>
          <w:szCs w:val="24"/>
        </w:rPr>
        <w:tab/>
        <w:t xml:space="preserve">Bailey J, Page B, Ndimande N, </w:t>
      </w:r>
      <w:r w:rsidRPr="003C0498">
        <w:rPr>
          <w:rFonts w:ascii="Calibri" w:hAnsi="Calibri" w:cs="Calibri"/>
          <w:i/>
          <w:iCs/>
          <w:noProof/>
          <w:sz w:val="16"/>
          <w:szCs w:val="24"/>
        </w:rPr>
        <w:t>et al.</w:t>
      </w:r>
      <w:r w:rsidRPr="003C0498">
        <w:rPr>
          <w:rFonts w:ascii="Calibri" w:hAnsi="Calibri" w:cs="Calibri"/>
          <w:noProof/>
          <w:sz w:val="16"/>
          <w:szCs w:val="24"/>
        </w:rPr>
        <w:t xml:space="preserve"> Absconding: reducing failure to return in adult mental health wards. </w:t>
      </w:r>
      <w:r w:rsidRPr="003C0498">
        <w:rPr>
          <w:rFonts w:ascii="Calibri" w:hAnsi="Calibri" w:cs="Calibri"/>
          <w:i/>
          <w:iCs/>
          <w:noProof/>
          <w:sz w:val="16"/>
          <w:szCs w:val="24"/>
        </w:rPr>
        <w:t>BMJ Qual Improv Reports</w:t>
      </w:r>
      <w:r w:rsidRPr="003C0498">
        <w:rPr>
          <w:rFonts w:ascii="Calibri" w:hAnsi="Calibri" w:cs="Calibri"/>
          <w:noProof/>
          <w:sz w:val="16"/>
          <w:szCs w:val="24"/>
        </w:rPr>
        <w:t xml:space="preserve"> 2016;</w:t>
      </w:r>
      <w:r w:rsidRPr="003C0498">
        <w:rPr>
          <w:rFonts w:ascii="Calibri" w:hAnsi="Calibri" w:cs="Calibri"/>
          <w:b/>
          <w:bCs/>
          <w:noProof/>
          <w:sz w:val="16"/>
          <w:szCs w:val="24"/>
        </w:rPr>
        <w:t>5</w:t>
      </w:r>
      <w:r w:rsidRPr="003C0498">
        <w:rPr>
          <w:rFonts w:ascii="Calibri" w:hAnsi="Calibri" w:cs="Calibri"/>
          <w:noProof/>
          <w:sz w:val="16"/>
          <w:szCs w:val="24"/>
        </w:rPr>
        <w:t>:u209837.w5117.</w:t>
      </w:r>
    </w:p>
    <w:p w14:paraId="035C68A8"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14 </w:t>
      </w:r>
      <w:r w:rsidRPr="003C0498">
        <w:rPr>
          <w:rFonts w:ascii="Calibri" w:hAnsi="Calibri" w:cs="Calibri"/>
          <w:noProof/>
          <w:sz w:val="16"/>
          <w:szCs w:val="24"/>
        </w:rPr>
        <w:tab/>
        <w:t xml:space="preserve">Bays A, Wahl E, Daikh DI, </w:t>
      </w:r>
      <w:r w:rsidRPr="003C0498">
        <w:rPr>
          <w:rFonts w:ascii="Calibri" w:hAnsi="Calibri" w:cs="Calibri"/>
          <w:i/>
          <w:iCs/>
          <w:noProof/>
          <w:sz w:val="16"/>
          <w:szCs w:val="24"/>
        </w:rPr>
        <w:t>et al.</w:t>
      </w:r>
      <w:r w:rsidRPr="003C0498">
        <w:rPr>
          <w:rFonts w:ascii="Calibri" w:hAnsi="Calibri" w:cs="Calibri"/>
          <w:noProof/>
          <w:sz w:val="16"/>
          <w:szCs w:val="24"/>
        </w:rPr>
        <w:t xml:space="preserve"> Implementation of disease activity measurement for rheumatoid arthritis patients in an academic rheumatology clinic. </w:t>
      </w:r>
      <w:r w:rsidRPr="003C0498">
        <w:rPr>
          <w:rFonts w:ascii="Calibri" w:hAnsi="Calibri" w:cs="Calibri"/>
          <w:i/>
          <w:iCs/>
          <w:noProof/>
          <w:sz w:val="16"/>
          <w:szCs w:val="24"/>
        </w:rPr>
        <w:t>BMC Health Serv Res</w:t>
      </w:r>
      <w:r w:rsidRPr="003C0498">
        <w:rPr>
          <w:rFonts w:ascii="Calibri" w:hAnsi="Calibri" w:cs="Calibri"/>
          <w:noProof/>
          <w:sz w:val="16"/>
          <w:szCs w:val="24"/>
        </w:rPr>
        <w:t xml:space="preserve"> 2016;</w:t>
      </w:r>
      <w:r w:rsidRPr="003C0498">
        <w:rPr>
          <w:rFonts w:ascii="Calibri" w:hAnsi="Calibri" w:cs="Calibri"/>
          <w:b/>
          <w:bCs/>
          <w:noProof/>
          <w:sz w:val="16"/>
          <w:szCs w:val="24"/>
        </w:rPr>
        <w:t>16</w:t>
      </w:r>
      <w:r w:rsidRPr="003C0498">
        <w:rPr>
          <w:rFonts w:ascii="Calibri" w:hAnsi="Calibri" w:cs="Calibri"/>
          <w:noProof/>
          <w:sz w:val="16"/>
          <w:szCs w:val="24"/>
        </w:rPr>
        <w:t>:384.</w:t>
      </w:r>
    </w:p>
    <w:p w14:paraId="0B27981A"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15 </w:t>
      </w:r>
      <w:r w:rsidRPr="003C0498">
        <w:rPr>
          <w:rFonts w:ascii="Calibri" w:hAnsi="Calibri" w:cs="Calibri"/>
          <w:noProof/>
          <w:sz w:val="16"/>
          <w:szCs w:val="24"/>
        </w:rPr>
        <w:tab/>
        <w:t xml:space="preserve">Bell A, Gallacher N. Succeeding in Sustained Reduction in the use of Restraint using the Improvement Model. </w:t>
      </w:r>
      <w:r w:rsidRPr="003C0498">
        <w:rPr>
          <w:rFonts w:ascii="Calibri" w:hAnsi="Calibri" w:cs="Calibri"/>
          <w:i/>
          <w:iCs/>
          <w:noProof/>
          <w:sz w:val="16"/>
          <w:szCs w:val="24"/>
        </w:rPr>
        <w:t>BMJ Qual Improv Reports</w:t>
      </w:r>
      <w:r w:rsidRPr="003C0498">
        <w:rPr>
          <w:rFonts w:ascii="Calibri" w:hAnsi="Calibri" w:cs="Calibri"/>
          <w:noProof/>
          <w:sz w:val="16"/>
          <w:szCs w:val="24"/>
        </w:rPr>
        <w:t xml:space="preserve"> 2016;</w:t>
      </w:r>
      <w:r w:rsidRPr="003C0498">
        <w:rPr>
          <w:rFonts w:ascii="Calibri" w:hAnsi="Calibri" w:cs="Calibri"/>
          <w:b/>
          <w:bCs/>
          <w:noProof/>
          <w:sz w:val="16"/>
          <w:szCs w:val="24"/>
        </w:rPr>
        <w:t>5</w:t>
      </w:r>
      <w:r w:rsidRPr="003C0498">
        <w:rPr>
          <w:rFonts w:ascii="Calibri" w:hAnsi="Calibri" w:cs="Calibri"/>
          <w:noProof/>
          <w:sz w:val="16"/>
          <w:szCs w:val="24"/>
        </w:rPr>
        <w:t>:u211050.w4430.</w:t>
      </w:r>
    </w:p>
    <w:p w14:paraId="0902D139"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16 </w:t>
      </w:r>
      <w:r w:rsidRPr="003C0498">
        <w:rPr>
          <w:rFonts w:ascii="Calibri" w:hAnsi="Calibri" w:cs="Calibri"/>
          <w:noProof/>
          <w:sz w:val="16"/>
          <w:szCs w:val="24"/>
        </w:rPr>
        <w:tab/>
        <w:t xml:space="preserve">Bock A, Chintamaneni K, Rein L, </w:t>
      </w:r>
      <w:r w:rsidRPr="003C0498">
        <w:rPr>
          <w:rFonts w:ascii="Calibri" w:hAnsi="Calibri" w:cs="Calibri"/>
          <w:i/>
          <w:iCs/>
          <w:noProof/>
          <w:sz w:val="16"/>
          <w:szCs w:val="24"/>
        </w:rPr>
        <w:t>et al.</w:t>
      </w:r>
      <w:r w:rsidRPr="003C0498">
        <w:rPr>
          <w:rFonts w:ascii="Calibri" w:hAnsi="Calibri" w:cs="Calibri"/>
          <w:noProof/>
          <w:sz w:val="16"/>
          <w:szCs w:val="24"/>
        </w:rPr>
        <w:t xml:space="preserve"> Improving pneumococcal vaccination rates of medical inpatients in urban Nepal using quality improvement measures. </w:t>
      </w:r>
      <w:r w:rsidRPr="003C0498">
        <w:rPr>
          <w:rFonts w:ascii="Calibri" w:hAnsi="Calibri" w:cs="Calibri"/>
          <w:i/>
          <w:iCs/>
          <w:noProof/>
          <w:sz w:val="16"/>
          <w:szCs w:val="24"/>
        </w:rPr>
        <w:t>BMJ Qual Improv Reports</w:t>
      </w:r>
      <w:r w:rsidRPr="003C0498">
        <w:rPr>
          <w:rFonts w:ascii="Calibri" w:hAnsi="Calibri" w:cs="Calibri"/>
          <w:noProof/>
          <w:sz w:val="16"/>
          <w:szCs w:val="24"/>
        </w:rPr>
        <w:t xml:space="preserve"> 2016;</w:t>
      </w:r>
      <w:r w:rsidRPr="003C0498">
        <w:rPr>
          <w:rFonts w:ascii="Calibri" w:hAnsi="Calibri" w:cs="Calibri"/>
          <w:b/>
          <w:bCs/>
          <w:noProof/>
          <w:sz w:val="16"/>
          <w:szCs w:val="24"/>
        </w:rPr>
        <w:t>5</w:t>
      </w:r>
      <w:r w:rsidRPr="003C0498">
        <w:rPr>
          <w:rFonts w:ascii="Calibri" w:hAnsi="Calibri" w:cs="Calibri"/>
          <w:noProof/>
          <w:sz w:val="16"/>
          <w:szCs w:val="24"/>
        </w:rPr>
        <w:t>:u212047.w4835.</w:t>
      </w:r>
    </w:p>
    <w:p w14:paraId="4C213EE3"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17 </w:t>
      </w:r>
      <w:r w:rsidRPr="003C0498">
        <w:rPr>
          <w:rFonts w:ascii="Calibri" w:hAnsi="Calibri" w:cs="Calibri"/>
          <w:noProof/>
          <w:sz w:val="16"/>
          <w:szCs w:val="24"/>
        </w:rPr>
        <w:tab/>
        <w:t xml:space="preserve">Bray L. Improving cranial ultrasound scanning strategy in neonates. </w:t>
      </w:r>
      <w:r w:rsidRPr="003C0498">
        <w:rPr>
          <w:rFonts w:ascii="Calibri" w:hAnsi="Calibri" w:cs="Calibri"/>
          <w:i/>
          <w:iCs/>
          <w:noProof/>
          <w:sz w:val="16"/>
          <w:szCs w:val="24"/>
        </w:rPr>
        <w:t>BMJ Qual Improv Reports</w:t>
      </w:r>
      <w:r w:rsidRPr="003C0498">
        <w:rPr>
          <w:rFonts w:ascii="Calibri" w:hAnsi="Calibri" w:cs="Calibri"/>
          <w:noProof/>
          <w:sz w:val="16"/>
          <w:szCs w:val="24"/>
        </w:rPr>
        <w:t xml:space="preserve"> 2016;</w:t>
      </w:r>
      <w:r w:rsidRPr="003C0498">
        <w:rPr>
          <w:rFonts w:ascii="Calibri" w:hAnsi="Calibri" w:cs="Calibri"/>
          <w:b/>
          <w:bCs/>
          <w:noProof/>
          <w:sz w:val="16"/>
          <w:szCs w:val="24"/>
        </w:rPr>
        <w:t>5</w:t>
      </w:r>
      <w:r w:rsidRPr="003C0498">
        <w:rPr>
          <w:rFonts w:ascii="Calibri" w:hAnsi="Calibri" w:cs="Calibri"/>
          <w:noProof/>
          <w:sz w:val="16"/>
          <w:szCs w:val="24"/>
        </w:rPr>
        <w:t>:u210346.w4219.</w:t>
      </w:r>
    </w:p>
    <w:p w14:paraId="327679BC"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18 </w:t>
      </w:r>
      <w:r w:rsidRPr="003C0498">
        <w:rPr>
          <w:rFonts w:ascii="Calibri" w:hAnsi="Calibri" w:cs="Calibri"/>
          <w:noProof/>
          <w:sz w:val="16"/>
          <w:szCs w:val="24"/>
        </w:rPr>
        <w:tab/>
        <w:t xml:space="preserve">Brown J, Fawzi W, Shah A, </w:t>
      </w:r>
      <w:r w:rsidRPr="003C0498">
        <w:rPr>
          <w:rFonts w:ascii="Calibri" w:hAnsi="Calibri" w:cs="Calibri"/>
          <w:i/>
          <w:iCs/>
          <w:noProof/>
          <w:sz w:val="16"/>
          <w:szCs w:val="24"/>
        </w:rPr>
        <w:t>et al.</w:t>
      </w:r>
      <w:r w:rsidRPr="003C0498">
        <w:rPr>
          <w:rFonts w:ascii="Calibri" w:hAnsi="Calibri" w:cs="Calibri"/>
          <w:noProof/>
          <w:sz w:val="16"/>
          <w:szCs w:val="24"/>
        </w:rPr>
        <w:t xml:space="preserve"> Low stimulus environments: reducing noise levels in continuing care. </w:t>
      </w:r>
      <w:r w:rsidRPr="003C0498">
        <w:rPr>
          <w:rFonts w:ascii="Calibri" w:hAnsi="Calibri" w:cs="Calibri"/>
          <w:i/>
          <w:iCs/>
          <w:noProof/>
          <w:sz w:val="16"/>
          <w:szCs w:val="24"/>
        </w:rPr>
        <w:t>BMJ Qual Improv Reports</w:t>
      </w:r>
      <w:r w:rsidRPr="003C0498">
        <w:rPr>
          <w:rFonts w:ascii="Calibri" w:hAnsi="Calibri" w:cs="Calibri"/>
          <w:noProof/>
          <w:sz w:val="16"/>
          <w:szCs w:val="24"/>
        </w:rPr>
        <w:t xml:space="preserve"> 2016;</w:t>
      </w:r>
      <w:r w:rsidRPr="003C0498">
        <w:rPr>
          <w:rFonts w:ascii="Calibri" w:hAnsi="Calibri" w:cs="Calibri"/>
          <w:b/>
          <w:bCs/>
          <w:noProof/>
          <w:sz w:val="16"/>
          <w:szCs w:val="24"/>
        </w:rPr>
        <w:t>5</w:t>
      </w:r>
      <w:r w:rsidRPr="003C0498">
        <w:rPr>
          <w:rFonts w:ascii="Calibri" w:hAnsi="Calibri" w:cs="Calibri"/>
          <w:noProof/>
          <w:sz w:val="16"/>
          <w:szCs w:val="24"/>
        </w:rPr>
        <w:t>:u207447.w4214.</w:t>
      </w:r>
    </w:p>
    <w:p w14:paraId="0628F106"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19 </w:t>
      </w:r>
      <w:r w:rsidRPr="003C0498">
        <w:rPr>
          <w:rFonts w:ascii="Calibri" w:hAnsi="Calibri" w:cs="Calibri"/>
          <w:noProof/>
          <w:sz w:val="16"/>
          <w:szCs w:val="24"/>
        </w:rPr>
        <w:tab/>
        <w:t xml:space="preserve">Burchett P, Harpin S, Petersen-Smith A, </w:t>
      </w:r>
      <w:r w:rsidRPr="003C0498">
        <w:rPr>
          <w:rFonts w:ascii="Calibri" w:hAnsi="Calibri" w:cs="Calibri"/>
          <w:i/>
          <w:iCs/>
          <w:noProof/>
          <w:sz w:val="16"/>
          <w:szCs w:val="24"/>
        </w:rPr>
        <w:t>et al.</w:t>
      </w:r>
      <w:r w:rsidRPr="003C0498">
        <w:rPr>
          <w:rFonts w:ascii="Calibri" w:hAnsi="Calibri" w:cs="Calibri"/>
          <w:noProof/>
          <w:sz w:val="16"/>
          <w:szCs w:val="24"/>
        </w:rPr>
        <w:t xml:space="preserve"> Improving a Urine Culture Callback Follow-up System in a Pediatric Emergency Department. </w:t>
      </w:r>
      <w:r w:rsidRPr="003C0498">
        <w:rPr>
          <w:rFonts w:ascii="Calibri" w:hAnsi="Calibri" w:cs="Calibri"/>
          <w:i/>
          <w:iCs/>
          <w:noProof/>
          <w:sz w:val="16"/>
          <w:szCs w:val="24"/>
        </w:rPr>
        <w:t>J Pediatr Heal Care</w:t>
      </w:r>
      <w:r w:rsidRPr="003C0498">
        <w:rPr>
          <w:rFonts w:ascii="Calibri" w:hAnsi="Calibri" w:cs="Calibri"/>
          <w:noProof/>
          <w:sz w:val="16"/>
          <w:szCs w:val="24"/>
        </w:rPr>
        <w:t xml:space="preserve"> 2015;</w:t>
      </w:r>
      <w:r w:rsidRPr="003C0498">
        <w:rPr>
          <w:rFonts w:ascii="Calibri" w:hAnsi="Calibri" w:cs="Calibri"/>
          <w:b/>
          <w:bCs/>
          <w:noProof/>
          <w:sz w:val="16"/>
          <w:szCs w:val="24"/>
        </w:rPr>
        <w:t>29</w:t>
      </w:r>
      <w:r w:rsidRPr="003C0498">
        <w:rPr>
          <w:rFonts w:ascii="Calibri" w:hAnsi="Calibri" w:cs="Calibri"/>
          <w:noProof/>
          <w:sz w:val="16"/>
          <w:szCs w:val="24"/>
        </w:rPr>
        <w:t>:518–25.</w:t>
      </w:r>
    </w:p>
    <w:p w14:paraId="6BB330D8"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20 </w:t>
      </w:r>
      <w:r w:rsidRPr="003C0498">
        <w:rPr>
          <w:rFonts w:ascii="Calibri" w:hAnsi="Calibri" w:cs="Calibri"/>
          <w:noProof/>
          <w:sz w:val="16"/>
          <w:szCs w:val="24"/>
        </w:rPr>
        <w:tab/>
        <w:t xml:space="preserve">Chartier LB, Simoes L, Kuipers M, </w:t>
      </w:r>
      <w:r w:rsidRPr="003C0498">
        <w:rPr>
          <w:rFonts w:ascii="Calibri" w:hAnsi="Calibri" w:cs="Calibri"/>
          <w:i/>
          <w:iCs/>
          <w:noProof/>
          <w:sz w:val="16"/>
          <w:szCs w:val="24"/>
        </w:rPr>
        <w:t>et al.</w:t>
      </w:r>
      <w:r w:rsidRPr="003C0498">
        <w:rPr>
          <w:rFonts w:ascii="Calibri" w:hAnsi="Calibri" w:cs="Calibri"/>
          <w:noProof/>
          <w:sz w:val="16"/>
          <w:szCs w:val="24"/>
        </w:rPr>
        <w:t xml:space="preserve"> Improving Emergency Department flow through optimized bed utilization. </w:t>
      </w:r>
      <w:r w:rsidRPr="003C0498">
        <w:rPr>
          <w:rFonts w:ascii="Calibri" w:hAnsi="Calibri" w:cs="Calibri"/>
          <w:i/>
          <w:iCs/>
          <w:noProof/>
          <w:sz w:val="16"/>
          <w:szCs w:val="24"/>
        </w:rPr>
        <w:t>BMJ Qual Improv</w:t>
      </w:r>
      <w:r w:rsidRPr="003C0498">
        <w:rPr>
          <w:rFonts w:ascii="Calibri" w:hAnsi="Calibri" w:cs="Calibri"/>
          <w:noProof/>
          <w:sz w:val="16"/>
          <w:szCs w:val="24"/>
        </w:rPr>
        <w:t xml:space="preserve"> 2016;</w:t>
      </w:r>
      <w:r w:rsidRPr="003C0498">
        <w:rPr>
          <w:rFonts w:ascii="Calibri" w:hAnsi="Calibri" w:cs="Calibri"/>
          <w:b/>
          <w:bCs/>
          <w:noProof/>
          <w:sz w:val="16"/>
          <w:szCs w:val="24"/>
        </w:rPr>
        <w:t>5</w:t>
      </w:r>
      <w:r w:rsidRPr="003C0498">
        <w:rPr>
          <w:rFonts w:ascii="Calibri" w:hAnsi="Calibri" w:cs="Calibri"/>
          <w:noProof/>
          <w:sz w:val="16"/>
          <w:szCs w:val="24"/>
        </w:rPr>
        <w:t>:1–5.</w:t>
      </w:r>
    </w:p>
    <w:p w14:paraId="5465BB1D"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21 </w:t>
      </w:r>
      <w:r w:rsidRPr="003C0498">
        <w:rPr>
          <w:rFonts w:ascii="Calibri" w:hAnsi="Calibri" w:cs="Calibri"/>
          <w:noProof/>
          <w:sz w:val="16"/>
          <w:szCs w:val="24"/>
        </w:rPr>
        <w:tab/>
        <w:t xml:space="preserve">Cohen ES, Ogrinc G, Taylor T, </w:t>
      </w:r>
      <w:r w:rsidRPr="003C0498">
        <w:rPr>
          <w:rFonts w:ascii="Calibri" w:hAnsi="Calibri" w:cs="Calibri"/>
          <w:i/>
          <w:iCs/>
          <w:noProof/>
          <w:sz w:val="16"/>
          <w:szCs w:val="24"/>
        </w:rPr>
        <w:t>et al.</w:t>
      </w:r>
      <w:r w:rsidRPr="003C0498">
        <w:rPr>
          <w:rFonts w:ascii="Calibri" w:hAnsi="Calibri" w:cs="Calibri"/>
          <w:noProof/>
          <w:sz w:val="16"/>
          <w:szCs w:val="24"/>
        </w:rPr>
        <w:t xml:space="preserve"> Influenza vaccination rates for hospitalised patients: A multiyear quality improvement effort. </w:t>
      </w:r>
      <w:r w:rsidRPr="003C0498">
        <w:rPr>
          <w:rFonts w:ascii="Calibri" w:hAnsi="Calibri" w:cs="Calibri"/>
          <w:i/>
          <w:iCs/>
          <w:noProof/>
          <w:sz w:val="16"/>
          <w:szCs w:val="24"/>
        </w:rPr>
        <w:t>BMJ Qual Saf</w:t>
      </w:r>
      <w:r w:rsidRPr="003C0498">
        <w:rPr>
          <w:rFonts w:ascii="Calibri" w:hAnsi="Calibri" w:cs="Calibri"/>
          <w:noProof/>
          <w:sz w:val="16"/>
          <w:szCs w:val="24"/>
        </w:rPr>
        <w:t xml:space="preserve"> 2015;</w:t>
      </w:r>
      <w:r w:rsidRPr="003C0498">
        <w:rPr>
          <w:rFonts w:ascii="Calibri" w:hAnsi="Calibri" w:cs="Calibri"/>
          <w:b/>
          <w:bCs/>
          <w:noProof/>
          <w:sz w:val="16"/>
          <w:szCs w:val="24"/>
        </w:rPr>
        <w:t>24</w:t>
      </w:r>
      <w:r w:rsidRPr="003C0498">
        <w:rPr>
          <w:rFonts w:ascii="Calibri" w:hAnsi="Calibri" w:cs="Calibri"/>
          <w:noProof/>
          <w:sz w:val="16"/>
          <w:szCs w:val="24"/>
        </w:rPr>
        <w:t>:221–7.</w:t>
      </w:r>
    </w:p>
    <w:p w14:paraId="5DC8300F"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22 </w:t>
      </w:r>
      <w:r w:rsidRPr="003C0498">
        <w:rPr>
          <w:rFonts w:ascii="Calibri" w:hAnsi="Calibri" w:cs="Calibri"/>
          <w:noProof/>
          <w:sz w:val="16"/>
          <w:szCs w:val="24"/>
        </w:rPr>
        <w:tab/>
        <w:t xml:space="preserve">Cooper D. Improving the rate of Patient Feedback for a Later Life Mental Health Liaison Team. </w:t>
      </w:r>
      <w:r w:rsidRPr="003C0498">
        <w:rPr>
          <w:rFonts w:ascii="Calibri" w:hAnsi="Calibri" w:cs="Calibri"/>
          <w:i/>
          <w:iCs/>
          <w:noProof/>
          <w:sz w:val="16"/>
          <w:szCs w:val="24"/>
        </w:rPr>
        <w:t>BMJ Qual Improv Reports</w:t>
      </w:r>
      <w:r w:rsidRPr="003C0498">
        <w:rPr>
          <w:rFonts w:ascii="Calibri" w:hAnsi="Calibri" w:cs="Calibri"/>
          <w:noProof/>
          <w:sz w:val="16"/>
          <w:szCs w:val="24"/>
        </w:rPr>
        <w:t xml:space="preserve"> 2016;</w:t>
      </w:r>
      <w:r w:rsidRPr="003C0498">
        <w:rPr>
          <w:rFonts w:ascii="Calibri" w:hAnsi="Calibri" w:cs="Calibri"/>
          <w:b/>
          <w:bCs/>
          <w:noProof/>
          <w:sz w:val="16"/>
          <w:szCs w:val="24"/>
        </w:rPr>
        <w:t>5</w:t>
      </w:r>
      <w:r w:rsidRPr="003C0498">
        <w:rPr>
          <w:rFonts w:ascii="Calibri" w:hAnsi="Calibri" w:cs="Calibri"/>
          <w:noProof/>
          <w:sz w:val="16"/>
          <w:szCs w:val="24"/>
        </w:rPr>
        <w:t>:u210384.w4457.</w:t>
      </w:r>
    </w:p>
    <w:p w14:paraId="63E89832"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23 </w:t>
      </w:r>
      <w:r w:rsidRPr="003C0498">
        <w:rPr>
          <w:rFonts w:ascii="Calibri" w:hAnsi="Calibri" w:cs="Calibri"/>
          <w:noProof/>
          <w:sz w:val="16"/>
          <w:szCs w:val="24"/>
        </w:rPr>
        <w:tab/>
        <w:t xml:space="preserve">Cottney A. Using league tables to reduce missed dose medication errors on mental healthcare of older people wards. </w:t>
      </w:r>
      <w:r w:rsidRPr="003C0498">
        <w:rPr>
          <w:rFonts w:ascii="Calibri" w:hAnsi="Calibri" w:cs="Calibri"/>
          <w:i/>
          <w:iCs/>
          <w:noProof/>
          <w:sz w:val="16"/>
          <w:szCs w:val="24"/>
        </w:rPr>
        <w:t>BMJ Qual Improv Reports</w:t>
      </w:r>
      <w:r w:rsidRPr="003C0498">
        <w:rPr>
          <w:rFonts w:ascii="Calibri" w:hAnsi="Calibri" w:cs="Calibri"/>
          <w:noProof/>
          <w:sz w:val="16"/>
          <w:szCs w:val="24"/>
        </w:rPr>
        <w:t xml:space="preserve"> 2015;</w:t>
      </w:r>
      <w:r w:rsidRPr="003C0498">
        <w:rPr>
          <w:rFonts w:ascii="Calibri" w:hAnsi="Calibri" w:cs="Calibri"/>
          <w:b/>
          <w:bCs/>
          <w:noProof/>
          <w:sz w:val="16"/>
          <w:szCs w:val="24"/>
        </w:rPr>
        <w:t>4</w:t>
      </w:r>
      <w:r w:rsidRPr="003C0498">
        <w:rPr>
          <w:rFonts w:ascii="Calibri" w:hAnsi="Calibri" w:cs="Calibri"/>
          <w:noProof/>
          <w:sz w:val="16"/>
          <w:szCs w:val="24"/>
        </w:rPr>
        <w:t>:u204237.w3567.</w:t>
      </w:r>
    </w:p>
    <w:p w14:paraId="6D23B3D1"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24 </w:t>
      </w:r>
      <w:r w:rsidRPr="003C0498">
        <w:rPr>
          <w:rFonts w:ascii="Calibri" w:hAnsi="Calibri" w:cs="Calibri"/>
          <w:noProof/>
          <w:sz w:val="16"/>
          <w:szCs w:val="24"/>
        </w:rPr>
        <w:tab/>
        <w:t xml:space="preserve">Croxford A, Clare A, McCurdy K. Introduction of a Venous Thromboembolism Prophylaxis Protocol for Older Adult Psychiatric Patients. </w:t>
      </w:r>
      <w:r w:rsidRPr="003C0498">
        <w:rPr>
          <w:rFonts w:ascii="Calibri" w:hAnsi="Calibri" w:cs="Calibri"/>
          <w:i/>
          <w:iCs/>
          <w:noProof/>
          <w:sz w:val="16"/>
          <w:szCs w:val="24"/>
        </w:rPr>
        <w:t>BMJ Qual Improv Reports</w:t>
      </w:r>
      <w:r w:rsidRPr="003C0498">
        <w:rPr>
          <w:rFonts w:ascii="Calibri" w:hAnsi="Calibri" w:cs="Calibri"/>
          <w:noProof/>
          <w:sz w:val="16"/>
          <w:szCs w:val="24"/>
        </w:rPr>
        <w:t xml:space="preserve"> 2015;</w:t>
      </w:r>
      <w:r w:rsidRPr="003C0498">
        <w:rPr>
          <w:rFonts w:ascii="Calibri" w:hAnsi="Calibri" w:cs="Calibri"/>
          <w:b/>
          <w:bCs/>
          <w:noProof/>
          <w:sz w:val="16"/>
          <w:szCs w:val="24"/>
        </w:rPr>
        <w:t>4</w:t>
      </w:r>
      <w:r w:rsidRPr="003C0498">
        <w:rPr>
          <w:rFonts w:ascii="Calibri" w:hAnsi="Calibri" w:cs="Calibri"/>
          <w:noProof/>
          <w:sz w:val="16"/>
          <w:szCs w:val="24"/>
        </w:rPr>
        <w:t>:u205852.w3226.</w:t>
      </w:r>
    </w:p>
    <w:p w14:paraId="0DB64A39"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25 </w:t>
      </w:r>
      <w:r w:rsidRPr="003C0498">
        <w:rPr>
          <w:rFonts w:ascii="Calibri" w:hAnsi="Calibri" w:cs="Calibri"/>
          <w:noProof/>
          <w:sz w:val="16"/>
          <w:szCs w:val="24"/>
        </w:rPr>
        <w:tab/>
        <w:t xml:space="preserve">Curatolo N, Gutermann L, Devaquet N, </w:t>
      </w:r>
      <w:r w:rsidRPr="003C0498">
        <w:rPr>
          <w:rFonts w:ascii="Calibri" w:hAnsi="Calibri" w:cs="Calibri"/>
          <w:i/>
          <w:iCs/>
          <w:noProof/>
          <w:sz w:val="16"/>
          <w:szCs w:val="24"/>
        </w:rPr>
        <w:t>et al.</w:t>
      </w:r>
      <w:r w:rsidRPr="003C0498">
        <w:rPr>
          <w:rFonts w:ascii="Calibri" w:hAnsi="Calibri" w:cs="Calibri"/>
          <w:noProof/>
          <w:sz w:val="16"/>
          <w:szCs w:val="24"/>
        </w:rPr>
        <w:t xml:space="preserve"> Reducing medication errors at admission: 3 cycles to implement, improve and sustain medication reconciliation. </w:t>
      </w:r>
      <w:r w:rsidRPr="003C0498">
        <w:rPr>
          <w:rFonts w:ascii="Calibri" w:hAnsi="Calibri" w:cs="Calibri"/>
          <w:i/>
          <w:iCs/>
          <w:noProof/>
          <w:sz w:val="16"/>
          <w:szCs w:val="24"/>
        </w:rPr>
        <w:t>Int J Clin Pharm</w:t>
      </w:r>
      <w:r w:rsidRPr="003C0498">
        <w:rPr>
          <w:rFonts w:ascii="Calibri" w:hAnsi="Calibri" w:cs="Calibri"/>
          <w:noProof/>
          <w:sz w:val="16"/>
          <w:szCs w:val="24"/>
        </w:rPr>
        <w:t xml:space="preserve"> 2014;</w:t>
      </w:r>
      <w:r w:rsidRPr="003C0498">
        <w:rPr>
          <w:rFonts w:ascii="Calibri" w:hAnsi="Calibri" w:cs="Calibri"/>
          <w:b/>
          <w:bCs/>
          <w:noProof/>
          <w:sz w:val="16"/>
          <w:szCs w:val="24"/>
        </w:rPr>
        <w:t>37</w:t>
      </w:r>
      <w:r w:rsidRPr="003C0498">
        <w:rPr>
          <w:rFonts w:ascii="Calibri" w:hAnsi="Calibri" w:cs="Calibri"/>
          <w:noProof/>
          <w:sz w:val="16"/>
          <w:szCs w:val="24"/>
        </w:rPr>
        <w:t>:113–20.</w:t>
      </w:r>
    </w:p>
    <w:p w14:paraId="254A1266"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26 </w:t>
      </w:r>
      <w:r w:rsidRPr="003C0498">
        <w:rPr>
          <w:rFonts w:ascii="Calibri" w:hAnsi="Calibri" w:cs="Calibri"/>
          <w:noProof/>
          <w:sz w:val="16"/>
          <w:szCs w:val="24"/>
        </w:rPr>
        <w:tab/>
        <w:t xml:space="preserve">Donnelly P. Improving reporting of critical incidents through education and involvement. </w:t>
      </w:r>
      <w:r w:rsidRPr="003C0498">
        <w:rPr>
          <w:rFonts w:ascii="Calibri" w:hAnsi="Calibri" w:cs="Calibri"/>
          <w:i/>
          <w:iCs/>
          <w:noProof/>
          <w:sz w:val="16"/>
          <w:szCs w:val="24"/>
        </w:rPr>
        <w:t>BMJ Qual Improv Reports</w:t>
      </w:r>
      <w:r w:rsidRPr="003C0498">
        <w:rPr>
          <w:rFonts w:ascii="Calibri" w:hAnsi="Calibri" w:cs="Calibri"/>
          <w:noProof/>
          <w:sz w:val="16"/>
          <w:szCs w:val="24"/>
        </w:rPr>
        <w:t xml:space="preserve"> 2015;</w:t>
      </w:r>
      <w:r w:rsidRPr="003C0498">
        <w:rPr>
          <w:rFonts w:ascii="Calibri" w:hAnsi="Calibri" w:cs="Calibri"/>
          <w:b/>
          <w:bCs/>
          <w:noProof/>
          <w:sz w:val="16"/>
          <w:szCs w:val="24"/>
        </w:rPr>
        <w:t>4</w:t>
      </w:r>
      <w:r w:rsidRPr="003C0498">
        <w:rPr>
          <w:rFonts w:ascii="Calibri" w:hAnsi="Calibri" w:cs="Calibri"/>
          <w:noProof/>
          <w:sz w:val="16"/>
          <w:szCs w:val="24"/>
        </w:rPr>
        <w:t>:u206996.w3776.</w:t>
      </w:r>
    </w:p>
    <w:p w14:paraId="25B0948B"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27 </w:t>
      </w:r>
      <w:r w:rsidRPr="003C0498">
        <w:rPr>
          <w:rFonts w:ascii="Calibri" w:hAnsi="Calibri" w:cs="Calibri"/>
          <w:noProof/>
          <w:sz w:val="16"/>
          <w:szCs w:val="24"/>
        </w:rPr>
        <w:tab/>
        <w:t xml:space="preserve">Dunbar J, George J. Mortality meetings in geriatric medicine: strategies for improvement. </w:t>
      </w:r>
      <w:r w:rsidRPr="003C0498">
        <w:rPr>
          <w:rFonts w:ascii="Calibri" w:hAnsi="Calibri" w:cs="Calibri"/>
          <w:i/>
          <w:iCs/>
          <w:noProof/>
          <w:sz w:val="16"/>
          <w:szCs w:val="24"/>
        </w:rPr>
        <w:t>BMJ Qual Improv Reports</w:t>
      </w:r>
      <w:r w:rsidRPr="003C0498">
        <w:rPr>
          <w:rFonts w:ascii="Calibri" w:hAnsi="Calibri" w:cs="Calibri"/>
          <w:noProof/>
          <w:sz w:val="16"/>
          <w:szCs w:val="24"/>
        </w:rPr>
        <w:t xml:space="preserve"> 2015;</w:t>
      </w:r>
      <w:r w:rsidRPr="003C0498">
        <w:rPr>
          <w:rFonts w:ascii="Calibri" w:hAnsi="Calibri" w:cs="Calibri"/>
          <w:b/>
          <w:bCs/>
          <w:noProof/>
          <w:sz w:val="16"/>
          <w:szCs w:val="24"/>
        </w:rPr>
        <w:t>4</w:t>
      </w:r>
      <w:r w:rsidRPr="003C0498">
        <w:rPr>
          <w:rFonts w:ascii="Calibri" w:hAnsi="Calibri" w:cs="Calibri"/>
          <w:noProof/>
          <w:sz w:val="16"/>
          <w:szCs w:val="24"/>
        </w:rPr>
        <w:t>:u202625.w3247.</w:t>
      </w:r>
    </w:p>
    <w:p w14:paraId="023F68E6"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28 </w:t>
      </w:r>
      <w:r w:rsidRPr="003C0498">
        <w:rPr>
          <w:rFonts w:ascii="Calibri" w:hAnsi="Calibri" w:cs="Calibri"/>
          <w:noProof/>
          <w:sz w:val="16"/>
          <w:szCs w:val="24"/>
        </w:rPr>
        <w:tab/>
        <w:t xml:space="preserve">Dykes D, Williams E, Margolis P, </w:t>
      </w:r>
      <w:r w:rsidRPr="003C0498">
        <w:rPr>
          <w:rFonts w:ascii="Calibri" w:hAnsi="Calibri" w:cs="Calibri"/>
          <w:i/>
          <w:iCs/>
          <w:noProof/>
          <w:sz w:val="16"/>
          <w:szCs w:val="24"/>
        </w:rPr>
        <w:t>et al.</w:t>
      </w:r>
      <w:r w:rsidRPr="003C0498">
        <w:rPr>
          <w:rFonts w:ascii="Calibri" w:hAnsi="Calibri" w:cs="Calibri"/>
          <w:noProof/>
          <w:sz w:val="16"/>
          <w:szCs w:val="24"/>
        </w:rPr>
        <w:t xml:space="preserve"> Improving pediatric Inflammatory Bowel Disease (IBD) follow-up. </w:t>
      </w:r>
      <w:r w:rsidRPr="003C0498">
        <w:rPr>
          <w:rFonts w:ascii="Calibri" w:hAnsi="Calibri" w:cs="Calibri"/>
          <w:i/>
          <w:iCs/>
          <w:noProof/>
          <w:sz w:val="16"/>
          <w:szCs w:val="24"/>
        </w:rPr>
        <w:t>BMJ Qual Improv Reports</w:t>
      </w:r>
      <w:r w:rsidRPr="003C0498">
        <w:rPr>
          <w:rFonts w:ascii="Calibri" w:hAnsi="Calibri" w:cs="Calibri"/>
          <w:noProof/>
          <w:sz w:val="16"/>
          <w:szCs w:val="24"/>
        </w:rPr>
        <w:t xml:space="preserve"> 2016;</w:t>
      </w:r>
      <w:r w:rsidRPr="003C0498">
        <w:rPr>
          <w:rFonts w:ascii="Calibri" w:hAnsi="Calibri" w:cs="Calibri"/>
          <w:b/>
          <w:bCs/>
          <w:noProof/>
          <w:sz w:val="16"/>
          <w:szCs w:val="24"/>
        </w:rPr>
        <w:t>5</w:t>
      </w:r>
      <w:r w:rsidRPr="003C0498">
        <w:rPr>
          <w:rFonts w:ascii="Calibri" w:hAnsi="Calibri" w:cs="Calibri"/>
          <w:noProof/>
          <w:sz w:val="16"/>
          <w:szCs w:val="24"/>
        </w:rPr>
        <w:t>:u208961.w3675.</w:t>
      </w:r>
    </w:p>
    <w:p w14:paraId="55A7EF35"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29 </w:t>
      </w:r>
      <w:r w:rsidRPr="003C0498">
        <w:rPr>
          <w:rFonts w:ascii="Calibri" w:hAnsi="Calibri" w:cs="Calibri"/>
          <w:noProof/>
          <w:sz w:val="16"/>
          <w:szCs w:val="24"/>
        </w:rPr>
        <w:tab/>
        <w:t xml:space="preserve">Fontánez-Nieves TD, Frost M, Anday E, </w:t>
      </w:r>
      <w:r w:rsidRPr="003C0498">
        <w:rPr>
          <w:rFonts w:ascii="Calibri" w:hAnsi="Calibri" w:cs="Calibri"/>
          <w:i/>
          <w:iCs/>
          <w:noProof/>
          <w:sz w:val="16"/>
          <w:szCs w:val="24"/>
        </w:rPr>
        <w:t>et al.</w:t>
      </w:r>
      <w:r w:rsidRPr="003C0498">
        <w:rPr>
          <w:rFonts w:ascii="Calibri" w:hAnsi="Calibri" w:cs="Calibri"/>
          <w:noProof/>
          <w:sz w:val="16"/>
          <w:szCs w:val="24"/>
        </w:rPr>
        <w:t xml:space="preserve"> Prevention of unplanned extubations in neonates through process standardization. </w:t>
      </w:r>
      <w:r w:rsidRPr="003C0498">
        <w:rPr>
          <w:rFonts w:ascii="Calibri" w:hAnsi="Calibri" w:cs="Calibri"/>
          <w:i/>
          <w:iCs/>
          <w:noProof/>
          <w:sz w:val="16"/>
          <w:szCs w:val="24"/>
        </w:rPr>
        <w:t>J Perinatol</w:t>
      </w:r>
      <w:r w:rsidRPr="003C0498">
        <w:rPr>
          <w:rFonts w:ascii="Calibri" w:hAnsi="Calibri" w:cs="Calibri"/>
          <w:noProof/>
          <w:sz w:val="16"/>
          <w:szCs w:val="24"/>
        </w:rPr>
        <w:t xml:space="preserve"> 2016;</w:t>
      </w:r>
      <w:r w:rsidRPr="003C0498">
        <w:rPr>
          <w:rFonts w:ascii="Calibri" w:hAnsi="Calibri" w:cs="Calibri"/>
          <w:b/>
          <w:bCs/>
          <w:noProof/>
          <w:sz w:val="16"/>
          <w:szCs w:val="24"/>
        </w:rPr>
        <w:t>36</w:t>
      </w:r>
      <w:r w:rsidRPr="003C0498">
        <w:rPr>
          <w:rFonts w:ascii="Calibri" w:hAnsi="Calibri" w:cs="Calibri"/>
          <w:noProof/>
          <w:sz w:val="16"/>
          <w:szCs w:val="24"/>
        </w:rPr>
        <w:t>:469–73.</w:t>
      </w:r>
    </w:p>
    <w:p w14:paraId="2690B22E"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30 </w:t>
      </w:r>
      <w:r w:rsidRPr="003C0498">
        <w:rPr>
          <w:rFonts w:ascii="Calibri" w:hAnsi="Calibri" w:cs="Calibri"/>
          <w:noProof/>
          <w:sz w:val="16"/>
          <w:szCs w:val="24"/>
        </w:rPr>
        <w:tab/>
        <w:t xml:space="preserve">Frost L. Reducing the overuse of βhCG measurements in the emergency gynaecology clinic. </w:t>
      </w:r>
      <w:r w:rsidRPr="003C0498">
        <w:rPr>
          <w:rFonts w:ascii="Calibri" w:hAnsi="Calibri" w:cs="Calibri"/>
          <w:i/>
          <w:iCs/>
          <w:noProof/>
          <w:sz w:val="16"/>
          <w:szCs w:val="24"/>
        </w:rPr>
        <w:t>BMJ Qual Improv Reports</w:t>
      </w:r>
      <w:r w:rsidRPr="003C0498">
        <w:rPr>
          <w:rFonts w:ascii="Calibri" w:hAnsi="Calibri" w:cs="Calibri"/>
          <w:noProof/>
          <w:sz w:val="16"/>
          <w:szCs w:val="24"/>
        </w:rPr>
        <w:t xml:space="preserve"> 2016;</w:t>
      </w:r>
      <w:r w:rsidRPr="003C0498">
        <w:rPr>
          <w:rFonts w:ascii="Calibri" w:hAnsi="Calibri" w:cs="Calibri"/>
          <w:b/>
          <w:bCs/>
          <w:noProof/>
          <w:sz w:val="16"/>
          <w:szCs w:val="24"/>
        </w:rPr>
        <w:t>5</w:t>
      </w:r>
      <w:r w:rsidRPr="003C0498">
        <w:rPr>
          <w:rFonts w:ascii="Calibri" w:hAnsi="Calibri" w:cs="Calibri"/>
          <w:noProof/>
          <w:sz w:val="16"/>
          <w:szCs w:val="24"/>
        </w:rPr>
        <w:t>:u210039.w4218.</w:t>
      </w:r>
    </w:p>
    <w:p w14:paraId="181044BD"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31 </w:t>
      </w:r>
      <w:r w:rsidRPr="003C0498">
        <w:rPr>
          <w:rFonts w:ascii="Calibri" w:hAnsi="Calibri" w:cs="Calibri"/>
          <w:noProof/>
          <w:sz w:val="16"/>
          <w:szCs w:val="24"/>
        </w:rPr>
        <w:tab/>
        <w:t xml:space="preserve">Goulding L, Parke H, Maharaj R, </w:t>
      </w:r>
      <w:r w:rsidRPr="003C0498">
        <w:rPr>
          <w:rFonts w:ascii="Calibri" w:hAnsi="Calibri" w:cs="Calibri"/>
          <w:i/>
          <w:iCs/>
          <w:noProof/>
          <w:sz w:val="16"/>
          <w:szCs w:val="24"/>
        </w:rPr>
        <w:t>et al.</w:t>
      </w:r>
      <w:r w:rsidRPr="003C0498">
        <w:rPr>
          <w:rFonts w:ascii="Calibri" w:hAnsi="Calibri" w:cs="Calibri"/>
          <w:noProof/>
          <w:sz w:val="16"/>
          <w:szCs w:val="24"/>
        </w:rPr>
        <w:t xml:space="preserve"> Improving critical care discharge summaries: a collaborative quality improvement project using PDSA. </w:t>
      </w:r>
      <w:r w:rsidRPr="003C0498">
        <w:rPr>
          <w:rFonts w:ascii="Calibri" w:hAnsi="Calibri" w:cs="Calibri"/>
          <w:i/>
          <w:iCs/>
          <w:noProof/>
          <w:sz w:val="16"/>
          <w:szCs w:val="24"/>
        </w:rPr>
        <w:t>BMJ Qual Improv Reports</w:t>
      </w:r>
      <w:r w:rsidRPr="003C0498">
        <w:rPr>
          <w:rFonts w:ascii="Calibri" w:hAnsi="Calibri" w:cs="Calibri"/>
          <w:noProof/>
          <w:sz w:val="16"/>
          <w:szCs w:val="24"/>
        </w:rPr>
        <w:t xml:space="preserve"> 2015;</w:t>
      </w:r>
      <w:r w:rsidRPr="003C0498">
        <w:rPr>
          <w:rFonts w:ascii="Calibri" w:hAnsi="Calibri" w:cs="Calibri"/>
          <w:b/>
          <w:bCs/>
          <w:noProof/>
          <w:sz w:val="16"/>
          <w:szCs w:val="24"/>
        </w:rPr>
        <w:t>4</w:t>
      </w:r>
      <w:r w:rsidRPr="003C0498">
        <w:rPr>
          <w:rFonts w:ascii="Calibri" w:hAnsi="Calibri" w:cs="Calibri"/>
          <w:noProof/>
          <w:sz w:val="16"/>
          <w:szCs w:val="24"/>
        </w:rPr>
        <w:t>:u203938.w3268.</w:t>
      </w:r>
    </w:p>
    <w:p w14:paraId="4329B8B6"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32 </w:t>
      </w:r>
      <w:r w:rsidRPr="003C0498">
        <w:rPr>
          <w:rFonts w:ascii="Calibri" w:hAnsi="Calibri" w:cs="Calibri"/>
          <w:noProof/>
          <w:sz w:val="16"/>
          <w:szCs w:val="24"/>
        </w:rPr>
        <w:tab/>
        <w:t xml:space="preserve">Guo M, Bosnyak S, Bontempo T, </w:t>
      </w:r>
      <w:r w:rsidRPr="003C0498">
        <w:rPr>
          <w:rFonts w:ascii="Calibri" w:hAnsi="Calibri" w:cs="Calibri"/>
          <w:i/>
          <w:iCs/>
          <w:noProof/>
          <w:sz w:val="16"/>
          <w:szCs w:val="24"/>
        </w:rPr>
        <w:t>et al.</w:t>
      </w:r>
      <w:r w:rsidRPr="003C0498">
        <w:rPr>
          <w:rFonts w:ascii="Calibri" w:hAnsi="Calibri" w:cs="Calibri"/>
          <w:noProof/>
          <w:sz w:val="16"/>
          <w:szCs w:val="24"/>
        </w:rPr>
        <w:t xml:space="preserve"> Let’s Talk About Sex! - Improving sexual health for patients in stroke rehabilitation. </w:t>
      </w:r>
      <w:r w:rsidRPr="003C0498">
        <w:rPr>
          <w:rFonts w:ascii="Calibri" w:hAnsi="Calibri" w:cs="Calibri"/>
          <w:i/>
          <w:iCs/>
          <w:noProof/>
          <w:sz w:val="16"/>
          <w:szCs w:val="24"/>
        </w:rPr>
        <w:t>BMJ Qual Improv Reports</w:t>
      </w:r>
      <w:r w:rsidRPr="003C0498">
        <w:rPr>
          <w:rFonts w:ascii="Calibri" w:hAnsi="Calibri" w:cs="Calibri"/>
          <w:noProof/>
          <w:sz w:val="16"/>
          <w:szCs w:val="24"/>
        </w:rPr>
        <w:t xml:space="preserve"> 2015;</w:t>
      </w:r>
      <w:r w:rsidRPr="003C0498">
        <w:rPr>
          <w:rFonts w:ascii="Calibri" w:hAnsi="Calibri" w:cs="Calibri"/>
          <w:b/>
          <w:bCs/>
          <w:noProof/>
          <w:sz w:val="16"/>
          <w:szCs w:val="24"/>
        </w:rPr>
        <w:t>4</w:t>
      </w:r>
      <w:r w:rsidRPr="003C0498">
        <w:rPr>
          <w:rFonts w:ascii="Calibri" w:hAnsi="Calibri" w:cs="Calibri"/>
          <w:noProof/>
          <w:sz w:val="16"/>
          <w:szCs w:val="24"/>
        </w:rPr>
        <w:t>:u207288.w2926.</w:t>
      </w:r>
    </w:p>
    <w:p w14:paraId="32A004D8"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lastRenderedPageBreak/>
        <w:t xml:space="preserve">33 </w:t>
      </w:r>
      <w:r w:rsidRPr="003C0498">
        <w:rPr>
          <w:rFonts w:ascii="Calibri" w:hAnsi="Calibri" w:cs="Calibri"/>
          <w:noProof/>
          <w:sz w:val="16"/>
          <w:szCs w:val="24"/>
        </w:rPr>
        <w:tab/>
        <w:t xml:space="preserve">Hale G, McNab D. Developing a ward round checklist to improve patient safety. </w:t>
      </w:r>
      <w:r w:rsidRPr="003C0498">
        <w:rPr>
          <w:rFonts w:ascii="Calibri" w:hAnsi="Calibri" w:cs="Calibri"/>
          <w:i/>
          <w:iCs/>
          <w:noProof/>
          <w:sz w:val="16"/>
          <w:szCs w:val="24"/>
        </w:rPr>
        <w:t>BMJ Qual Improv Reports</w:t>
      </w:r>
      <w:r w:rsidRPr="003C0498">
        <w:rPr>
          <w:rFonts w:ascii="Calibri" w:hAnsi="Calibri" w:cs="Calibri"/>
          <w:noProof/>
          <w:sz w:val="16"/>
          <w:szCs w:val="24"/>
        </w:rPr>
        <w:t xml:space="preserve"> 2015;</w:t>
      </w:r>
      <w:r w:rsidRPr="003C0498">
        <w:rPr>
          <w:rFonts w:ascii="Calibri" w:hAnsi="Calibri" w:cs="Calibri"/>
          <w:b/>
          <w:bCs/>
          <w:noProof/>
          <w:sz w:val="16"/>
          <w:szCs w:val="24"/>
        </w:rPr>
        <w:t>4</w:t>
      </w:r>
      <w:r w:rsidRPr="003C0498">
        <w:rPr>
          <w:rFonts w:ascii="Calibri" w:hAnsi="Calibri" w:cs="Calibri"/>
          <w:noProof/>
          <w:sz w:val="16"/>
          <w:szCs w:val="24"/>
        </w:rPr>
        <w:t>:u204775.w2440-u204775.w2440.</w:t>
      </w:r>
    </w:p>
    <w:p w14:paraId="3FE6AD6F"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34 </w:t>
      </w:r>
      <w:r w:rsidRPr="003C0498">
        <w:rPr>
          <w:rFonts w:ascii="Calibri" w:hAnsi="Calibri" w:cs="Calibri"/>
          <w:noProof/>
          <w:sz w:val="16"/>
          <w:szCs w:val="24"/>
        </w:rPr>
        <w:tab/>
        <w:t xml:space="preserve">Hall W. Improving the safety of prescriptions of domperidone in primary care: implementing MHRA advice. </w:t>
      </w:r>
      <w:r w:rsidRPr="003C0498">
        <w:rPr>
          <w:rFonts w:ascii="Calibri" w:hAnsi="Calibri" w:cs="Calibri"/>
          <w:i/>
          <w:iCs/>
          <w:noProof/>
          <w:sz w:val="16"/>
          <w:szCs w:val="24"/>
        </w:rPr>
        <w:t>BMJ Qual Improv Reports</w:t>
      </w:r>
      <w:r w:rsidRPr="003C0498">
        <w:rPr>
          <w:rFonts w:ascii="Calibri" w:hAnsi="Calibri" w:cs="Calibri"/>
          <w:noProof/>
          <w:sz w:val="16"/>
          <w:szCs w:val="24"/>
        </w:rPr>
        <w:t xml:space="preserve"> 2016;</w:t>
      </w:r>
      <w:r w:rsidRPr="003C0498">
        <w:rPr>
          <w:rFonts w:ascii="Calibri" w:hAnsi="Calibri" w:cs="Calibri"/>
          <w:b/>
          <w:bCs/>
          <w:noProof/>
          <w:sz w:val="16"/>
          <w:szCs w:val="24"/>
        </w:rPr>
        <w:t>5</w:t>
      </w:r>
      <w:r w:rsidRPr="003C0498">
        <w:rPr>
          <w:rFonts w:ascii="Calibri" w:hAnsi="Calibri" w:cs="Calibri"/>
          <w:noProof/>
          <w:sz w:val="16"/>
          <w:szCs w:val="24"/>
        </w:rPr>
        <w:t>:u209711.w4039.</w:t>
      </w:r>
    </w:p>
    <w:p w14:paraId="0F98426F"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35 </w:t>
      </w:r>
      <w:r w:rsidRPr="003C0498">
        <w:rPr>
          <w:rFonts w:ascii="Calibri" w:hAnsi="Calibri" w:cs="Calibri"/>
          <w:noProof/>
          <w:sz w:val="16"/>
          <w:szCs w:val="24"/>
        </w:rPr>
        <w:tab/>
        <w:t xml:space="preserve">Hanison J, Conway D. A multifaceted approach to prevention of delirium on intensive care. </w:t>
      </w:r>
      <w:r w:rsidRPr="003C0498">
        <w:rPr>
          <w:rFonts w:ascii="Calibri" w:hAnsi="Calibri" w:cs="Calibri"/>
          <w:i/>
          <w:iCs/>
          <w:noProof/>
          <w:sz w:val="16"/>
          <w:szCs w:val="24"/>
        </w:rPr>
        <w:t>BMJ Qual Improv Reports</w:t>
      </w:r>
      <w:r w:rsidRPr="003C0498">
        <w:rPr>
          <w:rFonts w:ascii="Calibri" w:hAnsi="Calibri" w:cs="Calibri"/>
          <w:noProof/>
          <w:sz w:val="16"/>
          <w:szCs w:val="24"/>
        </w:rPr>
        <w:t xml:space="preserve"> 2015;</w:t>
      </w:r>
      <w:r w:rsidRPr="003C0498">
        <w:rPr>
          <w:rFonts w:ascii="Calibri" w:hAnsi="Calibri" w:cs="Calibri"/>
          <w:b/>
          <w:bCs/>
          <w:noProof/>
          <w:sz w:val="16"/>
          <w:szCs w:val="24"/>
        </w:rPr>
        <w:t>4</w:t>
      </w:r>
      <w:r w:rsidRPr="003C0498">
        <w:rPr>
          <w:rFonts w:ascii="Calibri" w:hAnsi="Calibri" w:cs="Calibri"/>
          <w:noProof/>
          <w:sz w:val="16"/>
          <w:szCs w:val="24"/>
        </w:rPr>
        <w:t>:u209656.w4000.</w:t>
      </w:r>
    </w:p>
    <w:p w14:paraId="5F395E42"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36 </w:t>
      </w:r>
      <w:r w:rsidRPr="003C0498">
        <w:rPr>
          <w:rFonts w:ascii="Calibri" w:hAnsi="Calibri" w:cs="Calibri"/>
          <w:noProof/>
          <w:sz w:val="16"/>
          <w:szCs w:val="24"/>
        </w:rPr>
        <w:tab/>
        <w:t xml:space="preserve">Hatoun J, Bair-Merritt M, Cabral H, </w:t>
      </w:r>
      <w:r w:rsidRPr="003C0498">
        <w:rPr>
          <w:rFonts w:ascii="Calibri" w:hAnsi="Calibri" w:cs="Calibri"/>
          <w:i/>
          <w:iCs/>
          <w:noProof/>
          <w:sz w:val="16"/>
          <w:szCs w:val="24"/>
        </w:rPr>
        <w:t>et al.</w:t>
      </w:r>
      <w:r w:rsidRPr="003C0498">
        <w:rPr>
          <w:rFonts w:ascii="Calibri" w:hAnsi="Calibri" w:cs="Calibri"/>
          <w:noProof/>
          <w:sz w:val="16"/>
          <w:szCs w:val="24"/>
        </w:rPr>
        <w:t xml:space="preserve"> Increasing Medication Possession at Discharge for Patients With Asthma: The Meds-in-Hand Project. </w:t>
      </w:r>
      <w:r w:rsidRPr="003C0498">
        <w:rPr>
          <w:rFonts w:ascii="Calibri" w:hAnsi="Calibri" w:cs="Calibri"/>
          <w:i/>
          <w:iCs/>
          <w:noProof/>
          <w:sz w:val="16"/>
          <w:szCs w:val="24"/>
        </w:rPr>
        <w:t>Pediatrics</w:t>
      </w:r>
      <w:r w:rsidRPr="003C0498">
        <w:rPr>
          <w:rFonts w:ascii="Calibri" w:hAnsi="Calibri" w:cs="Calibri"/>
          <w:noProof/>
          <w:sz w:val="16"/>
          <w:szCs w:val="24"/>
        </w:rPr>
        <w:t xml:space="preserve"> 2016;</w:t>
      </w:r>
      <w:r w:rsidRPr="003C0498">
        <w:rPr>
          <w:rFonts w:ascii="Calibri" w:hAnsi="Calibri" w:cs="Calibri"/>
          <w:b/>
          <w:bCs/>
          <w:noProof/>
          <w:sz w:val="16"/>
          <w:szCs w:val="24"/>
        </w:rPr>
        <w:t>137</w:t>
      </w:r>
      <w:r w:rsidRPr="003C0498">
        <w:rPr>
          <w:rFonts w:ascii="Calibri" w:hAnsi="Calibri" w:cs="Calibri"/>
          <w:noProof/>
          <w:sz w:val="16"/>
          <w:szCs w:val="24"/>
        </w:rPr>
        <w:t>:e20150461–e20150461.</w:t>
      </w:r>
    </w:p>
    <w:p w14:paraId="36E2042F"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37 </w:t>
      </w:r>
      <w:r w:rsidRPr="003C0498">
        <w:rPr>
          <w:rFonts w:ascii="Calibri" w:hAnsi="Calibri" w:cs="Calibri"/>
          <w:noProof/>
          <w:sz w:val="16"/>
          <w:szCs w:val="24"/>
        </w:rPr>
        <w:tab/>
        <w:t xml:space="preserve">Hayes RM, Wickline A, Hensley C, </w:t>
      </w:r>
      <w:r w:rsidRPr="003C0498">
        <w:rPr>
          <w:rFonts w:ascii="Calibri" w:hAnsi="Calibri" w:cs="Calibri"/>
          <w:i/>
          <w:iCs/>
          <w:noProof/>
          <w:sz w:val="16"/>
          <w:szCs w:val="24"/>
        </w:rPr>
        <w:t>et al.</w:t>
      </w:r>
      <w:r w:rsidRPr="003C0498">
        <w:rPr>
          <w:rFonts w:ascii="Calibri" w:hAnsi="Calibri" w:cs="Calibri"/>
          <w:noProof/>
          <w:sz w:val="16"/>
          <w:szCs w:val="24"/>
        </w:rPr>
        <w:t xml:space="preserve"> A Quality Improvement Project to Improve Family Recognition of Medical Team Member Roles. </w:t>
      </w:r>
      <w:r w:rsidRPr="003C0498">
        <w:rPr>
          <w:rFonts w:ascii="Calibri" w:hAnsi="Calibri" w:cs="Calibri"/>
          <w:i/>
          <w:iCs/>
          <w:noProof/>
          <w:sz w:val="16"/>
          <w:szCs w:val="24"/>
        </w:rPr>
        <w:t>Hosp Pediatr</w:t>
      </w:r>
      <w:r w:rsidRPr="003C0498">
        <w:rPr>
          <w:rFonts w:ascii="Calibri" w:hAnsi="Calibri" w:cs="Calibri"/>
          <w:noProof/>
          <w:sz w:val="16"/>
          <w:szCs w:val="24"/>
        </w:rPr>
        <w:t xml:space="preserve"> 2015;</w:t>
      </w:r>
      <w:r w:rsidRPr="003C0498">
        <w:rPr>
          <w:rFonts w:ascii="Calibri" w:hAnsi="Calibri" w:cs="Calibri"/>
          <w:b/>
          <w:bCs/>
          <w:noProof/>
          <w:sz w:val="16"/>
          <w:szCs w:val="24"/>
        </w:rPr>
        <w:t>5</w:t>
      </w:r>
      <w:r w:rsidRPr="003C0498">
        <w:rPr>
          <w:rFonts w:ascii="Calibri" w:hAnsi="Calibri" w:cs="Calibri"/>
          <w:noProof/>
          <w:sz w:val="16"/>
          <w:szCs w:val="24"/>
        </w:rPr>
        <w:t>:480–6.</w:t>
      </w:r>
    </w:p>
    <w:p w14:paraId="17C762BB"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38 </w:t>
      </w:r>
      <w:r w:rsidRPr="003C0498">
        <w:rPr>
          <w:rFonts w:ascii="Calibri" w:hAnsi="Calibri" w:cs="Calibri"/>
          <w:noProof/>
          <w:sz w:val="16"/>
          <w:szCs w:val="24"/>
        </w:rPr>
        <w:tab/>
        <w:t xml:space="preserve">Hendrickson CD, Saini S, Pothuloori A, </w:t>
      </w:r>
      <w:r w:rsidRPr="003C0498">
        <w:rPr>
          <w:rFonts w:ascii="Calibri" w:hAnsi="Calibri" w:cs="Calibri"/>
          <w:i/>
          <w:iCs/>
          <w:noProof/>
          <w:sz w:val="16"/>
          <w:szCs w:val="24"/>
        </w:rPr>
        <w:t>et al.</w:t>
      </w:r>
      <w:r w:rsidRPr="003C0498">
        <w:rPr>
          <w:rFonts w:ascii="Calibri" w:hAnsi="Calibri" w:cs="Calibri"/>
          <w:noProof/>
          <w:sz w:val="16"/>
          <w:szCs w:val="24"/>
        </w:rPr>
        <w:t xml:space="preserve"> Assessing Referrals and Improving Information Availability for Consultations in an Academic Endocrinology Clinic. Endocr. Pract. 2017;</w:t>
      </w:r>
      <w:r w:rsidRPr="003C0498">
        <w:rPr>
          <w:rFonts w:ascii="Calibri" w:hAnsi="Calibri" w:cs="Calibri"/>
          <w:b/>
          <w:bCs/>
          <w:noProof/>
          <w:sz w:val="16"/>
          <w:szCs w:val="24"/>
        </w:rPr>
        <w:t>23</w:t>
      </w:r>
      <w:r w:rsidRPr="003C0498">
        <w:rPr>
          <w:rFonts w:ascii="Calibri" w:hAnsi="Calibri" w:cs="Calibri"/>
          <w:noProof/>
          <w:sz w:val="16"/>
          <w:szCs w:val="24"/>
        </w:rPr>
        <w:t>:190–8.</w:t>
      </w:r>
    </w:p>
    <w:p w14:paraId="572369BD"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39 </w:t>
      </w:r>
      <w:r w:rsidRPr="003C0498">
        <w:rPr>
          <w:rFonts w:ascii="Calibri" w:hAnsi="Calibri" w:cs="Calibri"/>
          <w:noProof/>
          <w:sz w:val="16"/>
          <w:szCs w:val="24"/>
        </w:rPr>
        <w:tab/>
        <w:t xml:space="preserve">Holmes A V., Atwood EC, Whalen B, </w:t>
      </w:r>
      <w:r w:rsidRPr="003C0498">
        <w:rPr>
          <w:rFonts w:ascii="Calibri" w:hAnsi="Calibri" w:cs="Calibri"/>
          <w:i/>
          <w:iCs/>
          <w:noProof/>
          <w:sz w:val="16"/>
          <w:szCs w:val="24"/>
        </w:rPr>
        <w:t>et al.</w:t>
      </w:r>
      <w:r w:rsidRPr="003C0498">
        <w:rPr>
          <w:rFonts w:ascii="Calibri" w:hAnsi="Calibri" w:cs="Calibri"/>
          <w:noProof/>
          <w:sz w:val="16"/>
          <w:szCs w:val="24"/>
        </w:rPr>
        <w:t xml:space="preserve"> Rooming-In to Treat Neonatal Abstinence Syndrome: Improved Family-Centered Care at Lower Cost. </w:t>
      </w:r>
      <w:r w:rsidRPr="003C0498">
        <w:rPr>
          <w:rFonts w:ascii="Calibri" w:hAnsi="Calibri" w:cs="Calibri"/>
          <w:i/>
          <w:iCs/>
          <w:noProof/>
          <w:sz w:val="16"/>
          <w:szCs w:val="24"/>
        </w:rPr>
        <w:t>Pediatrics</w:t>
      </w:r>
      <w:r w:rsidRPr="003C0498">
        <w:rPr>
          <w:rFonts w:ascii="Calibri" w:hAnsi="Calibri" w:cs="Calibri"/>
          <w:noProof/>
          <w:sz w:val="16"/>
          <w:szCs w:val="24"/>
        </w:rPr>
        <w:t xml:space="preserve"> 2016;</w:t>
      </w:r>
      <w:r w:rsidRPr="003C0498">
        <w:rPr>
          <w:rFonts w:ascii="Calibri" w:hAnsi="Calibri" w:cs="Calibri"/>
          <w:b/>
          <w:bCs/>
          <w:noProof/>
          <w:sz w:val="16"/>
          <w:szCs w:val="24"/>
        </w:rPr>
        <w:t>137</w:t>
      </w:r>
      <w:r w:rsidRPr="003C0498">
        <w:rPr>
          <w:rFonts w:ascii="Calibri" w:hAnsi="Calibri" w:cs="Calibri"/>
          <w:noProof/>
          <w:sz w:val="16"/>
          <w:szCs w:val="24"/>
        </w:rPr>
        <w:t>:e20152929–e20152929.</w:t>
      </w:r>
    </w:p>
    <w:p w14:paraId="049C4E48"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40 </w:t>
      </w:r>
      <w:r w:rsidRPr="003C0498">
        <w:rPr>
          <w:rFonts w:ascii="Calibri" w:hAnsi="Calibri" w:cs="Calibri"/>
          <w:noProof/>
          <w:sz w:val="16"/>
          <w:szCs w:val="24"/>
        </w:rPr>
        <w:tab/>
        <w:t xml:space="preserve">Jones CM, Stewart C, Roszell SS. Beyond best practice implementing a unit-based CLABSI project. </w:t>
      </w:r>
      <w:r w:rsidRPr="003C0498">
        <w:rPr>
          <w:rFonts w:ascii="Calibri" w:hAnsi="Calibri" w:cs="Calibri"/>
          <w:i/>
          <w:iCs/>
          <w:noProof/>
          <w:sz w:val="16"/>
          <w:szCs w:val="24"/>
        </w:rPr>
        <w:t>J Nurs Care Qual</w:t>
      </w:r>
      <w:r w:rsidRPr="003C0498">
        <w:rPr>
          <w:rFonts w:ascii="Calibri" w:hAnsi="Calibri" w:cs="Calibri"/>
          <w:noProof/>
          <w:sz w:val="16"/>
          <w:szCs w:val="24"/>
        </w:rPr>
        <w:t xml:space="preserve"> 2015;</w:t>
      </w:r>
      <w:r w:rsidRPr="003C0498">
        <w:rPr>
          <w:rFonts w:ascii="Calibri" w:hAnsi="Calibri" w:cs="Calibri"/>
          <w:b/>
          <w:bCs/>
          <w:noProof/>
          <w:sz w:val="16"/>
          <w:szCs w:val="24"/>
        </w:rPr>
        <w:t>30</w:t>
      </w:r>
      <w:r w:rsidRPr="003C0498">
        <w:rPr>
          <w:rFonts w:ascii="Calibri" w:hAnsi="Calibri" w:cs="Calibri"/>
          <w:noProof/>
          <w:sz w:val="16"/>
          <w:szCs w:val="24"/>
        </w:rPr>
        <w:t>:24–30.</w:t>
      </w:r>
    </w:p>
    <w:p w14:paraId="7B73D2BB"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41 </w:t>
      </w:r>
      <w:r w:rsidRPr="003C0498">
        <w:rPr>
          <w:rFonts w:ascii="Calibri" w:hAnsi="Calibri" w:cs="Calibri"/>
          <w:noProof/>
          <w:sz w:val="16"/>
          <w:szCs w:val="24"/>
        </w:rPr>
        <w:tab/>
        <w:t xml:space="preserve">Kulik W, Shah A. Role of peer support workers in improving patient experience in Tower Hamlets Specialist Addiction Unit. </w:t>
      </w:r>
      <w:r w:rsidRPr="003C0498">
        <w:rPr>
          <w:rFonts w:ascii="Calibri" w:hAnsi="Calibri" w:cs="Calibri"/>
          <w:i/>
          <w:iCs/>
          <w:noProof/>
          <w:sz w:val="16"/>
          <w:szCs w:val="24"/>
        </w:rPr>
        <w:t>BMJ Qual Improv Reports</w:t>
      </w:r>
      <w:r w:rsidRPr="003C0498">
        <w:rPr>
          <w:rFonts w:ascii="Calibri" w:hAnsi="Calibri" w:cs="Calibri"/>
          <w:noProof/>
          <w:sz w:val="16"/>
          <w:szCs w:val="24"/>
        </w:rPr>
        <w:t xml:space="preserve"> 2016;</w:t>
      </w:r>
      <w:r w:rsidRPr="003C0498">
        <w:rPr>
          <w:rFonts w:ascii="Calibri" w:hAnsi="Calibri" w:cs="Calibri"/>
          <w:b/>
          <w:bCs/>
          <w:noProof/>
          <w:sz w:val="16"/>
          <w:szCs w:val="24"/>
        </w:rPr>
        <w:t>5</w:t>
      </w:r>
      <w:r w:rsidRPr="003C0498">
        <w:rPr>
          <w:rFonts w:ascii="Calibri" w:hAnsi="Calibri" w:cs="Calibri"/>
          <w:noProof/>
          <w:sz w:val="16"/>
          <w:szCs w:val="24"/>
        </w:rPr>
        <w:t>:u205967.w2458.</w:t>
      </w:r>
    </w:p>
    <w:p w14:paraId="25684114"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42 </w:t>
      </w:r>
      <w:r w:rsidRPr="003C0498">
        <w:rPr>
          <w:rFonts w:ascii="Calibri" w:hAnsi="Calibri" w:cs="Calibri"/>
          <w:noProof/>
          <w:sz w:val="16"/>
          <w:szCs w:val="24"/>
        </w:rPr>
        <w:tab/>
        <w:t xml:space="preserve">Li CH, Traube LE, Lu DS, </w:t>
      </w:r>
      <w:r w:rsidRPr="003C0498">
        <w:rPr>
          <w:rFonts w:ascii="Calibri" w:hAnsi="Calibri" w:cs="Calibri"/>
          <w:i/>
          <w:iCs/>
          <w:noProof/>
          <w:sz w:val="16"/>
          <w:szCs w:val="24"/>
        </w:rPr>
        <w:t>et al.</w:t>
      </w:r>
      <w:r w:rsidRPr="003C0498">
        <w:rPr>
          <w:rFonts w:ascii="Calibri" w:hAnsi="Calibri" w:cs="Calibri"/>
          <w:noProof/>
          <w:sz w:val="16"/>
          <w:szCs w:val="24"/>
        </w:rPr>
        <w:t xml:space="preserve"> Implementation and Results of a Percutaneous Renal Allograft Biopsy Protocol to Reduce Complication Rate. </w:t>
      </w:r>
      <w:r w:rsidRPr="003C0498">
        <w:rPr>
          <w:rFonts w:ascii="Calibri" w:hAnsi="Calibri" w:cs="Calibri"/>
          <w:i/>
          <w:iCs/>
          <w:noProof/>
          <w:sz w:val="16"/>
          <w:szCs w:val="24"/>
        </w:rPr>
        <w:t>J Am …</w:t>
      </w:r>
      <w:r w:rsidRPr="003C0498">
        <w:rPr>
          <w:rFonts w:ascii="Calibri" w:hAnsi="Calibri" w:cs="Calibri"/>
          <w:noProof/>
          <w:sz w:val="16"/>
          <w:szCs w:val="24"/>
        </w:rPr>
        <w:t xml:space="preserve"> 2016;</w:t>
      </w:r>
      <w:r w:rsidRPr="003C0498">
        <w:rPr>
          <w:rFonts w:ascii="Calibri" w:hAnsi="Calibri" w:cs="Calibri"/>
          <w:b/>
          <w:bCs/>
          <w:noProof/>
          <w:sz w:val="16"/>
          <w:szCs w:val="24"/>
        </w:rPr>
        <w:t>13</w:t>
      </w:r>
      <w:r w:rsidRPr="003C0498">
        <w:rPr>
          <w:rFonts w:ascii="Calibri" w:hAnsi="Calibri" w:cs="Calibri"/>
          <w:noProof/>
          <w:sz w:val="16"/>
          <w:szCs w:val="24"/>
        </w:rPr>
        <w:t>:549–53.</w:t>
      </w:r>
    </w:p>
    <w:p w14:paraId="2B955A88"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43 </w:t>
      </w:r>
      <w:r w:rsidRPr="003C0498">
        <w:rPr>
          <w:rFonts w:ascii="Calibri" w:hAnsi="Calibri" w:cs="Calibri"/>
          <w:noProof/>
          <w:sz w:val="16"/>
          <w:szCs w:val="24"/>
        </w:rPr>
        <w:tab/>
        <w:t xml:space="preserve">Looper K, Winchester K, Robinson D, </w:t>
      </w:r>
      <w:r w:rsidRPr="003C0498">
        <w:rPr>
          <w:rFonts w:ascii="Calibri" w:hAnsi="Calibri" w:cs="Calibri"/>
          <w:i/>
          <w:iCs/>
          <w:noProof/>
          <w:sz w:val="16"/>
          <w:szCs w:val="24"/>
        </w:rPr>
        <w:t>et al.</w:t>
      </w:r>
      <w:r w:rsidRPr="003C0498">
        <w:rPr>
          <w:rFonts w:ascii="Calibri" w:hAnsi="Calibri" w:cs="Calibri"/>
          <w:noProof/>
          <w:sz w:val="16"/>
          <w:szCs w:val="24"/>
        </w:rPr>
        <w:t xml:space="preserve"> Best Practices for Chemotherapy Administration in Pediatric Oncology: Quality and Safety Process Improvements (2015). </w:t>
      </w:r>
      <w:r w:rsidRPr="003C0498">
        <w:rPr>
          <w:rFonts w:ascii="Calibri" w:hAnsi="Calibri" w:cs="Calibri"/>
          <w:i/>
          <w:iCs/>
          <w:noProof/>
          <w:sz w:val="16"/>
          <w:szCs w:val="24"/>
        </w:rPr>
        <w:t>J Pediatr Oncol Nurs</w:t>
      </w:r>
      <w:r w:rsidRPr="003C0498">
        <w:rPr>
          <w:rFonts w:ascii="Calibri" w:hAnsi="Calibri" w:cs="Calibri"/>
          <w:noProof/>
          <w:sz w:val="16"/>
          <w:szCs w:val="24"/>
        </w:rPr>
        <w:t xml:space="preserve"> 2015;</w:t>
      </w:r>
      <w:r w:rsidRPr="003C0498">
        <w:rPr>
          <w:rFonts w:ascii="Calibri" w:hAnsi="Calibri" w:cs="Calibri"/>
          <w:b/>
          <w:bCs/>
          <w:noProof/>
          <w:sz w:val="16"/>
          <w:szCs w:val="24"/>
        </w:rPr>
        <w:t>33</w:t>
      </w:r>
      <w:r w:rsidRPr="003C0498">
        <w:rPr>
          <w:rFonts w:ascii="Calibri" w:hAnsi="Calibri" w:cs="Calibri"/>
          <w:noProof/>
          <w:sz w:val="16"/>
          <w:szCs w:val="24"/>
        </w:rPr>
        <w:t>:165–72.</w:t>
      </w:r>
    </w:p>
    <w:p w14:paraId="1BBEEB13"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44 </w:t>
      </w:r>
      <w:r w:rsidRPr="003C0498">
        <w:rPr>
          <w:rFonts w:ascii="Calibri" w:hAnsi="Calibri" w:cs="Calibri"/>
          <w:noProof/>
          <w:sz w:val="16"/>
          <w:szCs w:val="24"/>
        </w:rPr>
        <w:tab/>
        <w:t xml:space="preserve">Maqbool T, Raju S, In E. Importance of patient-centred signage and navigation guide in an orthopaedic and plastics clinic. </w:t>
      </w:r>
      <w:r w:rsidRPr="003C0498">
        <w:rPr>
          <w:rFonts w:ascii="Calibri" w:hAnsi="Calibri" w:cs="Calibri"/>
          <w:i/>
          <w:iCs/>
          <w:noProof/>
          <w:sz w:val="16"/>
          <w:szCs w:val="24"/>
        </w:rPr>
        <w:t>BMJ Qual Improv reports</w:t>
      </w:r>
      <w:r w:rsidRPr="003C0498">
        <w:rPr>
          <w:rFonts w:ascii="Calibri" w:hAnsi="Calibri" w:cs="Calibri"/>
          <w:noProof/>
          <w:sz w:val="16"/>
          <w:szCs w:val="24"/>
        </w:rPr>
        <w:t xml:space="preserve"> 2016;</w:t>
      </w:r>
      <w:r w:rsidRPr="003C0498">
        <w:rPr>
          <w:rFonts w:ascii="Calibri" w:hAnsi="Calibri" w:cs="Calibri"/>
          <w:b/>
          <w:bCs/>
          <w:noProof/>
          <w:sz w:val="16"/>
          <w:szCs w:val="24"/>
        </w:rPr>
        <w:t>5</w:t>
      </w:r>
      <w:r w:rsidRPr="003C0498">
        <w:rPr>
          <w:rFonts w:ascii="Calibri" w:hAnsi="Calibri" w:cs="Calibri"/>
          <w:noProof/>
          <w:sz w:val="16"/>
          <w:szCs w:val="24"/>
        </w:rPr>
        <w:t>:10.1136/bmjquality.u209473.w3887. eCollection 2016.</w:t>
      </w:r>
    </w:p>
    <w:p w14:paraId="064CFF50"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45 </w:t>
      </w:r>
      <w:r w:rsidRPr="003C0498">
        <w:rPr>
          <w:rFonts w:ascii="Calibri" w:hAnsi="Calibri" w:cs="Calibri"/>
          <w:noProof/>
          <w:sz w:val="16"/>
          <w:szCs w:val="24"/>
        </w:rPr>
        <w:tab/>
        <w:t xml:space="preserve">May-Miller H, Hayter J, Loewenthal L, </w:t>
      </w:r>
      <w:r w:rsidRPr="003C0498">
        <w:rPr>
          <w:rFonts w:ascii="Calibri" w:hAnsi="Calibri" w:cs="Calibri"/>
          <w:i/>
          <w:iCs/>
          <w:noProof/>
          <w:sz w:val="16"/>
          <w:szCs w:val="24"/>
        </w:rPr>
        <w:t>et al.</w:t>
      </w:r>
      <w:r w:rsidRPr="003C0498">
        <w:rPr>
          <w:rFonts w:ascii="Calibri" w:hAnsi="Calibri" w:cs="Calibri"/>
          <w:noProof/>
          <w:sz w:val="16"/>
          <w:szCs w:val="24"/>
        </w:rPr>
        <w:t xml:space="preserve"> Improving the quality of discharge summaries: implementing updated Academy of Medical Royal Colleges standards at a district general hospital. </w:t>
      </w:r>
      <w:r w:rsidRPr="003C0498">
        <w:rPr>
          <w:rFonts w:ascii="Calibri" w:hAnsi="Calibri" w:cs="Calibri"/>
          <w:i/>
          <w:iCs/>
          <w:noProof/>
          <w:sz w:val="16"/>
          <w:szCs w:val="24"/>
        </w:rPr>
        <w:t>BMJ Qual Improv Reports</w:t>
      </w:r>
      <w:r w:rsidRPr="003C0498">
        <w:rPr>
          <w:rFonts w:ascii="Calibri" w:hAnsi="Calibri" w:cs="Calibri"/>
          <w:noProof/>
          <w:sz w:val="16"/>
          <w:szCs w:val="24"/>
        </w:rPr>
        <w:t xml:space="preserve"> 2015;</w:t>
      </w:r>
      <w:r w:rsidRPr="003C0498">
        <w:rPr>
          <w:rFonts w:ascii="Calibri" w:hAnsi="Calibri" w:cs="Calibri"/>
          <w:b/>
          <w:bCs/>
          <w:noProof/>
          <w:sz w:val="16"/>
          <w:szCs w:val="24"/>
        </w:rPr>
        <w:t>4</w:t>
      </w:r>
      <w:r w:rsidRPr="003C0498">
        <w:rPr>
          <w:rFonts w:ascii="Calibri" w:hAnsi="Calibri" w:cs="Calibri"/>
          <w:noProof/>
          <w:sz w:val="16"/>
          <w:szCs w:val="24"/>
        </w:rPr>
        <w:t>:u207268.w2918.</w:t>
      </w:r>
    </w:p>
    <w:p w14:paraId="52EB5782"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46 </w:t>
      </w:r>
      <w:r w:rsidRPr="003C0498">
        <w:rPr>
          <w:rFonts w:ascii="Calibri" w:hAnsi="Calibri" w:cs="Calibri"/>
          <w:noProof/>
          <w:sz w:val="16"/>
          <w:szCs w:val="24"/>
        </w:rPr>
        <w:tab/>
        <w:t xml:space="preserve">McCormack R. Improving the uptake and comprehensiveness of bedside cognitive testing amongst liaison psychiatrists over an eight-month period. </w:t>
      </w:r>
      <w:r w:rsidRPr="003C0498">
        <w:rPr>
          <w:rFonts w:ascii="Calibri" w:hAnsi="Calibri" w:cs="Calibri"/>
          <w:i/>
          <w:iCs/>
          <w:noProof/>
          <w:sz w:val="16"/>
          <w:szCs w:val="24"/>
        </w:rPr>
        <w:t>BMJ Qual Improv reports</w:t>
      </w:r>
      <w:r w:rsidRPr="003C0498">
        <w:rPr>
          <w:rFonts w:ascii="Calibri" w:hAnsi="Calibri" w:cs="Calibri"/>
          <w:noProof/>
          <w:sz w:val="16"/>
          <w:szCs w:val="24"/>
        </w:rPr>
        <w:t xml:space="preserve"> 2016;</w:t>
      </w:r>
      <w:r w:rsidRPr="003C0498">
        <w:rPr>
          <w:rFonts w:ascii="Calibri" w:hAnsi="Calibri" w:cs="Calibri"/>
          <w:b/>
          <w:bCs/>
          <w:noProof/>
          <w:sz w:val="16"/>
          <w:szCs w:val="24"/>
        </w:rPr>
        <w:t>5</w:t>
      </w:r>
      <w:r w:rsidRPr="003C0498">
        <w:rPr>
          <w:rFonts w:ascii="Calibri" w:hAnsi="Calibri" w:cs="Calibri"/>
          <w:noProof/>
          <w:sz w:val="16"/>
          <w:szCs w:val="24"/>
        </w:rPr>
        <w:t>:1–6.</w:t>
      </w:r>
    </w:p>
    <w:p w14:paraId="2988FFF4"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47 </w:t>
      </w:r>
      <w:r w:rsidRPr="003C0498">
        <w:rPr>
          <w:rFonts w:ascii="Calibri" w:hAnsi="Calibri" w:cs="Calibri"/>
          <w:noProof/>
          <w:sz w:val="16"/>
          <w:szCs w:val="24"/>
        </w:rPr>
        <w:tab/>
        <w:t xml:space="preserve">Mgonja S, Schoening A. Postpartum Depression Screening at Well-Child Appointments: A Quality Improvement Project. </w:t>
      </w:r>
      <w:r w:rsidRPr="003C0498">
        <w:rPr>
          <w:rFonts w:ascii="Calibri" w:hAnsi="Calibri" w:cs="Calibri"/>
          <w:i/>
          <w:iCs/>
          <w:noProof/>
          <w:sz w:val="16"/>
          <w:szCs w:val="24"/>
        </w:rPr>
        <w:t>J Pediatr Health Care</w:t>
      </w:r>
      <w:r w:rsidRPr="003C0498">
        <w:rPr>
          <w:rFonts w:ascii="Calibri" w:hAnsi="Calibri" w:cs="Calibri"/>
          <w:noProof/>
          <w:sz w:val="16"/>
          <w:szCs w:val="24"/>
        </w:rPr>
        <w:t xml:space="preserve"> Published Online First: 2016.</w:t>
      </w:r>
    </w:p>
    <w:p w14:paraId="07CFF26F"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48 </w:t>
      </w:r>
      <w:r w:rsidRPr="003C0498">
        <w:rPr>
          <w:rFonts w:ascii="Calibri" w:hAnsi="Calibri" w:cs="Calibri"/>
          <w:noProof/>
          <w:sz w:val="16"/>
          <w:szCs w:val="24"/>
        </w:rPr>
        <w:tab/>
        <w:t xml:space="preserve">Minhas A, Kyaw TT, Ong BC. Redesigning case selection methods to improve clinical review of inpatient medical records. </w:t>
      </w:r>
      <w:r w:rsidRPr="003C0498">
        <w:rPr>
          <w:rFonts w:ascii="Calibri" w:hAnsi="Calibri" w:cs="Calibri"/>
          <w:i/>
          <w:iCs/>
          <w:noProof/>
          <w:sz w:val="16"/>
          <w:szCs w:val="24"/>
        </w:rPr>
        <w:t>Clin Epidemiol Glob Heal</w:t>
      </w:r>
      <w:r w:rsidRPr="003C0498">
        <w:rPr>
          <w:rFonts w:ascii="Calibri" w:hAnsi="Calibri" w:cs="Calibri"/>
          <w:noProof/>
          <w:sz w:val="16"/>
          <w:szCs w:val="24"/>
        </w:rPr>
        <w:t xml:space="preserve"> 2015;</w:t>
      </w:r>
      <w:r w:rsidRPr="003C0498">
        <w:rPr>
          <w:rFonts w:ascii="Calibri" w:hAnsi="Calibri" w:cs="Calibri"/>
          <w:b/>
          <w:bCs/>
          <w:noProof/>
          <w:sz w:val="16"/>
          <w:szCs w:val="24"/>
        </w:rPr>
        <w:t>3</w:t>
      </w:r>
      <w:r w:rsidRPr="003C0498">
        <w:rPr>
          <w:rFonts w:ascii="Calibri" w:hAnsi="Calibri" w:cs="Calibri"/>
          <w:noProof/>
          <w:sz w:val="16"/>
          <w:szCs w:val="24"/>
        </w:rPr>
        <w:t>:66–71.</w:t>
      </w:r>
    </w:p>
    <w:p w14:paraId="4F94480B"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49 </w:t>
      </w:r>
      <w:r w:rsidRPr="003C0498">
        <w:rPr>
          <w:rFonts w:ascii="Calibri" w:hAnsi="Calibri" w:cs="Calibri"/>
          <w:noProof/>
          <w:sz w:val="16"/>
          <w:szCs w:val="24"/>
        </w:rPr>
        <w:tab/>
        <w:t xml:space="preserve">Mookadam M, Grover M, Pullins C, </w:t>
      </w:r>
      <w:r w:rsidRPr="003C0498">
        <w:rPr>
          <w:rFonts w:ascii="Calibri" w:hAnsi="Calibri" w:cs="Calibri"/>
          <w:i/>
          <w:iCs/>
          <w:noProof/>
          <w:sz w:val="16"/>
          <w:szCs w:val="24"/>
        </w:rPr>
        <w:t>et al.</w:t>
      </w:r>
      <w:r w:rsidRPr="003C0498">
        <w:rPr>
          <w:rFonts w:ascii="Calibri" w:hAnsi="Calibri" w:cs="Calibri"/>
          <w:noProof/>
          <w:sz w:val="16"/>
          <w:szCs w:val="24"/>
        </w:rPr>
        <w:t xml:space="preserve"> Simple Interventions Improve the Quality of a Missed Lab Appointment Process. </w:t>
      </w:r>
      <w:r w:rsidRPr="003C0498">
        <w:rPr>
          <w:rFonts w:ascii="Calibri" w:hAnsi="Calibri" w:cs="Calibri"/>
          <w:i/>
          <w:iCs/>
          <w:noProof/>
          <w:sz w:val="16"/>
          <w:szCs w:val="24"/>
        </w:rPr>
        <w:t>BMJ Qual Improv Reports</w:t>
      </w:r>
      <w:r w:rsidRPr="003C0498">
        <w:rPr>
          <w:rFonts w:ascii="Calibri" w:hAnsi="Calibri" w:cs="Calibri"/>
          <w:noProof/>
          <w:sz w:val="16"/>
          <w:szCs w:val="24"/>
        </w:rPr>
        <w:t xml:space="preserve"> 2016;</w:t>
      </w:r>
      <w:r w:rsidRPr="003C0498">
        <w:rPr>
          <w:rFonts w:ascii="Calibri" w:hAnsi="Calibri" w:cs="Calibri"/>
          <w:b/>
          <w:bCs/>
          <w:noProof/>
          <w:sz w:val="16"/>
          <w:szCs w:val="24"/>
        </w:rPr>
        <w:t>5</w:t>
      </w:r>
      <w:r w:rsidRPr="003C0498">
        <w:rPr>
          <w:rFonts w:ascii="Calibri" w:hAnsi="Calibri" w:cs="Calibri"/>
          <w:noProof/>
          <w:sz w:val="16"/>
          <w:szCs w:val="24"/>
        </w:rPr>
        <w:t>:u205944.w2432.</w:t>
      </w:r>
    </w:p>
    <w:p w14:paraId="069C9EEC"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50 </w:t>
      </w:r>
      <w:r w:rsidRPr="003C0498">
        <w:rPr>
          <w:rFonts w:ascii="Calibri" w:hAnsi="Calibri" w:cs="Calibri"/>
          <w:noProof/>
          <w:sz w:val="16"/>
          <w:szCs w:val="24"/>
        </w:rPr>
        <w:tab/>
        <w:t xml:space="preserve">Murphy L, Wells JS, Lachman P, </w:t>
      </w:r>
      <w:r w:rsidRPr="003C0498">
        <w:rPr>
          <w:rFonts w:ascii="Calibri" w:hAnsi="Calibri" w:cs="Calibri"/>
          <w:i/>
          <w:iCs/>
          <w:noProof/>
          <w:sz w:val="16"/>
          <w:szCs w:val="24"/>
        </w:rPr>
        <w:t>et al.</w:t>
      </w:r>
      <w:r w:rsidRPr="003C0498">
        <w:rPr>
          <w:rFonts w:ascii="Calibri" w:hAnsi="Calibri" w:cs="Calibri"/>
          <w:noProof/>
          <w:sz w:val="16"/>
          <w:szCs w:val="24"/>
        </w:rPr>
        <w:t xml:space="preserve"> A Quality Improvement Initiative in Community Mental Health in the Republic of Ireland. 2015;:1–12.</w:t>
      </w:r>
    </w:p>
    <w:p w14:paraId="41897DCE"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51 </w:t>
      </w:r>
      <w:r w:rsidRPr="003C0498">
        <w:rPr>
          <w:rFonts w:ascii="Calibri" w:hAnsi="Calibri" w:cs="Calibri"/>
          <w:noProof/>
          <w:sz w:val="16"/>
          <w:szCs w:val="24"/>
        </w:rPr>
        <w:tab/>
        <w:t xml:space="preserve">Mustafa A, Mahgoub S. Understanding and overcoming barriers to timely discharge from the pediatric units. </w:t>
      </w:r>
      <w:r w:rsidRPr="003C0498">
        <w:rPr>
          <w:rFonts w:ascii="Calibri" w:hAnsi="Calibri" w:cs="Calibri"/>
          <w:i/>
          <w:iCs/>
          <w:noProof/>
          <w:sz w:val="16"/>
          <w:szCs w:val="24"/>
        </w:rPr>
        <w:t>BMJ Qual Improv Reports</w:t>
      </w:r>
      <w:r w:rsidRPr="003C0498">
        <w:rPr>
          <w:rFonts w:ascii="Calibri" w:hAnsi="Calibri" w:cs="Calibri"/>
          <w:noProof/>
          <w:sz w:val="16"/>
          <w:szCs w:val="24"/>
        </w:rPr>
        <w:t xml:space="preserve"> 2016;</w:t>
      </w:r>
      <w:r w:rsidRPr="003C0498">
        <w:rPr>
          <w:rFonts w:ascii="Calibri" w:hAnsi="Calibri" w:cs="Calibri"/>
          <w:b/>
          <w:bCs/>
          <w:noProof/>
          <w:sz w:val="16"/>
          <w:szCs w:val="24"/>
        </w:rPr>
        <w:t>5</w:t>
      </w:r>
      <w:r w:rsidRPr="003C0498">
        <w:rPr>
          <w:rFonts w:ascii="Calibri" w:hAnsi="Calibri" w:cs="Calibri"/>
          <w:noProof/>
          <w:sz w:val="16"/>
          <w:szCs w:val="24"/>
        </w:rPr>
        <w:t>:u209098.w3772.</w:t>
      </w:r>
    </w:p>
    <w:p w14:paraId="52AC18E8"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52 </w:t>
      </w:r>
      <w:r w:rsidRPr="003C0498">
        <w:rPr>
          <w:rFonts w:ascii="Calibri" w:hAnsi="Calibri" w:cs="Calibri"/>
          <w:noProof/>
          <w:sz w:val="16"/>
          <w:szCs w:val="24"/>
        </w:rPr>
        <w:tab/>
        <w:t xml:space="preserve">Nelson E, Reynolds P. Inpatient Falls: Improving assessment, documentation, and management. </w:t>
      </w:r>
      <w:r w:rsidRPr="003C0498">
        <w:rPr>
          <w:rFonts w:ascii="Calibri" w:hAnsi="Calibri" w:cs="Calibri"/>
          <w:i/>
          <w:iCs/>
          <w:noProof/>
          <w:sz w:val="16"/>
          <w:szCs w:val="24"/>
        </w:rPr>
        <w:t>BMJ Qual Improv reports</w:t>
      </w:r>
      <w:r w:rsidRPr="003C0498">
        <w:rPr>
          <w:rFonts w:ascii="Calibri" w:hAnsi="Calibri" w:cs="Calibri"/>
          <w:noProof/>
          <w:sz w:val="16"/>
          <w:szCs w:val="24"/>
        </w:rPr>
        <w:t xml:space="preserve"> 2015;</w:t>
      </w:r>
      <w:r w:rsidRPr="003C0498">
        <w:rPr>
          <w:rFonts w:ascii="Calibri" w:hAnsi="Calibri" w:cs="Calibri"/>
          <w:b/>
          <w:bCs/>
          <w:noProof/>
          <w:sz w:val="16"/>
          <w:szCs w:val="24"/>
        </w:rPr>
        <w:t>4</w:t>
      </w:r>
      <w:r w:rsidRPr="003C0498">
        <w:rPr>
          <w:rFonts w:ascii="Calibri" w:hAnsi="Calibri" w:cs="Calibri"/>
          <w:noProof/>
          <w:sz w:val="16"/>
          <w:szCs w:val="24"/>
        </w:rPr>
        <w:t>:10.1136/bmjquality.u208575.w3781. eCollection 2015.</w:t>
      </w:r>
    </w:p>
    <w:p w14:paraId="2F446AA7"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53 </w:t>
      </w:r>
      <w:r w:rsidRPr="003C0498">
        <w:rPr>
          <w:rFonts w:ascii="Calibri" w:hAnsi="Calibri" w:cs="Calibri"/>
          <w:noProof/>
          <w:sz w:val="16"/>
          <w:szCs w:val="24"/>
        </w:rPr>
        <w:tab/>
        <w:t xml:space="preserve">Nuti A. Improving compliance with iron infusion therapy in the treatment of chronic anemia in haemodialysis patients with chronic kidney disease. </w:t>
      </w:r>
      <w:r w:rsidRPr="003C0498">
        <w:rPr>
          <w:rFonts w:ascii="Calibri" w:hAnsi="Calibri" w:cs="Calibri"/>
          <w:i/>
          <w:iCs/>
          <w:noProof/>
          <w:sz w:val="16"/>
          <w:szCs w:val="24"/>
        </w:rPr>
        <w:t>BMJ Qual Improv Reports</w:t>
      </w:r>
      <w:r w:rsidRPr="003C0498">
        <w:rPr>
          <w:rFonts w:ascii="Calibri" w:hAnsi="Calibri" w:cs="Calibri"/>
          <w:noProof/>
          <w:sz w:val="16"/>
          <w:szCs w:val="24"/>
        </w:rPr>
        <w:t xml:space="preserve"> 2015;</w:t>
      </w:r>
      <w:r w:rsidRPr="003C0498">
        <w:rPr>
          <w:rFonts w:ascii="Calibri" w:hAnsi="Calibri" w:cs="Calibri"/>
          <w:b/>
          <w:bCs/>
          <w:noProof/>
          <w:sz w:val="16"/>
          <w:szCs w:val="24"/>
        </w:rPr>
        <w:t>4</w:t>
      </w:r>
      <w:r w:rsidRPr="003C0498">
        <w:rPr>
          <w:rFonts w:ascii="Calibri" w:hAnsi="Calibri" w:cs="Calibri"/>
          <w:noProof/>
          <w:sz w:val="16"/>
          <w:szCs w:val="24"/>
        </w:rPr>
        <w:t>:u204642.w2177.</w:t>
      </w:r>
    </w:p>
    <w:p w14:paraId="6EBC517F" w14:textId="77777777" w:rsidR="003C0498" w:rsidRPr="00DC7CFD" w:rsidRDefault="003C0498" w:rsidP="003C0498">
      <w:pPr>
        <w:widowControl w:val="0"/>
        <w:autoSpaceDE w:val="0"/>
        <w:autoSpaceDN w:val="0"/>
        <w:adjustRightInd w:val="0"/>
        <w:spacing w:line="240" w:lineRule="auto"/>
        <w:ind w:left="640" w:hanging="640"/>
        <w:rPr>
          <w:rFonts w:ascii="Calibri" w:hAnsi="Calibri" w:cs="Calibri"/>
          <w:noProof/>
          <w:sz w:val="16"/>
          <w:szCs w:val="24"/>
          <w:lang w:val="da-DK"/>
        </w:rPr>
      </w:pPr>
      <w:r w:rsidRPr="003C0498">
        <w:rPr>
          <w:rFonts w:ascii="Calibri" w:hAnsi="Calibri" w:cs="Calibri"/>
          <w:noProof/>
          <w:sz w:val="16"/>
          <w:szCs w:val="24"/>
        </w:rPr>
        <w:t xml:space="preserve">54 </w:t>
      </w:r>
      <w:r w:rsidRPr="003C0498">
        <w:rPr>
          <w:rFonts w:ascii="Calibri" w:hAnsi="Calibri" w:cs="Calibri"/>
          <w:noProof/>
          <w:sz w:val="16"/>
          <w:szCs w:val="24"/>
        </w:rPr>
        <w:tab/>
        <w:t xml:space="preserve">Ozekcin LR, Tuite P, Willner K, </w:t>
      </w:r>
      <w:r w:rsidRPr="003C0498">
        <w:rPr>
          <w:rFonts w:ascii="Calibri" w:hAnsi="Calibri" w:cs="Calibri"/>
          <w:i/>
          <w:iCs/>
          <w:noProof/>
          <w:sz w:val="16"/>
          <w:szCs w:val="24"/>
        </w:rPr>
        <w:t>et al.</w:t>
      </w:r>
      <w:r w:rsidRPr="003C0498">
        <w:rPr>
          <w:rFonts w:ascii="Calibri" w:hAnsi="Calibri" w:cs="Calibri"/>
          <w:noProof/>
          <w:sz w:val="16"/>
          <w:szCs w:val="24"/>
        </w:rPr>
        <w:t xml:space="preserve"> Simulation education: Early identification of patient physiologic deterioration by acute care nurses. </w:t>
      </w:r>
      <w:r w:rsidRPr="00DC7CFD">
        <w:rPr>
          <w:rFonts w:ascii="Calibri" w:hAnsi="Calibri" w:cs="Calibri"/>
          <w:i/>
          <w:iCs/>
          <w:noProof/>
          <w:sz w:val="16"/>
          <w:szCs w:val="24"/>
          <w:lang w:val="da-DK"/>
        </w:rPr>
        <w:t>Clin Nurse Spec</w:t>
      </w:r>
      <w:r w:rsidRPr="00DC7CFD">
        <w:rPr>
          <w:rFonts w:ascii="Calibri" w:hAnsi="Calibri" w:cs="Calibri"/>
          <w:noProof/>
          <w:sz w:val="16"/>
          <w:szCs w:val="24"/>
          <w:lang w:val="da-DK"/>
        </w:rPr>
        <w:t xml:space="preserve"> 2015;</w:t>
      </w:r>
      <w:r w:rsidRPr="00DC7CFD">
        <w:rPr>
          <w:rFonts w:ascii="Calibri" w:hAnsi="Calibri" w:cs="Calibri"/>
          <w:b/>
          <w:bCs/>
          <w:noProof/>
          <w:sz w:val="16"/>
          <w:szCs w:val="24"/>
          <w:lang w:val="da-DK"/>
        </w:rPr>
        <w:t>29</w:t>
      </w:r>
      <w:r w:rsidRPr="00DC7CFD">
        <w:rPr>
          <w:rFonts w:ascii="Calibri" w:hAnsi="Calibri" w:cs="Calibri"/>
          <w:noProof/>
          <w:sz w:val="16"/>
          <w:szCs w:val="24"/>
          <w:lang w:val="da-DK"/>
        </w:rPr>
        <w:t>:166–73.</w:t>
      </w:r>
    </w:p>
    <w:p w14:paraId="498F6441"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DC7CFD">
        <w:rPr>
          <w:rFonts w:ascii="Calibri" w:hAnsi="Calibri" w:cs="Calibri"/>
          <w:noProof/>
          <w:sz w:val="16"/>
          <w:szCs w:val="24"/>
          <w:lang w:val="da-DK"/>
        </w:rPr>
        <w:t xml:space="preserve">55 </w:t>
      </w:r>
      <w:r w:rsidRPr="00DC7CFD">
        <w:rPr>
          <w:rFonts w:ascii="Calibri" w:hAnsi="Calibri" w:cs="Calibri"/>
          <w:noProof/>
          <w:sz w:val="16"/>
          <w:szCs w:val="24"/>
          <w:lang w:val="da-DK"/>
        </w:rPr>
        <w:tab/>
        <w:t xml:space="preserve">Partridge T, Carluke I, Emmerson K, </w:t>
      </w:r>
      <w:r w:rsidRPr="00DC7CFD">
        <w:rPr>
          <w:rFonts w:ascii="Calibri" w:hAnsi="Calibri" w:cs="Calibri"/>
          <w:i/>
          <w:iCs/>
          <w:noProof/>
          <w:sz w:val="16"/>
          <w:szCs w:val="24"/>
          <w:lang w:val="da-DK"/>
        </w:rPr>
        <w:t>et al.</w:t>
      </w:r>
      <w:r w:rsidRPr="00DC7CFD">
        <w:rPr>
          <w:rFonts w:ascii="Calibri" w:hAnsi="Calibri" w:cs="Calibri"/>
          <w:noProof/>
          <w:sz w:val="16"/>
          <w:szCs w:val="24"/>
          <w:lang w:val="da-DK"/>
        </w:rPr>
        <w:t xml:space="preserve"> </w:t>
      </w:r>
      <w:r w:rsidRPr="003C0498">
        <w:rPr>
          <w:rFonts w:ascii="Calibri" w:hAnsi="Calibri" w:cs="Calibri"/>
          <w:noProof/>
          <w:sz w:val="16"/>
          <w:szCs w:val="24"/>
        </w:rPr>
        <w:t xml:space="preserve">Improving patient reported outcome measures (PROMs) in total knee replacement by changing implant and preserving the infrapatella fatpad: a quality improvement project. </w:t>
      </w:r>
      <w:r w:rsidRPr="003C0498">
        <w:rPr>
          <w:rFonts w:ascii="Calibri" w:hAnsi="Calibri" w:cs="Calibri"/>
          <w:i/>
          <w:iCs/>
          <w:noProof/>
          <w:sz w:val="16"/>
          <w:szCs w:val="24"/>
        </w:rPr>
        <w:t>BMJ Qual Improv reports</w:t>
      </w:r>
      <w:r w:rsidRPr="003C0498">
        <w:rPr>
          <w:rFonts w:ascii="Calibri" w:hAnsi="Calibri" w:cs="Calibri"/>
          <w:noProof/>
          <w:sz w:val="16"/>
          <w:szCs w:val="24"/>
        </w:rPr>
        <w:t xml:space="preserve"> 2016;</w:t>
      </w:r>
      <w:r w:rsidRPr="003C0498">
        <w:rPr>
          <w:rFonts w:ascii="Calibri" w:hAnsi="Calibri" w:cs="Calibri"/>
          <w:b/>
          <w:bCs/>
          <w:noProof/>
          <w:sz w:val="16"/>
          <w:szCs w:val="24"/>
        </w:rPr>
        <w:t>5</w:t>
      </w:r>
      <w:r w:rsidRPr="003C0498">
        <w:rPr>
          <w:rFonts w:ascii="Calibri" w:hAnsi="Calibri" w:cs="Calibri"/>
          <w:noProof/>
          <w:sz w:val="16"/>
          <w:szCs w:val="24"/>
        </w:rPr>
        <w:t>:10.1136/bmjquality.u204088.w3767. eCollection 2016.</w:t>
      </w:r>
    </w:p>
    <w:p w14:paraId="1D05F9D7"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56 </w:t>
      </w:r>
      <w:r w:rsidRPr="003C0498">
        <w:rPr>
          <w:rFonts w:ascii="Calibri" w:hAnsi="Calibri" w:cs="Calibri"/>
          <w:noProof/>
          <w:sz w:val="16"/>
          <w:szCs w:val="24"/>
        </w:rPr>
        <w:tab/>
        <w:t xml:space="preserve">Peh WM, Jia Loh W, chee phua  ghee, </w:t>
      </w:r>
      <w:r w:rsidRPr="003C0498">
        <w:rPr>
          <w:rFonts w:ascii="Calibri" w:hAnsi="Calibri" w:cs="Calibri"/>
          <w:i/>
          <w:iCs/>
          <w:noProof/>
          <w:sz w:val="16"/>
          <w:szCs w:val="24"/>
        </w:rPr>
        <w:t>et al.</w:t>
      </w:r>
      <w:r w:rsidRPr="003C0498">
        <w:rPr>
          <w:rFonts w:ascii="Calibri" w:hAnsi="Calibri" w:cs="Calibri"/>
          <w:noProof/>
          <w:sz w:val="16"/>
          <w:szCs w:val="24"/>
        </w:rPr>
        <w:t xml:space="preserve"> Eliminating guidewire retention during ultrasound guided central venous catheter insertion via an educational program, a modified CVC set, and a drape with reminder stickers. </w:t>
      </w:r>
      <w:r w:rsidRPr="003C0498">
        <w:rPr>
          <w:rFonts w:ascii="Calibri" w:hAnsi="Calibri" w:cs="Calibri"/>
          <w:i/>
          <w:iCs/>
          <w:noProof/>
          <w:sz w:val="16"/>
          <w:szCs w:val="24"/>
        </w:rPr>
        <w:t>BMJ Qual Improv Reports</w:t>
      </w:r>
      <w:r w:rsidRPr="003C0498">
        <w:rPr>
          <w:rFonts w:ascii="Calibri" w:hAnsi="Calibri" w:cs="Calibri"/>
          <w:noProof/>
          <w:sz w:val="16"/>
          <w:szCs w:val="24"/>
        </w:rPr>
        <w:t xml:space="preserve"> 2016;</w:t>
      </w:r>
      <w:r w:rsidRPr="003C0498">
        <w:rPr>
          <w:rFonts w:ascii="Calibri" w:hAnsi="Calibri" w:cs="Calibri"/>
          <w:b/>
          <w:bCs/>
          <w:noProof/>
          <w:sz w:val="16"/>
          <w:szCs w:val="24"/>
        </w:rPr>
        <w:t>5</w:t>
      </w:r>
      <w:r w:rsidRPr="003C0498">
        <w:rPr>
          <w:rFonts w:ascii="Calibri" w:hAnsi="Calibri" w:cs="Calibri"/>
          <w:noProof/>
          <w:sz w:val="16"/>
          <w:szCs w:val="24"/>
        </w:rPr>
        <w:t>:u209550.w3941.</w:t>
      </w:r>
    </w:p>
    <w:p w14:paraId="094E79FC"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57 </w:t>
      </w:r>
      <w:r w:rsidRPr="003C0498">
        <w:rPr>
          <w:rFonts w:ascii="Calibri" w:hAnsi="Calibri" w:cs="Calibri"/>
          <w:noProof/>
          <w:sz w:val="16"/>
          <w:szCs w:val="24"/>
        </w:rPr>
        <w:tab/>
        <w:t xml:space="preserve">O’Reilly A. Improving ward environments and developing skills for discharge with the implementation of self-catering on a low secure forensic unit. </w:t>
      </w:r>
      <w:r w:rsidRPr="003C0498">
        <w:rPr>
          <w:rFonts w:ascii="Calibri" w:hAnsi="Calibri" w:cs="Calibri"/>
          <w:i/>
          <w:iCs/>
          <w:noProof/>
          <w:sz w:val="16"/>
          <w:szCs w:val="24"/>
        </w:rPr>
        <w:t>BMJ Qual Improv Reports</w:t>
      </w:r>
      <w:r w:rsidRPr="003C0498">
        <w:rPr>
          <w:rFonts w:ascii="Calibri" w:hAnsi="Calibri" w:cs="Calibri"/>
          <w:noProof/>
          <w:sz w:val="16"/>
          <w:szCs w:val="24"/>
        </w:rPr>
        <w:t xml:space="preserve"> 2016;</w:t>
      </w:r>
      <w:r w:rsidRPr="003C0498">
        <w:rPr>
          <w:rFonts w:ascii="Calibri" w:hAnsi="Calibri" w:cs="Calibri"/>
          <w:b/>
          <w:bCs/>
          <w:noProof/>
          <w:sz w:val="16"/>
          <w:szCs w:val="24"/>
        </w:rPr>
        <w:t>5</w:t>
      </w:r>
      <w:r w:rsidRPr="003C0498">
        <w:rPr>
          <w:rFonts w:ascii="Calibri" w:hAnsi="Calibri" w:cs="Calibri"/>
          <w:noProof/>
          <w:sz w:val="16"/>
          <w:szCs w:val="24"/>
        </w:rPr>
        <w:t>:u210929.w4509.</w:t>
      </w:r>
    </w:p>
    <w:p w14:paraId="22AA79F6"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58 </w:t>
      </w:r>
      <w:r w:rsidRPr="003C0498">
        <w:rPr>
          <w:rFonts w:ascii="Calibri" w:hAnsi="Calibri" w:cs="Calibri"/>
          <w:noProof/>
          <w:sz w:val="16"/>
          <w:szCs w:val="24"/>
        </w:rPr>
        <w:tab/>
        <w:t xml:space="preserve">Roberts S, Saithna A, Bethune R. Improving theatre efficiency and utilisation through early identification of trauma patients and enhanced communication between teams. </w:t>
      </w:r>
      <w:r w:rsidRPr="003C0498">
        <w:rPr>
          <w:rFonts w:ascii="Calibri" w:hAnsi="Calibri" w:cs="Calibri"/>
          <w:i/>
          <w:iCs/>
          <w:noProof/>
          <w:sz w:val="16"/>
          <w:szCs w:val="24"/>
        </w:rPr>
        <w:t>BMJ Qual Improv Reports</w:t>
      </w:r>
      <w:r w:rsidRPr="003C0498">
        <w:rPr>
          <w:rFonts w:ascii="Calibri" w:hAnsi="Calibri" w:cs="Calibri"/>
          <w:noProof/>
          <w:sz w:val="16"/>
          <w:szCs w:val="24"/>
        </w:rPr>
        <w:t xml:space="preserve"> 2015;</w:t>
      </w:r>
      <w:r w:rsidRPr="003C0498">
        <w:rPr>
          <w:rFonts w:ascii="Calibri" w:hAnsi="Calibri" w:cs="Calibri"/>
          <w:b/>
          <w:bCs/>
          <w:noProof/>
          <w:sz w:val="16"/>
          <w:szCs w:val="24"/>
        </w:rPr>
        <w:t>4</w:t>
      </w:r>
      <w:r w:rsidRPr="003C0498">
        <w:rPr>
          <w:rFonts w:ascii="Calibri" w:hAnsi="Calibri" w:cs="Calibri"/>
          <w:noProof/>
          <w:sz w:val="16"/>
          <w:szCs w:val="24"/>
        </w:rPr>
        <w:t>:u206641.w2670-u206641.w2670.</w:t>
      </w:r>
    </w:p>
    <w:p w14:paraId="01159BCD"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59 </w:t>
      </w:r>
      <w:r w:rsidRPr="003C0498">
        <w:rPr>
          <w:rFonts w:ascii="Calibri" w:hAnsi="Calibri" w:cs="Calibri"/>
          <w:noProof/>
          <w:sz w:val="16"/>
          <w:szCs w:val="24"/>
        </w:rPr>
        <w:tab/>
        <w:t xml:space="preserve">Rostami P, Power M, Harrison A, </w:t>
      </w:r>
      <w:r w:rsidRPr="003C0498">
        <w:rPr>
          <w:rFonts w:ascii="Calibri" w:hAnsi="Calibri" w:cs="Calibri"/>
          <w:i/>
          <w:iCs/>
          <w:noProof/>
          <w:sz w:val="16"/>
          <w:szCs w:val="24"/>
        </w:rPr>
        <w:t>et al.</w:t>
      </w:r>
      <w:r w:rsidRPr="003C0498">
        <w:rPr>
          <w:rFonts w:ascii="Calibri" w:hAnsi="Calibri" w:cs="Calibri"/>
          <w:noProof/>
          <w:sz w:val="16"/>
          <w:szCs w:val="24"/>
        </w:rPr>
        <w:t xml:space="preserve"> Learning from the design, development and implementation of the Medication Safety Thermometer. </w:t>
      </w:r>
      <w:r w:rsidRPr="003C0498">
        <w:rPr>
          <w:rFonts w:ascii="Calibri" w:hAnsi="Calibri" w:cs="Calibri"/>
          <w:i/>
          <w:iCs/>
          <w:noProof/>
          <w:sz w:val="16"/>
          <w:szCs w:val="24"/>
        </w:rPr>
        <w:t>Int J Qual Heal Care</w:t>
      </w:r>
      <w:r w:rsidRPr="003C0498">
        <w:rPr>
          <w:rFonts w:ascii="Calibri" w:hAnsi="Calibri" w:cs="Calibri"/>
          <w:noProof/>
          <w:sz w:val="16"/>
          <w:szCs w:val="24"/>
        </w:rPr>
        <w:t xml:space="preserve"> 2016;:1–9.</w:t>
      </w:r>
    </w:p>
    <w:p w14:paraId="3506BB40"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lastRenderedPageBreak/>
        <w:t xml:space="preserve">60 </w:t>
      </w:r>
      <w:r w:rsidRPr="003C0498">
        <w:rPr>
          <w:rFonts w:ascii="Calibri" w:hAnsi="Calibri" w:cs="Calibri"/>
          <w:noProof/>
          <w:sz w:val="16"/>
          <w:szCs w:val="24"/>
        </w:rPr>
        <w:tab/>
        <w:t xml:space="preserve">Salman M, Subbe C. Alcohol detoxification in Ysbyty Gwynedd: Two small sips or one big gulp? Two-step screening more reliable for identification of alcohol dependency syndrome at risk of delirium tremens for routine care. </w:t>
      </w:r>
      <w:r w:rsidRPr="003C0498">
        <w:rPr>
          <w:rFonts w:ascii="Calibri" w:hAnsi="Calibri" w:cs="Calibri"/>
          <w:i/>
          <w:iCs/>
          <w:noProof/>
          <w:sz w:val="16"/>
          <w:szCs w:val="24"/>
        </w:rPr>
        <w:t>BMJ Qual Improv reports</w:t>
      </w:r>
      <w:r w:rsidRPr="003C0498">
        <w:rPr>
          <w:rFonts w:ascii="Calibri" w:hAnsi="Calibri" w:cs="Calibri"/>
          <w:noProof/>
          <w:sz w:val="16"/>
          <w:szCs w:val="24"/>
        </w:rPr>
        <w:t xml:space="preserve"> 2015;</w:t>
      </w:r>
      <w:r w:rsidRPr="003C0498">
        <w:rPr>
          <w:rFonts w:ascii="Calibri" w:hAnsi="Calibri" w:cs="Calibri"/>
          <w:b/>
          <w:bCs/>
          <w:noProof/>
          <w:sz w:val="16"/>
          <w:szCs w:val="24"/>
        </w:rPr>
        <w:t>4</w:t>
      </w:r>
      <w:r w:rsidRPr="003C0498">
        <w:rPr>
          <w:rFonts w:ascii="Calibri" w:hAnsi="Calibri" w:cs="Calibri"/>
          <w:noProof/>
          <w:sz w:val="16"/>
          <w:szCs w:val="24"/>
        </w:rPr>
        <w:t>:10.1136/bmjquality.u206149.w2528. eCollection 2015.</w:t>
      </w:r>
    </w:p>
    <w:p w14:paraId="5E4A4D6E"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61 </w:t>
      </w:r>
      <w:r w:rsidRPr="003C0498">
        <w:rPr>
          <w:rFonts w:ascii="Calibri" w:hAnsi="Calibri" w:cs="Calibri"/>
          <w:noProof/>
          <w:sz w:val="16"/>
          <w:szCs w:val="24"/>
        </w:rPr>
        <w:tab/>
        <w:t xml:space="preserve">6 and Joanne Hilden 2 Jennifer L. Salstrom MD PhD 1 2 3* Rebecca L. Coughlin MEd 1 4 Kathleen Pool MSN CPNP 1 Melissa Bojan BSN 1 Camille Mediavilla BSN 1 William Schwent MBA 4 Michael Rannie MS 5 Dawn Law MBA 5 Michelle Finnerty BS. Prognosis in children with rhabdomyosarcoma: A report of the intergroup rhabdomyosarcoma studies I and II. </w:t>
      </w:r>
      <w:r w:rsidRPr="003C0498">
        <w:rPr>
          <w:rFonts w:ascii="Calibri" w:hAnsi="Calibri" w:cs="Calibri"/>
          <w:i/>
          <w:iCs/>
          <w:noProof/>
          <w:sz w:val="16"/>
          <w:szCs w:val="24"/>
        </w:rPr>
        <w:t>J Clin Oncol</w:t>
      </w:r>
      <w:r w:rsidRPr="003C0498">
        <w:rPr>
          <w:rFonts w:ascii="Calibri" w:hAnsi="Calibri" w:cs="Calibri"/>
          <w:noProof/>
          <w:sz w:val="16"/>
          <w:szCs w:val="24"/>
        </w:rPr>
        <w:t xml:space="preserve"> 1990;</w:t>
      </w:r>
      <w:r w:rsidRPr="003C0498">
        <w:rPr>
          <w:rFonts w:ascii="Calibri" w:hAnsi="Calibri" w:cs="Calibri"/>
          <w:b/>
          <w:bCs/>
          <w:noProof/>
          <w:sz w:val="16"/>
          <w:szCs w:val="24"/>
        </w:rPr>
        <w:t>8</w:t>
      </w:r>
      <w:r w:rsidRPr="003C0498">
        <w:rPr>
          <w:rFonts w:ascii="Calibri" w:hAnsi="Calibri" w:cs="Calibri"/>
          <w:noProof/>
          <w:sz w:val="16"/>
          <w:szCs w:val="24"/>
        </w:rPr>
        <w:t>:443–52.</w:t>
      </w:r>
    </w:p>
    <w:p w14:paraId="63896FBB"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62 </w:t>
      </w:r>
      <w:r w:rsidRPr="003C0498">
        <w:rPr>
          <w:rFonts w:ascii="Calibri" w:hAnsi="Calibri" w:cs="Calibri"/>
          <w:noProof/>
          <w:sz w:val="16"/>
          <w:szCs w:val="24"/>
        </w:rPr>
        <w:tab/>
        <w:t xml:space="preserve">Samji K, Kielar A, Connolly M, </w:t>
      </w:r>
      <w:r w:rsidRPr="003C0498">
        <w:rPr>
          <w:rFonts w:ascii="Calibri" w:hAnsi="Calibri" w:cs="Calibri"/>
          <w:i/>
          <w:iCs/>
          <w:noProof/>
          <w:sz w:val="16"/>
          <w:szCs w:val="24"/>
        </w:rPr>
        <w:t>et al.</w:t>
      </w:r>
      <w:r w:rsidRPr="003C0498">
        <w:rPr>
          <w:rFonts w:ascii="Calibri" w:hAnsi="Calibri" w:cs="Calibri"/>
          <w:noProof/>
          <w:sz w:val="16"/>
          <w:szCs w:val="24"/>
        </w:rPr>
        <w:t xml:space="preserve"> Quality Improvement Initiative to Increase Consistent Use of Intraluminal Contrast in the Identification of Anastomotic Bowel Leaks on Computed Tomography, Using the Plan-Do-Study-Act Service Approach. </w:t>
      </w:r>
      <w:r w:rsidRPr="003C0498">
        <w:rPr>
          <w:rFonts w:ascii="Calibri" w:hAnsi="Calibri" w:cs="Calibri"/>
          <w:i/>
          <w:iCs/>
          <w:noProof/>
          <w:sz w:val="16"/>
          <w:szCs w:val="24"/>
        </w:rPr>
        <w:t>Can Assoc Radiol J</w:t>
      </w:r>
      <w:r w:rsidRPr="003C0498">
        <w:rPr>
          <w:rFonts w:ascii="Calibri" w:hAnsi="Calibri" w:cs="Calibri"/>
          <w:noProof/>
          <w:sz w:val="16"/>
          <w:szCs w:val="24"/>
        </w:rPr>
        <w:t xml:space="preserve"> 2017;</w:t>
      </w:r>
      <w:r w:rsidRPr="003C0498">
        <w:rPr>
          <w:rFonts w:ascii="Calibri" w:hAnsi="Calibri" w:cs="Calibri"/>
          <w:b/>
          <w:bCs/>
          <w:noProof/>
          <w:sz w:val="16"/>
          <w:szCs w:val="24"/>
        </w:rPr>
        <w:t>68</w:t>
      </w:r>
      <w:r w:rsidRPr="003C0498">
        <w:rPr>
          <w:rFonts w:ascii="Calibri" w:hAnsi="Calibri" w:cs="Calibri"/>
          <w:noProof/>
          <w:sz w:val="16"/>
          <w:szCs w:val="24"/>
        </w:rPr>
        <w:t>:4–9.</w:t>
      </w:r>
    </w:p>
    <w:p w14:paraId="2A903758"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63 </w:t>
      </w:r>
      <w:r w:rsidRPr="003C0498">
        <w:rPr>
          <w:rFonts w:ascii="Calibri" w:hAnsi="Calibri" w:cs="Calibri"/>
          <w:noProof/>
          <w:sz w:val="16"/>
          <w:szCs w:val="24"/>
        </w:rPr>
        <w:tab/>
        <w:t xml:space="preserve">Savarino JR, Kaplan JL, Winter HS, </w:t>
      </w:r>
      <w:r w:rsidRPr="003C0498">
        <w:rPr>
          <w:rFonts w:ascii="Calibri" w:hAnsi="Calibri" w:cs="Calibri"/>
          <w:i/>
          <w:iCs/>
          <w:noProof/>
          <w:sz w:val="16"/>
          <w:szCs w:val="24"/>
        </w:rPr>
        <w:t>et al.</w:t>
      </w:r>
      <w:r w:rsidRPr="003C0498">
        <w:rPr>
          <w:rFonts w:ascii="Calibri" w:hAnsi="Calibri" w:cs="Calibri"/>
          <w:noProof/>
          <w:sz w:val="16"/>
          <w:szCs w:val="24"/>
        </w:rPr>
        <w:t xml:space="preserve"> Improving Clinical Remission Rates in Pediatric Inflammatory Bowel Disease with Previsit Planning. </w:t>
      </w:r>
      <w:r w:rsidRPr="003C0498">
        <w:rPr>
          <w:rFonts w:ascii="Calibri" w:hAnsi="Calibri" w:cs="Calibri"/>
          <w:i/>
          <w:iCs/>
          <w:noProof/>
          <w:sz w:val="16"/>
          <w:szCs w:val="24"/>
        </w:rPr>
        <w:t>BMJ Qual Improv Reports</w:t>
      </w:r>
      <w:r w:rsidRPr="003C0498">
        <w:rPr>
          <w:rFonts w:ascii="Calibri" w:hAnsi="Calibri" w:cs="Calibri"/>
          <w:noProof/>
          <w:sz w:val="16"/>
          <w:szCs w:val="24"/>
        </w:rPr>
        <w:t xml:space="preserve"> 2016;</w:t>
      </w:r>
      <w:r w:rsidRPr="003C0498">
        <w:rPr>
          <w:rFonts w:ascii="Calibri" w:hAnsi="Calibri" w:cs="Calibri"/>
          <w:b/>
          <w:bCs/>
          <w:noProof/>
          <w:sz w:val="16"/>
          <w:szCs w:val="24"/>
        </w:rPr>
        <w:t>5</w:t>
      </w:r>
      <w:r w:rsidRPr="003C0498">
        <w:rPr>
          <w:rFonts w:ascii="Calibri" w:hAnsi="Calibri" w:cs="Calibri"/>
          <w:noProof/>
          <w:sz w:val="16"/>
          <w:szCs w:val="24"/>
        </w:rPr>
        <w:t>:u211063.w4361.</w:t>
      </w:r>
    </w:p>
    <w:p w14:paraId="79A7FFB6"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64 </w:t>
      </w:r>
      <w:r w:rsidRPr="003C0498">
        <w:rPr>
          <w:rFonts w:ascii="Calibri" w:hAnsi="Calibri" w:cs="Calibri"/>
          <w:noProof/>
          <w:sz w:val="16"/>
          <w:szCs w:val="24"/>
        </w:rPr>
        <w:tab/>
        <w:t xml:space="preserve">Singh I, Fletcher R, Scanlon L, </w:t>
      </w:r>
      <w:r w:rsidRPr="003C0498">
        <w:rPr>
          <w:rFonts w:ascii="Calibri" w:hAnsi="Calibri" w:cs="Calibri"/>
          <w:i/>
          <w:iCs/>
          <w:noProof/>
          <w:sz w:val="16"/>
          <w:szCs w:val="24"/>
        </w:rPr>
        <w:t>et al.</w:t>
      </w:r>
      <w:r w:rsidRPr="003C0498">
        <w:rPr>
          <w:rFonts w:ascii="Calibri" w:hAnsi="Calibri" w:cs="Calibri"/>
          <w:noProof/>
          <w:sz w:val="16"/>
          <w:szCs w:val="24"/>
        </w:rPr>
        <w:t xml:space="preserve"> A quality improvement initiative on the management of osteoporosis in older people with Parkinsonism. </w:t>
      </w:r>
      <w:r w:rsidRPr="003C0498">
        <w:rPr>
          <w:rFonts w:ascii="Calibri" w:hAnsi="Calibri" w:cs="Calibri"/>
          <w:i/>
          <w:iCs/>
          <w:noProof/>
          <w:sz w:val="16"/>
          <w:szCs w:val="24"/>
        </w:rPr>
        <w:t>BMJ Qual Improv Reports</w:t>
      </w:r>
      <w:r w:rsidRPr="003C0498">
        <w:rPr>
          <w:rFonts w:ascii="Calibri" w:hAnsi="Calibri" w:cs="Calibri"/>
          <w:noProof/>
          <w:sz w:val="16"/>
          <w:szCs w:val="24"/>
        </w:rPr>
        <w:t xml:space="preserve"> 2016;</w:t>
      </w:r>
      <w:r w:rsidRPr="003C0498">
        <w:rPr>
          <w:rFonts w:ascii="Calibri" w:hAnsi="Calibri" w:cs="Calibri"/>
          <w:b/>
          <w:bCs/>
          <w:noProof/>
          <w:sz w:val="16"/>
          <w:szCs w:val="24"/>
        </w:rPr>
        <w:t>5</w:t>
      </w:r>
      <w:r w:rsidRPr="003C0498">
        <w:rPr>
          <w:rFonts w:ascii="Calibri" w:hAnsi="Calibri" w:cs="Calibri"/>
          <w:noProof/>
          <w:sz w:val="16"/>
          <w:szCs w:val="24"/>
        </w:rPr>
        <w:t>:u210921.w5756.</w:t>
      </w:r>
    </w:p>
    <w:p w14:paraId="3D09D3AA"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65 </w:t>
      </w:r>
      <w:r w:rsidRPr="003C0498">
        <w:rPr>
          <w:rFonts w:ascii="Calibri" w:hAnsi="Calibri" w:cs="Calibri"/>
          <w:noProof/>
          <w:sz w:val="16"/>
          <w:szCs w:val="24"/>
        </w:rPr>
        <w:tab/>
        <w:t xml:space="preserve">Sudhanthar S, Turner J, Thakur K, </w:t>
      </w:r>
      <w:r w:rsidRPr="003C0498">
        <w:rPr>
          <w:rFonts w:ascii="Calibri" w:hAnsi="Calibri" w:cs="Calibri"/>
          <w:i/>
          <w:iCs/>
          <w:noProof/>
          <w:sz w:val="16"/>
          <w:szCs w:val="24"/>
        </w:rPr>
        <w:t>et al.</w:t>
      </w:r>
      <w:r w:rsidRPr="003C0498">
        <w:rPr>
          <w:rFonts w:ascii="Calibri" w:hAnsi="Calibri" w:cs="Calibri"/>
          <w:noProof/>
          <w:sz w:val="16"/>
          <w:szCs w:val="24"/>
        </w:rPr>
        <w:t xml:space="preserve"> Improving viable low cost generic medication prescription rate in primary care pediatric practice. </w:t>
      </w:r>
      <w:r w:rsidRPr="003C0498">
        <w:rPr>
          <w:rFonts w:ascii="Calibri" w:hAnsi="Calibri" w:cs="Calibri"/>
          <w:i/>
          <w:iCs/>
          <w:noProof/>
          <w:sz w:val="16"/>
          <w:szCs w:val="24"/>
        </w:rPr>
        <w:t>BMJ Qual Improv reports</w:t>
      </w:r>
      <w:r w:rsidRPr="003C0498">
        <w:rPr>
          <w:rFonts w:ascii="Calibri" w:hAnsi="Calibri" w:cs="Calibri"/>
          <w:noProof/>
          <w:sz w:val="16"/>
          <w:szCs w:val="24"/>
        </w:rPr>
        <w:t xml:space="preserve"> 2015;</w:t>
      </w:r>
      <w:r w:rsidRPr="003C0498">
        <w:rPr>
          <w:rFonts w:ascii="Calibri" w:hAnsi="Calibri" w:cs="Calibri"/>
          <w:b/>
          <w:bCs/>
          <w:noProof/>
          <w:sz w:val="16"/>
          <w:szCs w:val="24"/>
        </w:rPr>
        <w:t>4</w:t>
      </w:r>
      <w:r w:rsidRPr="003C0498">
        <w:rPr>
          <w:rFonts w:ascii="Calibri" w:hAnsi="Calibri" w:cs="Calibri"/>
          <w:noProof/>
          <w:sz w:val="16"/>
          <w:szCs w:val="24"/>
        </w:rPr>
        <w:t>:3–5.</w:t>
      </w:r>
    </w:p>
    <w:p w14:paraId="3D0A05FD"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66 </w:t>
      </w:r>
      <w:r w:rsidRPr="003C0498">
        <w:rPr>
          <w:rFonts w:ascii="Calibri" w:hAnsi="Calibri" w:cs="Calibri"/>
          <w:noProof/>
          <w:sz w:val="16"/>
          <w:szCs w:val="24"/>
        </w:rPr>
        <w:tab/>
        <w:t xml:space="preserve">Sudhanthar S, Thakur K, Sigal Y, </w:t>
      </w:r>
      <w:r w:rsidRPr="003C0498">
        <w:rPr>
          <w:rFonts w:ascii="Calibri" w:hAnsi="Calibri" w:cs="Calibri"/>
          <w:i/>
          <w:iCs/>
          <w:noProof/>
          <w:sz w:val="16"/>
          <w:szCs w:val="24"/>
        </w:rPr>
        <w:t>et al.</w:t>
      </w:r>
      <w:r w:rsidRPr="003C0498">
        <w:rPr>
          <w:rFonts w:ascii="Calibri" w:hAnsi="Calibri" w:cs="Calibri"/>
          <w:noProof/>
          <w:sz w:val="16"/>
          <w:szCs w:val="24"/>
        </w:rPr>
        <w:t xml:space="preserve"> Improving validated depression screen among adolescent population in primary care practice using electronic health records (EHR). </w:t>
      </w:r>
      <w:r w:rsidRPr="003C0498">
        <w:rPr>
          <w:rFonts w:ascii="Calibri" w:hAnsi="Calibri" w:cs="Calibri"/>
          <w:i/>
          <w:iCs/>
          <w:noProof/>
          <w:sz w:val="16"/>
          <w:szCs w:val="24"/>
        </w:rPr>
        <w:t>BMJ Qual Improv Reports</w:t>
      </w:r>
      <w:r w:rsidRPr="003C0498">
        <w:rPr>
          <w:rFonts w:ascii="Calibri" w:hAnsi="Calibri" w:cs="Calibri"/>
          <w:noProof/>
          <w:sz w:val="16"/>
          <w:szCs w:val="24"/>
        </w:rPr>
        <w:t xml:space="preserve"> 2015;</w:t>
      </w:r>
      <w:r w:rsidRPr="003C0498">
        <w:rPr>
          <w:rFonts w:ascii="Calibri" w:hAnsi="Calibri" w:cs="Calibri"/>
          <w:b/>
          <w:bCs/>
          <w:noProof/>
          <w:sz w:val="16"/>
          <w:szCs w:val="24"/>
        </w:rPr>
        <w:t>4</w:t>
      </w:r>
      <w:r w:rsidRPr="003C0498">
        <w:rPr>
          <w:rFonts w:ascii="Calibri" w:hAnsi="Calibri" w:cs="Calibri"/>
          <w:noProof/>
          <w:sz w:val="16"/>
          <w:szCs w:val="24"/>
        </w:rPr>
        <w:t>:u209517.w3913.</w:t>
      </w:r>
    </w:p>
    <w:p w14:paraId="44947D99"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67 </w:t>
      </w:r>
      <w:r w:rsidRPr="003C0498">
        <w:rPr>
          <w:rFonts w:ascii="Calibri" w:hAnsi="Calibri" w:cs="Calibri"/>
          <w:noProof/>
          <w:sz w:val="16"/>
          <w:szCs w:val="24"/>
        </w:rPr>
        <w:tab/>
        <w:t xml:space="preserve">Tan RYC, Met-Domestici M, Zhou K, </w:t>
      </w:r>
      <w:r w:rsidRPr="003C0498">
        <w:rPr>
          <w:rFonts w:ascii="Calibri" w:hAnsi="Calibri" w:cs="Calibri"/>
          <w:i/>
          <w:iCs/>
          <w:noProof/>
          <w:sz w:val="16"/>
          <w:szCs w:val="24"/>
        </w:rPr>
        <w:t>et al.</w:t>
      </w:r>
      <w:r w:rsidRPr="003C0498">
        <w:rPr>
          <w:rFonts w:ascii="Calibri" w:hAnsi="Calibri" w:cs="Calibri"/>
          <w:noProof/>
          <w:sz w:val="16"/>
          <w:szCs w:val="24"/>
        </w:rPr>
        <w:t xml:space="preserve"> Using Quality Improvement Methods and Time-Driven Activity-Based Costing to Improve Value-Based Cancer Care Delivery at a Cancer Genetics Clinic. </w:t>
      </w:r>
      <w:r w:rsidRPr="003C0498">
        <w:rPr>
          <w:rFonts w:ascii="Calibri" w:hAnsi="Calibri" w:cs="Calibri"/>
          <w:i/>
          <w:iCs/>
          <w:noProof/>
          <w:sz w:val="16"/>
          <w:szCs w:val="24"/>
        </w:rPr>
        <w:t>J Oncol Pract</w:t>
      </w:r>
      <w:r w:rsidRPr="003C0498">
        <w:rPr>
          <w:rFonts w:ascii="Calibri" w:hAnsi="Calibri" w:cs="Calibri"/>
          <w:noProof/>
          <w:sz w:val="16"/>
          <w:szCs w:val="24"/>
        </w:rPr>
        <w:t xml:space="preserve"> 2016;</w:t>
      </w:r>
      <w:r w:rsidRPr="003C0498">
        <w:rPr>
          <w:rFonts w:ascii="Calibri" w:hAnsi="Calibri" w:cs="Calibri"/>
          <w:b/>
          <w:bCs/>
          <w:noProof/>
          <w:sz w:val="16"/>
          <w:szCs w:val="24"/>
        </w:rPr>
        <w:t>12</w:t>
      </w:r>
      <w:r w:rsidRPr="003C0498">
        <w:rPr>
          <w:rFonts w:ascii="Calibri" w:hAnsi="Calibri" w:cs="Calibri"/>
          <w:noProof/>
          <w:sz w:val="16"/>
          <w:szCs w:val="24"/>
        </w:rPr>
        <w:t>:e320–31.</w:t>
      </w:r>
    </w:p>
    <w:p w14:paraId="0FA32363" w14:textId="77777777" w:rsidR="003C0498" w:rsidRPr="00DC7CFD" w:rsidRDefault="003C0498" w:rsidP="003C0498">
      <w:pPr>
        <w:widowControl w:val="0"/>
        <w:autoSpaceDE w:val="0"/>
        <w:autoSpaceDN w:val="0"/>
        <w:adjustRightInd w:val="0"/>
        <w:spacing w:line="240" w:lineRule="auto"/>
        <w:ind w:left="640" w:hanging="640"/>
        <w:rPr>
          <w:rFonts w:ascii="Calibri" w:hAnsi="Calibri" w:cs="Calibri"/>
          <w:noProof/>
          <w:sz w:val="16"/>
          <w:szCs w:val="24"/>
          <w:lang w:val="da-DK"/>
        </w:rPr>
      </w:pPr>
      <w:r w:rsidRPr="003C0498">
        <w:rPr>
          <w:rFonts w:ascii="Calibri" w:hAnsi="Calibri" w:cs="Calibri"/>
          <w:noProof/>
          <w:sz w:val="16"/>
          <w:szCs w:val="24"/>
        </w:rPr>
        <w:t xml:space="preserve">68 </w:t>
      </w:r>
      <w:r w:rsidRPr="003C0498">
        <w:rPr>
          <w:rFonts w:ascii="Calibri" w:hAnsi="Calibri" w:cs="Calibri"/>
          <w:noProof/>
          <w:sz w:val="16"/>
          <w:szCs w:val="24"/>
        </w:rPr>
        <w:tab/>
        <w:t xml:space="preserve">Thomassen O, Mann C, Mbwana JS, </w:t>
      </w:r>
      <w:r w:rsidRPr="003C0498">
        <w:rPr>
          <w:rFonts w:ascii="Calibri" w:hAnsi="Calibri" w:cs="Calibri"/>
          <w:i/>
          <w:iCs/>
          <w:noProof/>
          <w:sz w:val="16"/>
          <w:szCs w:val="24"/>
        </w:rPr>
        <w:t>et al.</w:t>
      </w:r>
      <w:r w:rsidRPr="003C0498">
        <w:rPr>
          <w:rFonts w:ascii="Calibri" w:hAnsi="Calibri" w:cs="Calibri"/>
          <w:noProof/>
          <w:sz w:val="16"/>
          <w:szCs w:val="24"/>
        </w:rPr>
        <w:t xml:space="preserve"> Emergency medicine in Zanzibar: the effect of system changes in the emergency department. </w:t>
      </w:r>
      <w:r w:rsidRPr="00DC7CFD">
        <w:rPr>
          <w:rFonts w:ascii="Calibri" w:hAnsi="Calibri" w:cs="Calibri"/>
          <w:i/>
          <w:iCs/>
          <w:noProof/>
          <w:sz w:val="16"/>
          <w:szCs w:val="24"/>
          <w:lang w:val="da-DK"/>
        </w:rPr>
        <w:t>Int J Emerg Med</w:t>
      </w:r>
      <w:r w:rsidRPr="00DC7CFD">
        <w:rPr>
          <w:rFonts w:ascii="Calibri" w:hAnsi="Calibri" w:cs="Calibri"/>
          <w:noProof/>
          <w:sz w:val="16"/>
          <w:szCs w:val="24"/>
          <w:lang w:val="da-DK"/>
        </w:rPr>
        <w:t xml:space="preserve"> 2015;</w:t>
      </w:r>
      <w:r w:rsidRPr="00DC7CFD">
        <w:rPr>
          <w:rFonts w:ascii="Calibri" w:hAnsi="Calibri" w:cs="Calibri"/>
          <w:b/>
          <w:bCs/>
          <w:noProof/>
          <w:sz w:val="16"/>
          <w:szCs w:val="24"/>
          <w:lang w:val="da-DK"/>
        </w:rPr>
        <w:t>8</w:t>
      </w:r>
      <w:r w:rsidRPr="00DC7CFD">
        <w:rPr>
          <w:rFonts w:ascii="Calibri" w:hAnsi="Calibri" w:cs="Calibri"/>
          <w:noProof/>
          <w:sz w:val="16"/>
          <w:szCs w:val="24"/>
          <w:lang w:val="da-DK"/>
        </w:rPr>
        <w:t>:22.</w:t>
      </w:r>
    </w:p>
    <w:p w14:paraId="0091476A"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DC7CFD">
        <w:rPr>
          <w:rFonts w:ascii="Calibri" w:hAnsi="Calibri" w:cs="Calibri"/>
          <w:noProof/>
          <w:sz w:val="16"/>
          <w:szCs w:val="24"/>
          <w:lang w:val="da-DK"/>
        </w:rPr>
        <w:t xml:space="preserve">69 </w:t>
      </w:r>
      <w:r w:rsidRPr="00DC7CFD">
        <w:rPr>
          <w:rFonts w:ascii="Calibri" w:hAnsi="Calibri" w:cs="Calibri"/>
          <w:noProof/>
          <w:sz w:val="16"/>
          <w:szCs w:val="24"/>
          <w:lang w:val="da-DK"/>
        </w:rPr>
        <w:tab/>
        <w:t xml:space="preserve">Tripathi S, Arteaga G, Rohlik G, </w:t>
      </w:r>
      <w:r w:rsidRPr="00DC7CFD">
        <w:rPr>
          <w:rFonts w:ascii="Calibri" w:hAnsi="Calibri" w:cs="Calibri"/>
          <w:i/>
          <w:iCs/>
          <w:noProof/>
          <w:sz w:val="16"/>
          <w:szCs w:val="24"/>
          <w:lang w:val="da-DK"/>
        </w:rPr>
        <w:t>et al.</w:t>
      </w:r>
      <w:r w:rsidRPr="00DC7CFD">
        <w:rPr>
          <w:rFonts w:ascii="Calibri" w:hAnsi="Calibri" w:cs="Calibri"/>
          <w:noProof/>
          <w:sz w:val="16"/>
          <w:szCs w:val="24"/>
          <w:lang w:val="da-DK"/>
        </w:rPr>
        <w:t xml:space="preserve"> </w:t>
      </w:r>
      <w:r w:rsidRPr="003C0498">
        <w:rPr>
          <w:rFonts w:ascii="Calibri" w:hAnsi="Calibri" w:cs="Calibri"/>
          <w:noProof/>
          <w:sz w:val="16"/>
          <w:szCs w:val="24"/>
        </w:rPr>
        <w:t xml:space="preserve">Implementation of Patient-Centered Bedside Rounds in the Pediatric Intensive Care Unit. </w:t>
      </w:r>
      <w:r w:rsidRPr="003C0498">
        <w:rPr>
          <w:rFonts w:ascii="Calibri" w:hAnsi="Calibri" w:cs="Calibri"/>
          <w:i/>
          <w:iCs/>
          <w:noProof/>
          <w:sz w:val="16"/>
          <w:szCs w:val="24"/>
        </w:rPr>
        <w:t>J Nurs Care Qual</w:t>
      </w:r>
      <w:r w:rsidRPr="003C0498">
        <w:rPr>
          <w:rFonts w:ascii="Calibri" w:hAnsi="Calibri" w:cs="Calibri"/>
          <w:noProof/>
          <w:sz w:val="16"/>
          <w:szCs w:val="24"/>
        </w:rPr>
        <w:t xml:space="preserve"> 2015;</w:t>
      </w:r>
      <w:r w:rsidRPr="003C0498">
        <w:rPr>
          <w:rFonts w:ascii="Calibri" w:hAnsi="Calibri" w:cs="Calibri"/>
          <w:b/>
          <w:bCs/>
          <w:noProof/>
          <w:sz w:val="16"/>
          <w:szCs w:val="24"/>
        </w:rPr>
        <w:t>30</w:t>
      </w:r>
      <w:r w:rsidRPr="003C0498">
        <w:rPr>
          <w:rFonts w:ascii="Calibri" w:hAnsi="Calibri" w:cs="Calibri"/>
          <w:noProof/>
          <w:sz w:val="16"/>
          <w:szCs w:val="24"/>
        </w:rPr>
        <w:t>:160–6.</w:t>
      </w:r>
    </w:p>
    <w:p w14:paraId="606D54B2"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70 </w:t>
      </w:r>
      <w:r w:rsidRPr="003C0498">
        <w:rPr>
          <w:rFonts w:ascii="Calibri" w:hAnsi="Calibri" w:cs="Calibri"/>
          <w:noProof/>
          <w:sz w:val="16"/>
          <w:szCs w:val="24"/>
        </w:rPr>
        <w:tab/>
        <w:t xml:space="preserve">Walton H, Munro W. Improving the quality of handover by addressing handover culture and introducing a new, multi-disciplinary, team-based handover meeting. </w:t>
      </w:r>
      <w:r w:rsidRPr="003C0498">
        <w:rPr>
          <w:rFonts w:ascii="Calibri" w:hAnsi="Calibri" w:cs="Calibri"/>
          <w:i/>
          <w:iCs/>
          <w:noProof/>
          <w:sz w:val="16"/>
          <w:szCs w:val="24"/>
        </w:rPr>
        <w:t>BMJ Qual Improv Reports</w:t>
      </w:r>
      <w:r w:rsidRPr="003C0498">
        <w:rPr>
          <w:rFonts w:ascii="Calibri" w:hAnsi="Calibri" w:cs="Calibri"/>
          <w:noProof/>
          <w:sz w:val="16"/>
          <w:szCs w:val="24"/>
        </w:rPr>
        <w:t xml:space="preserve"> 2015;</w:t>
      </w:r>
      <w:r w:rsidRPr="003C0498">
        <w:rPr>
          <w:rFonts w:ascii="Calibri" w:hAnsi="Calibri" w:cs="Calibri"/>
          <w:b/>
          <w:bCs/>
          <w:noProof/>
          <w:sz w:val="16"/>
          <w:szCs w:val="24"/>
        </w:rPr>
        <w:t>4</w:t>
      </w:r>
      <w:r w:rsidRPr="003C0498">
        <w:rPr>
          <w:rFonts w:ascii="Calibri" w:hAnsi="Calibri" w:cs="Calibri"/>
          <w:noProof/>
          <w:sz w:val="16"/>
          <w:szCs w:val="24"/>
        </w:rPr>
        <w:t>:u206069.w2989.</w:t>
      </w:r>
    </w:p>
    <w:p w14:paraId="5D570A6E" w14:textId="77777777" w:rsidR="003C0498" w:rsidRPr="003C0498" w:rsidRDefault="003C0498" w:rsidP="003C0498">
      <w:pPr>
        <w:widowControl w:val="0"/>
        <w:autoSpaceDE w:val="0"/>
        <w:autoSpaceDN w:val="0"/>
        <w:adjustRightInd w:val="0"/>
        <w:spacing w:line="240" w:lineRule="auto"/>
        <w:ind w:left="640" w:hanging="640"/>
        <w:rPr>
          <w:rFonts w:ascii="Calibri" w:hAnsi="Calibri" w:cs="Calibri"/>
          <w:noProof/>
          <w:sz w:val="16"/>
          <w:szCs w:val="24"/>
        </w:rPr>
      </w:pPr>
      <w:r w:rsidRPr="003C0498">
        <w:rPr>
          <w:rFonts w:ascii="Calibri" w:hAnsi="Calibri" w:cs="Calibri"/>
          <w:noProof/>
          <w:sz w:val="16"/>
          <w:szCs w:val="24"/>
        </w:rPr>
        <w:t xml:space="preserve">71 </w:t>
      </w:r>
      <w:r w:rsidRPr="003C0498">
        <w:rPr>
          <w:rFonts w:ascii="Calibri" w:hAnsi="Calibri" w:cs="Calibri"/>
          <w:noProof/>
          <w:sz w:val="16"/>
          <w:szCs w:val="24"/>
        </w:rPr>
        <w:tab/>
        <w:t xml:space="preserve">Ward J, Spencer R, Soo E, </w:t>
      </w:r>
      <w:r w:rsidRPr="003C0498">
        <w:rPr>
          <w:rFonts w:ascii="Calibri" w:hAnsi="Calibri" w:cs="Calibri"/>
          <w:i/>
          <w:iCs/>
          <w:noProof/>
          <w:sz w:val="16"/>
          <w:szCs w:val="24"/>
        </w:rPr>
        <w:t>et al.</w:t>
      </w:r>
      <w:r w:rsidRPr="003C0498">
        <w:rPr>
          <w:rFonts w:ascii="Calibri" w:hAnsi="Calibri" w:cs="Calibri"/>
          <w:noProof/>
          <w:sz w:val="16"/>
          <w:szCs w:val="24"/>
        </w:rPr>
        <w:t xml:space="preserve"> Standardising the organisation of clinical equipment on surgical wards at North Bristol NHS Trust: a quality improvement initiative. </w:t>
      </w:r>
      <w:r w:rsidRPr="003C0498">
        <w:rPr>
          <w:rFonts w:ascii="Calibri" w:hAnsi="Calibri" w:cs="Calibri"/>
          <w:i/>
          <w:iCs/>
          <w:noProof/>
          <w:sz w:val="16"/>
          <w:szCs w:val="24"/>
        </w:rPr>
        <w:t>BMJ Qual Improv reports</w:t>
      </w:r>
      <w:r w:rsidRPr="003C0498">
        <w:rPr>
          <w:rFonts w:ascii="Calibri" w:hAnsi="Calibri" w:cs="Calibri"/>
          <w:noProof/>
          <w:sz w:val="16"/>
          <w:szCs w:val="24"/>
        </w:rPr>
        <w:t xml:space="preserve"> 2015;</w:t>
      </w:r>
      <w:r w:rsidRPr="003C0498">
        <w:rPr>
          <w:rFonts w:ascii="Calibri" w:hAnsi="Calibri" w:cs="Calibri"/>
          <w:b/>
          <w:bCs/>
          <w:noProof/>
          <w:sz w:val="16"/>
          <w:szCs w:val="24"/>
        </w:rPr>
        <w:t>4</w:t>
      </w:r>
      <w:r w:rsidRPr="003C0498">
        <w:rPr>
          <w:rFonts w:ascii="Calibri" w:hAnsi="Calibri" w:cs="Calibri"/>
          <w:noProof/>
          <w:sz w:val="16"/>
          <w:szCs w:val="24"/>
        </w:rPr>
        <w:t>:10.1136/bmjquality.u208308.w3441. eCollection 2015.</w:t>
      </w:r>
    </w:p>
    <w:p w14:paraId="052457F0" w14:textId="05D77C67" w:rsidR="00B2650F" w:rsidRPr="001F040C" w:rsidRDefault="003C0498" w:rsidP="00BF2F1F">
      <w:pPr>
        <w:widowControl w:val="0"/>
        <w:autoSpaceDE w:val="0"/>
        <w:autoSpaceDN w:val="0"/>
        <w:adjustRightInd w:val="0"/>
        <w:spacing w:line="240" w:lineRule="auto"/>
        <w:ind w:left="640" w:hanging="640"/>
        <w:rPr>
          <w:sz w:val="16"/>
          <w:szCs w:val="16"/>
        </w:rPr>
      </w:pPr>
      <w:r w:rsidRPr="003C0498">
        <w:rPr>
          <w:rFonts w:ascii="Calibri" w:hAnsi="Calibri" w:cs="Calibri"/>
          <w:noProof/>
          <w:sz w:val="16"/>
          <w:szCs w:val="24"/>
        </w:rPr>
        <w:t xml:space="preserve">72 </w:t>
      </w:r>
      <w:r w:rsidRPr="003C0498">
        <w:rPr>
          <w:rFonts w:ascii="Calibri" w:hAnsi="Calibri" w:cs="Calibri"/>
          <w:noProof/>
          <w:sz w:val="16"/>
          <w:szCs w:val="24"/>
        </w:rPr>
        <w:tab/>
        <w:t xml:space="preserve">Wiemann CM, Hergenroeder AC, Bartley KA, </w:t>
      </w:r>
      <w:r w:rsidRPr="003C0498">
        <w:rPr>
          <w:rFonts w:ascii="Calibri" w:hAnsi="Calibri" w:cs="Calibri"/>
          <w:i/>
          <w:iCs/>
          <w:noProof/>
          <w:sz w:val="16"/>
          <w:szCs w:val="24"/>
        </w:rPr>
        <w:t>et al.</w:t>
      </w:r>
      <w:r w:rsidRPr="003C0498">
        <w:rPr>
          <w:rFonts w:ascii="Calibri" w:hAnsi="Calibri" w:cs="Calibri"/>
          <w:noProof/>
          <w:sz w:val="16"/>
          <w:szCs w:val="24"/>
        </w:rPr>
        <w:t xml:space="preserve"> Integrating an EMR-based Transition Planning Tool for CYSHCN at a Children’s Hospital: A Quality Improvement Project to Increase Provider Use and Satisfaction. </w:t>
      </w:r>
      <w:r w:rsidRPr="003C0498">
        <w:rPr>
          <w:rFonts w:ascii="Calibri" w:hAnsi="Calibri" w:cs="Calibri"/>
          <w:i/>
          <w:iCs/>
          <w:noProof/>
          <w:sz w:val="16"/>
          <w:szCs w:val="24"/>
        </w:rPr>
        <w:t>J Pediatr Nurs</w:t>
      </w:r>
      <w:r w:rsidRPr="003C0498">
        <w:rPr>
          <w:rFonts w:ascii="Calibri" w:hAnsi="Calibri" w:cs="Calibri"/>
          <w:noProof/>
          <w:sz w:val="16"/>
          <w:szCs w:val="24"/>
        </w:rPr>
        <w:t xml:space="preserve"> 2015;</w:t>
      </w:r>
      <w:r w:rsidRPr="003C0498">
        <w:rPr>
          <w:rFonts w:ascii="Calibri" w:hAnsi="Calibri" w:cs="Calibri"/>
          <w:b/>
          <w:bCs/>
          <w:noProof/>
          <w:sz w:val="16"/>
          <w:szCs w:val="24"/>
        </w:rPr>
        <w:t>30</w:t>
      </w:r>
      <w:r w:rsidRPr="003C0498">
        <w:rPr>
          <w:rFonts w:ascii="Calibri" w:hAnsi="Calibri" w:cs="Calibri"/>
          <w:noProof/>
          <w:sz w:val="16"/>
          <w:szCs w:val="24"/>
        </w:rPr>
        <w:t>:776–87.</w:t>
      </w:r>
      <w:r w:rsidR="00B2650F" w:rsidRPr="001F040C">
        <w:rPr>
          <w:sz w:val="16"/>
          <w:szCs w:val="16"/>
        </w:rPr>
        <w:fldChar w:fldCharType="end"/>
      </w:r>
    </w:p>
    <w:sectPr w:rsidR="00B2650F" w:rsidRPr="001F040C" w:rsidSect="005838CC">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TE549D0B0t00">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A17E04"/>
    <w:multiLevelType w:val="hybridMultilevel"/>
    <w:tmpl w:val="730E7402"/>
    <w:lvl w:ilvl="0" w:tplc="8D30F234">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707808"/>
    <w:rsid w:val="00000D5F"/>
    <w:rsid w:val="000040EA"/>
    <w:rsid w:val="0000647C"/>
    <w:rsid w:val="0002325B"/>
    <w:rsid w:val="00030662"/>
    <w:rsid w:val="000606AB"/>
    <w:rsid w:val="000A379F"/>
    <w:rsid w:val="00106361"/>
    <w:rsid w:val="001154BF"/>
    <w:rsid w:val="00145BA0"/>
    <w:rsid w:val="00177B8C"/>
    <w:rsid w:val="001B212F"/>
    <w:rsid w:val="001B306C"/>
    <w:rsid w:val="001F040C"/>
    <w:rsid w:val="002118F0"/>
    <w:rsid w:val="00212120"/>
    <w:rsid w:val="00240010"/>
    <w:rsid w:val="002A6961"/>
    <w:rsid w:val="0032023F"/>
    <w:rsid w:val="003359AC"/>
    <w:rsid w:val="0034753E"/>
    <w:rsid w:val="00365011"/>
    <w:rsid w:val="003B00F4"/>
    <w:rsid w:val="003C0498"/>
    <w:rsid w:val="003F0AC2"/>
    <w:rsid w:val="00422D00"/>
    <w:rsid w:val="00441CFB"/>
    <w:rsid w:val="00476EDE"/>
    <w:rsid w:val="004B5A08"/>
    <w:rsid w:val="004B66F4"/>
    <w:rsid w:val="004F3749"/>
    <w:rsid w:val="00502233"/>
    <w:rsid w:val="00534104"/>
    <w:rsid w:val="005505EF"/>
    <w:rsid w:val="0056067F"/>
    <w:rsid w:val="0056473A"/>
    <w:rsid w:val="005838CC"/>
    <w:rsid w:val="00584CE3"/>
    <w:rsid w:val="005C54B3"/>
    <w:rsid w:val="00605098"/>
    <w:rsid w:val="00605218"/>
    <w:rsid w:val="00642A4E"/>
    <w:rsid w:val="00680333"/>
    <w:rsid w:val="0069522C"/>
    <w:rsid w:val="006F3558"/>
    <w:rsid w:val="0070218D"/>
    <w:rsid w:val="00707808"/>
    <w:rsid w:val="00714426"/>
    <w:rsid w:val="008007E5"/>
    <w:rsid w:val="00847AB3"/>
    <w:rsid w:val="0087558F"/>
    <w:rsid w:val="008A039D"/>
    <w:rsid w:val="008B3F4F"/>
    <w:rsid w:val="008D1B05"/>
    <w:rsid w:val="00905E37"/>
    <w:rsid w:val="009258A0"/>
    <w:rsid w:val="00932D76"/>
    <w:rsid w:val="00957CD5"/>
    <w:rsid w:val="00965A5E"/>
    <w:rsid w:val="00A234B0"/>
    <w:rsid w:val="00A4715D"/>
    <w:rsid w:val="00B2650F"/>
    <w:rsid w:val="00B5095C"/>
    <w:rsid w:val="00BB3472"/>
    <w:rsid w:val="00BF2F1F"/>
    <w:rsid w:val="00C34645"/>
    <w:rsid w:val="00C369C8"/>
    <w:rsid w:val="00CA0C7A"/>
    <w:rsid w:val="00CB0F65"/>
    <w:rsid w:val="00CC18A3"/>
    <w:rsid w:val="00CD7903"/>
    <w:rsid w:val="00D21163"/>
    <w:rsid w:val="00D22C94"/>
    <w:rsid w:val="00D244B0"/>
    <w:rsid w:val="00D51AE0"/>
    <w:rsid w:val="00D769F6"/>
    <w:rsid w:val="00D960C3"/>
    <w:rsid w:val="00DB305E"/>
    <w:rsid w:val="00DC7CFD"/>
    <w:rsid w:val="00DE6878"/>
    <w:rsid w:val="00DF2BBC"/>
    <w:rsid w:val="00E02EF4"/>
    <w:rsid w:val="00E324A4"/>
    <w:rsid w:val="00E42F62"/>
    <w:rsid w:val="00EB20A5"/>
    <w:rsid w:val="00F31042"/>
    <w:rsid w:val="00F6238E"/>
    <w:rsid w:val="00FC2C2B"/>
  </w:rsids>
  <m:mathPr>
    <m:mathFont m:val="Cambria Math"/>
    <m:brkBin m:val="before"/>
    <m:brkBinSub m:val="--"/>
    <m:smallFrac m:val="0"/>
    <m:dispDef/>
    <m:lMargin m:val="0"/>
    <m:rMargin m:val="0"/>
    <m:defJc m:val="centerGroup"/>
    <m:wrapIndent m:val="1440"/>
    <m:intLim m:val="subSup"/>
    <m:naryLim m:val="undOvr"/>
  </m:mathPr>
  <w:themeFontLang w:val="da-DK"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D9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098"/>
  </w:style>
  <w:style w:type="paragraph" w:styleId="Heading1">
    <w:name w:val="heading 1"/>
    <w:basedOn w:val="Normal"/>
    <w:next w:val="Normal"/>
    <w:link w:val="Heading1Char"/>
    <w:uiPriority w:val="9"/>
    <w:qFormat/>
    <w:rsid w:val="00B2650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A0C7A"/>
    <w:rPr>
      <w:sz w:val="16"/>
      <w:szCs w:val="16"/>
    </w:rPr>
  </w:style>
  <w:style w:type="paragraph" w:styleId="CommentText">
    <w:name w:val="annotation text"/>
    <w:basedOn w:val="Normal"/>
    <w:link w:val="CommentTextChar"/>
    <w:uiPriority w:val="99"/>
    <w:semiHidden/>
    <w:unhideWhenUsed/>
    <w:rsid w:val="00CA0C7A"/>
    <w:pPr>
      <w:spacing w:line="240" w:lineRule="auto"/>
    </w:pPr>
    <w:rPr>
      <w:sz w:val="20"/>
      <w:szCs w:val="20"/>
    </w:rPr>
  </w:style>
  <w:style w:type="character" w:customStyle="1" w:styleId="CommentTextChar">
    <w:name w:val="Comment Text Char"/>
    <w:basedOn w:val="DefaultParagraphFont"/>
    <w:link w:val="CommentText"/>
    <w:uiPriority w:val="99"/>
    <w:semiHidden/>
    <w:rsid w:val="00CA0C7A"/>
    <w:rPr>
      <w:sz w:val="20"/>
      <w:szCs w:val="20"/>
    </w:rPr>
  </w:style>
  <w:style w:type="paragraph" w:styleId="CommentSubject">
    <w:name w:val="annotation subject"/>
    <w:basedOn w:val="CommentText"/>
    <w:next w:val="CommentText"/>
    <w:link w:val="CommentSubjectChar"/>
    <w:uiPriority w:val="99"/>
    <w:semiHidden/>
    <w:unhideWhenUsed/>
    <w:rsid w:val="00CA0C7A"/>
    <w:rPr>
      <w:b/>
      <w:bCs/>
    </w:rPr>
  </w:style>
  <w:style w:type="character" w:customStyle="1" w:styleId="CommentSubjectChar">
    <w:name w:val="Comment Subject Char"/>
    <w:basedOn w:val="CommentTextChar"/>
    <w:link w:val="CommentSubject"/>
    <w:uiPriority w:val="99"/>
    <w:semiHidden/>
    <w:rsid w:val="00CA0C7A"/>
    <w:rPr>
      <w:b/>
      <w:bCs/>
      <w:sz w:val="20"/>
      <w:szCs w:val="20"/>
    </w:rPr>
  </w:style>
  <w:style w:type="paragraph" w:styleId="BalloonText">
    <w:name w:val="Balloon Text"/>
    <w:basedOn w:val="Normal"/>
    <w:link w:val="BalloonTextChar"/>
    <w:uiPriority w:val="99"/>
    <w:semiHidden/>
    <w:unhideWhenUsed/>
    <w:rsid w:val="00CA0C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0C7A"/>
    <w:rPr>
      <w:rFonts w:ascii="Segoe UI" w:hAnsi="Segoe UI" w:cs="Segoe UI"/>
      <w:sz w:val="18"/>
      <w:szCs w:val="18"/>
    </w:rPr>
  </w:style>
  <w:style w:type="table" w:styleId="TableGrid">
    <w:name w:val="Table Grid"/>
    <w:basedOn w:val="TableNormal"/>
    <w:uiPriority w:val="39"/>
    <w:rsid w:val="004B6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2650F"/>
    <w:rPr>
      <w:rFonts w:asciiTheme="majorHAnsi" w:eastAsiaTheme="majorEastAsia" w:hAnsiTheme="majorHAnsi" w:cstheme="majorBidi"/>
      <w:color w:val="2F5496" w:themeColor="accent1" w:themeShade="BF"/>
      <w:sz w:val="32"/>
      <w:szCs w:val="32"/>
    </w:rPr>
  </w:style>
  <w:style w:type="table" w:customStyle="1" w:styleId="PlainTable2">
    <w:name w:val="Plain Table 2"/>
    <w:basedOn w:val="TableNormal"/>
    <w:uiPriority w:val="42"/>
    <w:rsid w:val="008B3F4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642A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098"/>
  </w:style>
  <w:style w:type="paragraph" w:styleId="Heading1">
    <w:name w:val="heading 1"/>
    <w:basedOn w:val="Normal"/>
    <w:next w:val="Normal"/>
    <w:link w:val="Heading1Char"/>
    <w:uiPriority w:val="9"/>
    <w:qFormat/>
    <w:rsid w:val="00B2650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A0C7A"/>
    <w:rPr>
      <w:sz w:val="16"/>
      <w:szCs w:val="16"/>
    </w:rPr>
  </w:style>
  <w:style w:type="paragraph" w:styleId="CommentText">
    <w:name w:val="annotation text"/>
    <w:basedOn w:val="Normal"/>
    <w:link w:val="CommentTextChar"/>
    <w:uiPriority w:val="99"/>
    <w:semiHidden/>
    <w:unhideWhenUsed/>
    <w:rsid w:val="00CA0C7A"/>
    <w:pPr>
      <w:spacing w:line="240" w:lineRule="auto"/>
    </w:pPr>
    <w:rPr>
      <w:sz w:val="20"/>
      <w:szCs w:val="20"/>
    </w:rPr>
  </w:style>
  <w:style w:type="character" w:customStyle="1" w:styleId="CommentTextChar">
    <w:name w:val="Comment Text Char"/>
    <w:basedOn w:val="DefaultParagraphFont"/>
    <w:link w:val="CommentText"/>
    <w:uiPriority w:val="99"/>
    <w:semiHidden/>
    <w:rsid w:val="00CA0C7A"/>
    <w:rPr>
      <w:sz w:val="20"/>
      <w:szCs w:val="20"/>
    </w:rPr>
  </w:style>
  <w:style w:type="paragraph" w:styleId="CommentSubject">
    <w:name w:val="annotation subject"/>
    <w:basedOn w:val="CommentText"/>
    <w:next w:val="CommentText"/>
    <w:link w:val="CommentSubjectChar"/>
    <w:uiPriority w:val="99"/>
    <w:semiHidden/>
    <w:unhideWhenUsed/>
    <w:rsid w:val="00CA0C7A"/>
    <w:rPr>
      <w:b/>
      <w:bCs/>
    </w:rPr>
  </w:style>
  <w:style w:type="character" w:customStyle="1" w:styleId="CommentSubjectChar">
    <w:name w:val="Comment Subject Char"/>
    <w:basedOn w:val="CommentTextChar"/>
    <w:link w:val="CommentSubject"/>
    <w:uiPriority w:val="99"/>
    <w:semiHidden/>
    <w:rsid w:val="00CA0C7A"/>
    <w:rPr>
      <w:b/>
      <w:bCs/>
      <w:sz w:val="20"/>
      <w:szCs w:val="20"/>
    </w:rPr>
  </w:style>
  <w:style w:type="paragraph" w:styleId="BalloonText">
    <w:name w:val="Balloon Text"/>
    <w:basedOn w:val="Normal"/>
    <w:link w:val="BalloonTextChar"/>
    <w:uiPriority w:val="99"/>
    <w:semiHidden/>
    <w:unhideWhenUsed/>
    <w:rsid w:val="00CA0C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0C7A"/>
    <w:rPr>
      <w:rFonts w:ascii="Segoe UI" w:hAnsi="Segoe UI" w:cs="Segoe UI"/>
      <w:sz w:val="18"/>
      <w:szCs w:val="18"/>
    </w:rPr>
  </w:style>
  <w:style w:type="table" w:styleId="TableGrid">
    <w:name w:val="Table Grid"/>
    <w:basedOn w:val="TableNormal"/>
    <w:uiPriority w:val="39"/>
    <w:rsid w:val="004B6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2650F"/>
    <w:rPr>
      <w:rFonts w:asciiTheme="majorHAnsi" w:eastAsiaTheme="majorEastAsia" w:hAnsiTheme="majorHAnsi" w:cstheme="majorBidi"/>
      <w:color w:val="2F5496" w:themeColor="accent1" w:themeShade="BF"/>
      <w:sz w:val="32"/>
      <w:szCs w:val="32"/>
    </w:rPr>
  </w:style>
  <w:style w:type="table" w:customStyle="1" w:styleId="PlainTable2">
    <w:name w:val="Plain Table 2"/>
    <w:basedOn w:val="TableNormal"/>
    <w:uiPriority w:val="42"/>
    <w:rsid w:val="008B3F4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642A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448780">
      <w:bodyDiv w:val="1"/>
      <w:marLeft w:val="0"/>
      <w:marRight w:val="0"/>
      <w:marTop w:val="0"/>
      <w:marBottom w:val="0"/>
      <w:divBdr>
        <w:top w:val="none" w:sz="0" w:space="0" w:color="auto"/>
        <w:left w:val="none" w:sz="0" w:space="0" w:color="auto"/>
        <w:bottom w:val="none" w:sz="0" w:space="0" w:color="auto"/>
        <w:right w:val="none" w:sz="0" w:space="0" w:color="auto"/>
      </w:divBdr>
    </w:div>
    <w:div w:id="1321613960">
      <w:bodyDiv w:val="1"/>
      <w:marLeft w:val="0"/>
      <w:marRight w:val="0"/>
      <w:marTop w:val="0"/>
      <w:marBottom w:val="0"/>
      <w:divBdr>
        <w:top w:val="none" w:sz="0" w:space="0" w:color="auto"/>
        <w:left w:val="none" w:sz="0" w:space="0" w:color="auto"/>
        <w:bottom w:val="none" w:sz="0" w:space="0" w:color="auto"/>
        <w:right w:val="none" w:sz="0" w:space="0" w:color="auto"/>
      </w:divBdr>
    </w:div>
    <w:div w:id="1551116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407406-E1B5-42D4-BBC7-AEFCA0903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37969</Words>
  <Characters>213768</Characters>
  <Application>Microsoft Office Word</Application>
  <DocSecurity>0</DocSecurity>
  <Lines>19433</Lines>
  <Paragraphs>12586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239151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dc:creator>
  <cp:keywords/>
  <dc:description/>
  <cp:lastModifiedBy>CCERINO</cp:lastModifiedBy>
  <cp:revision>4</cp:revision>
  <cp:lastPrinted>2018-07-22T18:31:00Z</cp:lastPrinted>
  <dcterms:created xsi:type="dcterms:W3CDTF">2019-08-22T11:34:00Z</dcterms:created>
  <dcterms:modified xsi:type="dcterms:W3CDTF">2019-08-31T01:00:00Z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http://csl.mendeley.com/styles/484500301/bmj-PDSA</vt:lpwstr>
  </property>
  <property fmtid="{D5CDD505-2E9C-101B-9397-08002B2CF9AE}" pid="4" name="Mendeley Unique User Id_1">
    <vt:lpwstr>1706df60-a183-3d77-b2b9-dd0ecd44d2f7</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http://csl.mendeley.com/styles/484500301/bmj-PDSA</vt:lpwstr>
  </property>
  <property fmtid="{D5CDD505-2E9C-101B-9397-08002B2CF9AE}" pid="14" name="Mendeley Recent Style Name 4_1">
    <vt:lpwstr>BMJ - Henrik Vitus Bering Laursen</vt:lpwstr>
  </property>
  <property fmtid="{D5CDD505-2E9C-101B-9397-08002B2CF9AE}" pid="15" name="Mendeley Recent Style Id 5_1">
    <vt:lpwstr>http://www.zotero.org/styles/bmj-quality-and-safety</vt:lpwstr>
  </property>
  <property fmtid="{D5CDD505-2E9C-101B-9397-08002B2CF9AE}" pid="16" name="Mendeley Recent Style Name 5_1">
    <vt:lpwstr>BMJ Quality &amp; Safety</vt:lpwstr>
  </property>
  <property fmtid="{D5CDD505-2E9C-101B-9397-08002B2CF9AE}" pid="17" name="Mendeley Recent Style Id 6_1">
    <vt:lpwstr>http://www.zotero.org/styles/chicago-author-date</vt:lpwstr>
  </property>
  <property fmtid="{D5CDD505-2E9C-101B-9397-08002B2CF9AE}" pid="18" name="Mendeley Recent Style Name 6_1">
    <vt:lpwstr>Chicago Manual of Style 17th edition (author-date)</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ContentRemapped">
    <vt:lpwstr>true</vt:lpwstr>
  </property>
</Properties>
</file>