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586"/>
        <w:gridCol w:w="554"/>
        <w:gridCol w:w="540"/>
        <w:gridCol w:w="538"/>
        <w:gridCol w:w="538"/>
        <w:gridCol w:w="538"/>
        <w:gridCol w:w="541"/>
        <w:gridCol w:w="541"/>
        <w:gridCol w:w="544"/>
        <w:gridCol w:w="675"/>
        <w:gridCol w:w="680"/>
        <w:gridCol w:w="608"/>
        <w:gridCol w:w="608"/>
        <w:gridCol w:w="608"/>
        <w:gridCol w:w="1196"/>
        <w:gridCol w:w="748"/>
        <w:gridCol w:w="944"/>
        <w:gridCol w:w="1295"/>
        <w:gridCol w:w="892"/>
      </w:tblGrid>
      <w:tr w:rsidR="0035796E" w:rsidRPr="00A6123C" w14:paraId="41AB6136" w14:textId="77777777" w:rsidTr="00D2410F">
        <w:trPr>
          <w:trHeight w:val="20"/>
        </w:trPr>
        <w:tc>
          <w:tcPr>
            <w:tcW w:w="5000" w:type="pct"/>
            <w:gridSpan w:val="1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940AFF6" w14:textId="0F55C758" w:rsidR="0035796E" w:rsidRPr="00A6123C" w:rsidRDefault="00C53208" w:rsidP="00D2410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</w:pPr>
            <w:r w:rsidRPr="00A6123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Additional </w:t>
            </w:r>
            <w:r w:rsidR="0098425A">
              <w:rPr>
                <w:rFonts w:ascii="Arial" w:eastAsia="Times New Roman" w:hAnsi="Arial" w:cs="Arial"/>
                <w:b/>
                <w:sz w:val="20"/>
                <w:szCs w:val="20"/>
              </w:rPr>
              <w:t>F</w:t>
            </w:r>
            <w:bookmarkStart w:id="0" w:name="_GoBack"/>
            <w:bookmarkEnd w:id="0"/>
            <w:r w:rsidRPr="00A6123C">
              <w:rPr>
                <w:rFonts w:ascii="Arial" w:eastAsia="Times New Roman" w:hAnsi="Arial" w:cs="Arial"/>
                <w:b/>
                <w:sz w:val="20"/>
                <w:szCs w:val="20"/>
              </w:rPr>
              <w:t>ile</w:t>
            </w:r>
            <w:r w:rsidR="0035796E" w:rsidRPr="00A6123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AD5795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  <w:r w:rsidR="0035796E" w:rsidRPr="00A6123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Results </w:t>
            </w:r>
            <w:r w:rsidR="0035796E" w:rsidRPr="00A6123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of quality appraisal of included studies.</w:t>
            </w:r>
            <w:r w:rsidR="0035796E" w:rsidRPr="00A6123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5796E" w:rsidRPr="00A6123C">
              <w:rPr>
                <w:rFonts w:ascii="Arial" w:hAnsi="Arial" w:cs="Arial"/>
                <w:sz w:val="20"/>
                <w:szCs w:val="16"/>
              </w:rPr>
              <w:t>A&amp;E=accident and emergency</w:t>
            </w:r>
          </w:p>
        </w:tc>
      </w:tr>
      <w:tr w:rsidR="0035796E" w:rsidRPr="00A6123C" w14:paraId="736B64D0" w14:textId="77777777" w:rsidTr="004B1D0E">
        <w:trPr>
          <w:trHeight w:val="20"/>
        </w:trPr>
        <w:tc>
          <w:tcPr>
            <w:tcW w:w="561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6BD1D5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961" w:type="pct"/>
            <w:gridSpan w:val="5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14:paraId="001CADA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14:paraId="673F18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Selection bias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14:paraId="7AA21DA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14:paraId="38588D7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Blinding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14:paraId="383833E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Data collection tools</w:t>
            </w:r>
          </w:p>
        </w:tc>
        <w:tc>
          <w:tcPr>
            <w:tcW w:w="334" w:type="pct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hideMark/>
          </w:tcPr>
          <w:p w14:paraId="5F2BC9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Analysis</w:t>
            </w:r>
          </w:p>
        </w:tc>
        <w:tc>
          <w:tcPr>
            <w:tcW w:w="458" w:type="pct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2DD7A65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Confounders</w:t>
            </w:r>
          </w:p>
        </w:tc>
        <w:tc>
          <w:tcPr>
            <w:tcW w:w="308" w:type="pct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4515E12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</w:pPr>
            <w:r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  <w:t>Overall quality</w:t>
            </w:r>
            <w:r w:rsidR="00131D20" w:rsidRPr="00A612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</w:rPr>
              <w:t>‡</w:t>
            </w:r>
          </w:p>
        </w:tc>
      </w:tr>
      <w:tr w:rsidR="0035796E" w:rsidRPr="00A6123C" w14:paraId="117DB309" w14:textId="77777777" w:rsidTr="004B1D0E">
        <w:trPr>
          <w:trHeight w:val="20"/>
        </w:trPr>
        <w:tc>
          <w:tcPr>
            <w:tcW w:w="561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</w:tcPr>
          <w:p w14:paraId="7A0782F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0D38EE7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Q1†</w:t>
            </w:r>
          </w:p>
        </w:tc>
        <w:tc>
          <w:tcPr>
            <w:tcW w:w="19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5C211AE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Q2†</w:t>
            </w:r>
          </w:p>
        </w:tc>
        <w:tc>
          <w:tcPr>
            <w:tcW w:w="19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7D1106C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Q3†</w:t>
            </w:r>
          </w:p>
        </w:tc>
        <w:tc>
          <w:tcPr>
            <w:tcW w:w="19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113EB0E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Q4†</w:t>
            </w:r>
          </w:p>
        </w:tc>
        <w:tc>
          <w:tcPr>
            <w:tcW w:w="191" w:type="pct"/>
            <w:tcBorders>
              <w:top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D14697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Q5†</w:t>
            </w:r>
          </w:p>
        </w:tc>
        <w:tc>
          <w:tcPr>
            <w:tcW w:w="192" w:type="pct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031E461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Q6†</w:t>
            </w:r>
          </w:p>
        </w:tc>
        <w:tc>
          <w:tcPr>
            <w:tcW w:w="19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3B735D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Q7†</w:t>
            </w:r>
          </w:p>
        </w:tc>
        <w:tc>
          <w:tcPr>
            <w:tcW w:w="193" w:type="pct"/>
            <w:tcBorders>
              <w:top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3CE823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Q8†</w:t>
            </w:r>
          </w:p>
        </w:tc>
        <w:tc>
          <w:tcPr>
            <w:tcW w:w="239" w:type="pct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3465D6B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Q9†</w:t>
            </w:r>
          </w:p>
        </w:tc>
        <w:tc>
          <w:tcPr>
            <w:tcW w:w="241" w:type="pct"/>
            <w:tcBorders>
              <w:top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1EAEB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Q10†</w:t>
            </w:r>
          </w:p>
        </w:tc>
        <w:tc>
          <w:tcPr>
            <w:tcW w:w="211" w:type="pct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6C573A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Q11†</w:t>
            </w:r>
          </w:p>
        </w:tc>
        <w:tc>
          <w:tcPr>
            <w:tcW w:w="21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696827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Q12†</w:t>
            </w:r>
          </w:p>
        </w:tc>
        <w:tc>
          <w:tcPr>
            <w:tcW w:w="211" w:type="pct"/>
            <w:tcBorders>
              <w:top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BC25DF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Q13†</w:t>
            </w:r>
          </w:p>
        </w:tc>
        <w:tc>
          <w:tcPr>
            <w:tcW w:w="423" w:type="pct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4A9B650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Q14†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67ED1D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Q15†</w:t>
            </w:r>
          </w:p>
        </w:tc>
        <w:tc>
          <w:tcPr>
            <w:tcW w:w="334" w:type="pct"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A46312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Q16†</w:t>
            </w:r>
          </w:p>
        </w:tc>
        <w:tc>
          <w:tcPr>
            <w:tcW w:w="458" w:type="pct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14:paraId="41D96B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Q17†</w:t>
            </w:r>
          </w:p>
        </w:tc>
        <w:tc>
          <w:tcPr>
            <w:tcW w:w="308" w:type="pct"/>
            <w:tcBorders>
              <w:top w:val="nil"/>
              <w:left w:val="dotted" w:sz="4" w:space="0" w:color="auto"/>
              <w:bottom w:val="single" w:sz="8" w:space="0" w:color="auto"/>
            </w:tcBorders>
          </w:tcPr>
          <w:p w14:paraId="4CEBEA0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5796E" w:rsidRPr="00A6123C" w14:paraId="64297CBA" w14:textId="77777777" w:rsidTr="004B1D0E">
        <w:trPr>
          <w:trHeight w:val="20"/>
        </w:trPr>
        <w:tc>
          <w:tcPr>
            <w:tcW w:w="561" w:type="pct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</w:tcPr>
          <w:p w14:paraId="1E4A255B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Glaucoma</w:t>
            </w:r>
          </w:p>
        </w:tc>
        <w:tc>
          <w:tcPr>
            <w:tcW w:w="196" w:type="pct"/>
            <w:tcBorders>
              <w:top w:val="single" w:sz="8" w:space="0" w:color="auto"/>
            </w:tcBorders>
            <w:shd w:val="clear" w:color="auto" w:fill="D9D9D9" w:themeFill="background1" w:themeFillShade="D9"/>
            <w:noWrap/>
          </w:tcPr>
          <w:p w14:paraId="1D87D9A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8" w:space="0" w:color="auto"/>
            </w:tcBorders>
            <w:shd w:val="clear" w:color="auto" w:fill="D9D9D9" w:themeFill="background1" w:themeFillShade="D9"/>
            <w:noWrap/>
          </w:tcPr>
          <w:p w14:paraId="7FB6452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8" w:space="0" w:color="auto"/>
            </w:tcBorders>
            <w:shd w:val="clear" w:color="auto" w:fill="D9D9D9" w:themeFill="background1" w:themeFillShade="D9"/>
            <w:noWrap/>
          </w:tcPr>
          <w:p w14:paraId="0E8775F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8" w:space="0" w:color="auto"/>
            </w:tcBorders>
            <w:shd w:val="clear" w:color="auto" w:fill="D9D9D9" w:themeFill="background1" w:themeFillShade="D9"/>
            <w:noWrap/>
          </w:tcPr>
          <w:p w14:paraId="7DC5FA6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8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2F24CBB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8" w:space="0" w:color="auto"/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31A7F43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8" w:space="0" w:color="auto"/>
            </w:tcBorders>
            <w:shd w:val="clear" w:color="auto" w:fill="D9D9D9" w:themeFill="background1" w:themeFillShade="D9"/>
            <w:noWrap/>
          </w:tcPr>
          <w:p w14:paraId="135189F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8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A25F5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5D3BF7F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single" w:sz="8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0A4D48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8" w:space="0" w:color="auto"/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2E7983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8" w:space="0" w:color="auto"/>
            </w:tcBorders>
            <w:shd w:val="clear" w:color="auto" w:fill="D9D9D9" w:themeFill="background1" w:themeFillShade="D9"/>
            <w:noWrap/>
          </w:tcPr>
          <w:p w14:paraId="06AD0A0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8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766E8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01F8A31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8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A95815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48F0A1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4E8238D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8" w:space="0" w:color="auto"/>
              <w:left w:val="dotted" w:sz="4" w:space="0" w:color="auto"/>
            </w:tcBorders>
            <w:shd w:val="clear" w:color="auto" w:fill="D9D9D9" w:themeFill="background1" w:themeFillShade="D9"/>
          </w:tcPr>
          <w:p w14:paraId="74CC7EC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5796E" w:rsidRPr="00A6123C" w14:paraId="18F55960" w14:textId="77777777" w:rsidTr="004B1D0E">
        <w:trPr>
          <w:trHeight w:val="20"/>
        </w:trPr>
        <w:tc>
          <w:tcPr>
            <w:tcW w:w="561" w:type="pct"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26A2C7F5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Ang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96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4DDDDA6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5311219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5342C58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43A152F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EF8B6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66C24C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3DCABD6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D1089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F43391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0F2C01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BC0E35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61DD588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39A964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C84DE9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05C1FC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93C9F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5CEAC1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left w:val="dotted" w:sz="4" w:space="0" w:color="auto"/>
              <w:bottom w:val="dotted" w:sz="4" w:space="0" w:color="auto"/>
            </w:tcBorders>
          </w:tcPr>
          <w:p w14:paraId="24ACEC6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03AF95B9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7726F5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Ang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C2586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6A634B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1423F1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57BBFB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777495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6466C3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6B28EB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B19CB4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79984D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7892E2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4BC5B0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8FD9CC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474216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63380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0D5C54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3FD3A2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4AC1D4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9EC922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5BB9BFF1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20F8C7D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Azuara-Blanco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98D465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BCF60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DA3CBC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FCD65F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CD71F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5993A1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257454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90966F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8C1131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20613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E2CAD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300852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601663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EBB0A2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8820AA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FE0A71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8776DE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BF3DF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152CFF5C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00560D6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Banes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960B4E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E07EBF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0F51ED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6AD782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7E7135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6DC9EC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8C52E4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8C899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D8864F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49627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F6BD19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6532D9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009077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706BF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4EB001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66EEA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1B14F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201412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7F18BCDE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7A4D3ADE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Chawla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FD85D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A8E4F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08313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F9F73F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330858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7803C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D944EC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D9ECE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0651D2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21B54E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D94FA8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75D153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903D3F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2E6B32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773702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2A3512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E6E1B9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254D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451C33F7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73128229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Cheng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818664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B19076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A3E41E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1721C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1BA14B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ABA498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7A3F37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7C12A1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878EE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2647F8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47D0B8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C2FF7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730680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7146B0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55BB1A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9BA5A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D2F121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1D575F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0201C1C7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6026864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Coleman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56BA01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CEA65E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7553CC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C0A0FB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9099C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0C1C26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44AEE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9AAFB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F8FDC3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CFFDC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EA905A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549F2D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0F503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282323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7CCEF1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BFD75B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59A9D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797B4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133AEAEC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87393B6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Elam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4F66B3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C7CBD8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87FD0F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A8157C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F11F7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F51449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BC1333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DD5AC9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94A721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807013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FC7862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472962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AF840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0DE77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1972E3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FD5BE1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5EB443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DA4B8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0FC1E636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56531F46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El-Assal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DE39B7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FD018A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D4F3C4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3C92A3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76479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4A6A16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78A2B7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AB1EED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7245E9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94D67F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99AA06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C07C32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0D6195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097E4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E19283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629146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100C3B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561B0A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70B466E1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CA9514E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Fung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6A0CCD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1DF341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ADE23F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71734E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055F8F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D3CA3D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A65A0C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7D6EE4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B7F11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4C6863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F17D95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0FB193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C02DE4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516CD7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6D64A5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5EED73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6C2B9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50C5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0E159C7B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53DBC14B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Ho and Vernon 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093485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D4A1EC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F8A5EA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A5D06C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DD9D44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B1E61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BD5A81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E9E9E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63173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2353B9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F3C1D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037EA7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C2B9E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06D17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426AD8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ADB93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4B724B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109552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258610DA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E20DB58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Khan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D8BB5C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3CA7CF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A292D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8D2E1D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D2ED6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8EDFE4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D404D9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6EE9B3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AC547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D4C2E6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E9D2DC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EF2685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4998FD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23135C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4E7FB7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2A7C4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9209CE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330E32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79189664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34146F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Liu 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A4BA44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2E9327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74306A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16330A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54F27E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8BB891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D86F09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CC9151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93B08B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8C959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F7C40B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CCCBBE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552331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D7EB17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06B71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4DC26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CB770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5D447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3AAC8E28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3F4E82A0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Lockwood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1F5F7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418B5B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300200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6DA3BC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D34562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BDAD31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4E1E68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956F2C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7ACE62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065DE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24D4AC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A3B52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0E7EC6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C65747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B3146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C733D7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C08D2D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8E7F0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3366D49F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8D6611D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Marks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3583B1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ADF21D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D21279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BF7BAF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9CBA4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473244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042DCA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018DDD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503911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4E30A1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506ADD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C4794E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1292C2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38EB44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4A6A3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7D90C5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CBC39F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08A9C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215E551C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AF7A59E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Ong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999474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851824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9FFE3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8BAA86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BDAA78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E5A679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D44316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C28A67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E881AB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675004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199311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CFCEBC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DEE733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FC695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05DEEB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E9B2C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2169EF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8DE408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55403702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3AF3D36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Patel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70149F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78064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3A10F5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4D54AF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5A932C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70DE8B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BA587F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85D5C7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0B0AC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4D871F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E98FB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DECC35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F0FFD4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375AB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44D75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A97E98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0E77CC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BAA74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7CEFD6D6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B8B2C5C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Quigley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53176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5A484F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38E48A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485323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4E426C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FB035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606F23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3877B8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F99D4E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B8AC33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56F1DF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2DE886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E234C8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B3CB07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24A86C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021F11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12BB76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28E54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0BE0E91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811C2FC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Scully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C71FF1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C54AC8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76BFC2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4B6469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BE7BB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99E42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7653D9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1F9504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488AB8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A2817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F27010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6600B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DB4FE4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38B921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C70E52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214171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7C65B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B1BD7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2EB55112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6419B3A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Shah and Murdoch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DECF60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6A680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CA8C6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1E2E10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7E0DA2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81F1FD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D14F14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779859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C06C64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AF246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B8D1D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FB1B77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FD8A67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5766F9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BA461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C38986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23CBE3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59AFA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7D66D424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7CF3F57A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Solano-Moncada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61D56A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E9174D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D3D57B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55A027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91E191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2B4D96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F05F72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2E845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3B599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8C1D63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F43124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B203C8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EBDE22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98C7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12C7B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29B68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F04C6D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54C5BB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7DB69AB1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CE55B6B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Stead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5F0F8E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88998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1AA482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C9EA1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CACB1A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2824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713752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08272D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77CB73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68D7E4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D32B76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DB287B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0D522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B15270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5877D0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9D5546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814F1B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689560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7861ECA9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1596911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Swamy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E2099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3A4118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423E3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05A993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EB4411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4313FE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06E78F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924281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B241FA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3E017B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6F9FE6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FA2719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5ED81F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39F596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3350C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52B575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AC1997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29384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392A7299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5FC117FD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Syam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24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DC223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BE5F4A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FE692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B83233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0EABE7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89A7C3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99CAD8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ABA53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91BD9A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C7A3D4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8DA38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CC88B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4A906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36D347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F8208D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A9979D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CE327B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17824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</w:tr>
      <w:tr w:rsidR="0035796E" w:rsidRPr="00A6123C" w14:paraId="1254E2DD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C7B2249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Theodossiades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ADF280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E0F88C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4FE49C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A602B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66B3AE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ABEFC9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BED1CC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276A62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CD23E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8AFD8E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D2091F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8BD91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11327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6D4FC4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3DEA3E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F41CD2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A67FF8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C3886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69233BEA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5D8FED08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Vorwerk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585474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50DA82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7F7820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D434A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99DB1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1B7E1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64EBBB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583C45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B0F9F7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166312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877E46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A832C3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5436B1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66FD43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B2CA4F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AC2261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53B68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317F51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3449EE07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7BE6CCF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Zangerl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27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F60EAC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41BF39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F5CC82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576D03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A1E9E3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3A905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64568C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D078B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BB51FE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E9616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EE8D7E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5B0935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210335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28E4A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7D95F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937BC8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A482A4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8A0E0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DC510C1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</w:tcBorders>
            <w:shd w:val="clear" w:color="auto" w:fill="auto"/>
          </w:tcPr>
          <w:p w14:paraId="133D4C3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Zebardast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28</w:t>
            </w:r>
          </w:p>
        </w:tc>
        <w:tc>
          <w:tcPr>
            <w:tcW w:w="196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31A1093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09EB17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1AEEEDB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5B22710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355FF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25488C7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6B41180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B44A9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543019E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45EFB9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5AE620E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49880F7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3C6E7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00A389D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CEB47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9188BA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0DB1AC1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</w:tcBorders>
          </w:tcPr>
          <w:p w14:paraId="7423D59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4325FC25" w14:textId="77777777" w:rsidTr="004B1D0E">
        <w:trPr>
          <w:trHeight w:val="20"/>
        </w:trPr>
        <w:tc>
          <w:tcPr>
            <w:tcW w:w="758" w:type="pct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2C207BBB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Diabetic retinopathy</w:t>
            </w: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7537709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6AE6A7B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2DBD227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4BE053B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77F7C86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77CFF11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7F6182F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5AEABFD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7ACF2B5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78BDBEC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224DD2C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E9B21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4071B64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56A7D3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41525C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0FA169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3E57A3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5796E" w:rsidRPr="00A6123C" w14:paraId="4EE89146" w14:textId="77777777" w:rsidTr="004B1D0E">
        <w:trPr>
          <w:trHeight w:val="20"/>
        </w:trPr>
        <w:tc>
          <w:tcPr>
            <w:tcW w:w="561" w:type="pct"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2346E5F8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Al-Ubaidi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29</w:t>
            </w:r>
          </w:p>
        </w:tc>
        <w:tc>
          <w:tcPr>
            <w:tcW w:w="196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71F11C5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49D9B0E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3F64E38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1C79F9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E65919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98E615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1639DF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5463D0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2A0C95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D5973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BA89F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1EF9AFC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BD95D8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CE6D8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F0D282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6CB399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D6D174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left w:val="dotted" w:sz="4" w:space="0" w:color="auto"/>
              <w:bottom w:val="dotted" w:sz="4" w:space="0" w:color="auto"/>
            </w:tcBorders>
          </w:tcPr>
          <w:p w14:paraId="1D227B8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351C6ED4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4B1A17F9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Burgmann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3169A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53AA14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54A9E4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AA6D01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C8951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AFFEB9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6FE78D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B6EC0A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2E1736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E14FA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5E76AA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9F2BDF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06E82E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AA0870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B69BAD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23292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92BB0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C2DD3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4C86486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ED47C6E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Chou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31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8B6516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5D43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5F219C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3D3B03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1B644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4E1CF4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D9C37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E2B880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70FA8A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EC4E1A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211DA9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1FB0C8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71B4EE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DAF144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0A9437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88D8F4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9BF9F3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4B09E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35A221DE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6C52EBC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Hutchins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32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59EDC2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A6FC5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CEBBAA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A6506D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0C536D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8D56E7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EFB599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A9D7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DBAEA1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6B408C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3C123D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387CFE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C3EEB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4DC105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96AD6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2AD4BB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D3EF80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3BE467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6CC62ABB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7FA04F0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Mc Hugh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33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D9C230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9F7E9E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6D6200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F96D0A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7D088E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620590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2048FA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408BEC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E8BDDD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6C968A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7BFA9D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EE2EC7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296E29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17F34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81EA7B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B13F6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7DA39D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E978A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0CC29B72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9622B24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Preti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34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61DCA7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FEBF3A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9EFBDD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D51B47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2854C9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ED907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7107C0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E7346A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76B39C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7948CD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8EAFBA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9C410D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1C6577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116C19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10D37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327BE9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6C8715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2B1DEF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0222EC60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0D21A5D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Slater and Chakman 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35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74A33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49C494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AB429B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CB24F0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8E22F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AE1629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390C9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49789E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4918E7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139CF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E795D8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10543D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20802A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5B2E1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D050B9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59A7FC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32448D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0C04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39750D14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0D2D5CD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lastRenderedPageBreak/>
              <w:t xml:space="preserve">Ting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36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360D26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475458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1F888F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6ABEF9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D12FE4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CB1806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098838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5FAB92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E9D97E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ED891F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5649A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F9778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0F74FA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AB84CB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64743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7CAD9A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C0D226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EECB1F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4FE6A0E1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5A838DC2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Tseng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37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3E22EF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731356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5DB025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DF6A85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AA4E36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2B5B3E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FC4511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9675F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DBF200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83C82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460F64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6D413B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10580A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B24E4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164A2A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CC18FA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8B1CEF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85DC1F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7CB2CEEF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5DB6BF8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Wong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6DDF46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BF52DB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7E8993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14A4F2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ACBA7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1EA3C6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21D0E3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FB848E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BD17A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E53278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72138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086E57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21EB4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EF3961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1D1C5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79479D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61392E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F7E90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03080892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</w:tcBorders>
            <w:shd w:val="clear" w:color="auto" w:fill="auto"/>
          </w:tcPr>
          <w:p w14:paraId="72B9A586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Yuen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39</w:t>
            </w:r>
          </w:p>
        </w:tc>
        <w:tc>
          <w:tcPr>
            <w:tcW w:w="196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57100BE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1DA476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4962FC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757B632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996A7E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43B51F1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16778A9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30C30F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05BEA44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DB22FD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37E2EE7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17E431C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855E57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02503DE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B647C1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8F8A99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368FCC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</w:tcBorders>
          </w:tcPr>
          <w:p w14:paraId="4598692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091885A3" w14:textId="77777777" w:rsidTr="004B1D0E">
        <w:trPr>
          <w:trHeight w:val="20"/>
        </w:trPr>
        <w:tc>
          <w:tcPr>
            <w:tcW w:w="1141" w:type="pct"/>
            <w:gridSpan w:val="4"/>
            <w:tcBorders>
              <w:left w:val="nil"/>
            </w:tcBorders>
            <w:shd w:val="clear" w:color="auto" w:fill="D9D9D9" w:themeFill="background1" w:themeFillShade="D9"/>
          </w:tcPr>
          <w:p w14:paraId="663D6A01" w14:textId="77777777" w:rsidR="0035796E" w:rsidRPr="00A6123C" w:rsidRDefault="0035796E" w:rsidP="00D24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Age-related macular degeneration</w:t>
            </w: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5D18A59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594B08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0444E0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616142C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B4ACB9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2F70514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02EA849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79ED0AA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15BF00F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5B95C39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1B7DAEA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FA32AD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71AF6DF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7219AFB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5E76A80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5796E" w:rsidRPr="00A6123C" w14:paraId="360334E6" w14:textId="77777777" w:rsidTr="004B1D0E">
        <w:trPr>
          <w:trHeight w:val="20"/>
        </w:trPr>
        <w:tc>
          <w:tcPr>
            <w:tcW w:w="561" w:type="pct"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CCB6C1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Charkoudian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196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72FDCEA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0DEE780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10803D0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22B0FE4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B176B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C8A475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6FE0256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508CFB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E1588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B31F58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6A661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57F7D4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99B556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727DA7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EF4A16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9DFEF2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EE5F6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left w:val="dotted" w:sz="4" w:space="0" w:color="auto"/>
              <w:bottom w:val="dotted" w:sz="4" w:space="0" w:color="auto"/>
            </w:tcBorders>
          </w:tcPr>
          <w:p w14:paraId="573F649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28082D8" w14:textId="77777777" w:rsidTr="004B1D0E">
        <w:trPr>
          <w:trHeight w:val="273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341123F0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Lawrenson and Evans 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41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09C738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D07A9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A042F5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D98842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F13AA4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0796B1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D0F569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07A6A2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346242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4E6579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3BB312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F58470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8A8DBE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1095EB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F83BA5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B8FB0D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27FBB6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468C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4674664F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7286664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Muhammed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42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3ED06F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72FDB4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1FC5EE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9D1A68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AEE3E0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0CE096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B4B881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BB1964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6DE193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1798E5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F56B77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CC9F10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A2F8F0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D8DD27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4CFBC1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06F22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28D92E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488DC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29F14BC8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</w:tcBorders>
            <w:shd w:val="clear" w:color="auto" w:fill="auto"/>
          </w:tcPr>
          <w:p w14:paraId="7A85BC10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Parodi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43</w:t>
            </w:r>
          </w:p>
        </w:tc>
        <w:tc>
          <w:tcPr>
            <w:tcW w:w="196" w:type="pct"/>
            <w:tcBorders>
              <w:top w:val="dotted" w:sz="4" w:space="0" w:color="auto"/>
            </w:tcBorders>
            <w:shd w:val="clear" w:color="auto" w:fill="auto"/>
            <w:noWrap/>
          </w:tcPr>
          <w:p w14:paraId="778CAA1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</w:tcPr>
          <w:p w14:paraId="6A6562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</w:tcPr>
          <w:p w14:paraId="4E904D8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</w:tcPr>
          <w:p w14:paraId="10FBE9F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B4ACCF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6FA5263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</w:tcPr>
          <w:p w14:paraId="2DB7348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8676D0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62CE3F5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D5FF2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04F4424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</w:tcBorders>
            <w:shd w:val="clear" w:color="auto" w:fill="auto"/>
            <w:noWrap/>
          </w:tcPr>
          <w:p w14:paraId="29A06B2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A3B6F3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252665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D1954C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FD5553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163213E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</w:tcBorders>
          </w:tcPr>
          <w:p w14:paraId="1A32CD0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50185AD" w14:textId="77777777" w:rsidTr="004B1D0E">
        <w:trPr>
          <w:trHeight w:val="20"/>
        </w:trPr>
        <w:tc>
          <w:tcPr>
            <w:tcW w:w="561" w:type="pct"/>
            <w:tcBorders>
              <w:left w:val="nil"/>
            </w:tcBorders>
            <w:shd w:val="clear" w:color="auto" w:fill="D9D9D9" w:themeFill="background1" w:themeFillShade="D9"/>
          </w:tcPr>
          <w:p w14:paraId="28F50C41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Cataract</w:t>
            </w:r>
          </w:p>
        </w:tc>
        <w:tc>
          <w:tcPr>
            <w:tcW w:w="196" w:type="pct"/>
            <w:shd w:val="clear" w:color="auto" w:fill="D9D9D9" w:themeFill="background1" w:themeFillShade="D9"/>
            <w:noWrap/>
          </w:tcPr>
          <w:p w14:paraId="5BE3CFD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4DAA183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1170DC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31D6CC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872202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6D4762D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66A7853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43AE179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08CC1E2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9AD824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306BBBE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30146C2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A85E8D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1E423D5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E375BF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5CD0D3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52545FF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09F19C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5796E" w:rsidRPr="00A6123C" w14:paraId="3A4B882F" w14:textId="77777777" w:rsidTr="004B1D0E">
        <w:trPr>
          <w:trHeight w:val="20"/>
        </w:trPr>
        <w:tc>
          <w:tcPr>
            <w:tcW w:w="561" w:type="pct"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7672061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Gomaa and Liu 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44</w:t>
            </w:r>
          </w:p>
        </w:tc>
        <w:tc>
          <w:tcPr>
            <w:tcW w:w="196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0F600B0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7292E1D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07EE724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61A22BB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73C7E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C79F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3636953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3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707A68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B8BE4A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0CEC3B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73610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4025D45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650667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57716E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4B58C0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3CAD88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7E11B3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left w:val="dotted" w:sz="4" w:space="0" w:color="auto"/>
              <w:bottom w:val="dotted" w:sz="4" w:space="0" w:color="auto"/>
            </w:tcBorders>
          </w:tcPr>
          <w:p w14:paraId="01DDEFF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31FD7016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7EB4486B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Lash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45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4B1D7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DB5598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01389C5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3D15DB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205E9B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7E4C10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DCD89A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1258A9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4226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CC196F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9C8C93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6DCDE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248680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ECC397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BC4C7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71C86E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C6FAB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320879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4BE8C44E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2C1CE7D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Park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46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01B6AB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76DA28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A5D1C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12A229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87D7A1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0C23EB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6EBE0D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21CADE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14974E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A169C0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06DB2A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B6AB9C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865173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1937E38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021AB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6B2DEC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71A860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9400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04DA0A71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</w:tcBorders>
            <w:shd w:val="clear" w:color="auto" w:fill="auto"/>
          </w:tcPr>
          <w:p w14:paraId="3BBFB76F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Niemiec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47</w:t>
            </w:r>
          </w:p>
        </w:tc>
        <w:tc>
          <w:tcPr>
            <w:tcW w:w="196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44ECE1A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4E99DD0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7FC1E83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4CF6F53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92A8B2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30297C9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429E48E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D5FDD1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71B2DD3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5DDFAA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5FE5807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027DCD5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F3C3FD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356A6A9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E87C58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9B269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5C86EF1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</w:tcBorders>
          </w:tcPr>
          <w:p w14:paraId="3F8FA5D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Strong</w:t>
            </w:r>
          </w:p>
        </w:tc>
      </w:tr>
      <w:tr w:rsidR="0035796E" w:rsidRPr="00A6123C" w14:paraId="1A53D8D2" w14:textId="77777777" w:rsidTr="004B1D0E">
        <w:trPr>
          <w:trHeight w:val="20"/>
        </w:trPr>
        <w:tc>
          <w:tcPr>
            <w:tcW w:w="950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BCF42A7" w14:textId="77777777" w:rsidR="0035796E" w:rsidRPr="00A6123C" w:rsidRDefault="0035796E" w:rsidP="00D2410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Preventative eye care</w:t>
            </w: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193CE3F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5001AE9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B94352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2FC889B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3B57017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3E0655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229B663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EABF4C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65DAA9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10A35FD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6A19F3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6166CDF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FF8384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094A4F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518933A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17906A8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35796E" w:rsidRPr="00A6123C" w14:paraId="079EA591" w14:textId="77777777" w:rsidTr="004B1D0E">
        <w:trPr>
          <w:trHeight w:val="20"/>
        </w:trPr>
        <w:tc>
          <w:tcPr>
            <w:tcW w:w="561" w:type="pct"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1DB1BBF8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Downie and Keller 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48</w:t>
            </w:r>
          </w:p>
        </w:tc>
        <w:tc>
          <w:tcPr>
            <w:tcW w:w="196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4684DE1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724970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066BBFE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6EAE99F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B55CC1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6584225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1925569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877BE8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4D58C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F723E1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5CC556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19A354F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9FECC3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2EEE117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E20926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334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29DCF5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3B28068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left w:val="dotted" w:sz="4" w:space="0" w:color="auto"/>
              <w:bottom w:val="dotted" w:sz="4" w:space="0" w:color="auto"/>
            </w:tcBorders>
          </w:tcPr>
          <w:p w14:paraId="0990808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D99AC45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C4250D6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Shah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49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724258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0C10C7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907988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37268F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731152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61067CE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0F3433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F65D0B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00510D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D63D47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9DA69D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B1C29B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27910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980688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E35D92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2D99C0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1432B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8E03D3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25BB7ECB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B729C0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Shah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19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66D7DF1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29750B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1FF36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6D5AA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DF95A7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20F4A4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FA0C26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54FEAD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5F16E7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A27605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3A88BC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408244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7643B0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B38DB0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F37557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8D679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6FDBB4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060A0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C2AEA95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</w:tcBorders>
            <w:shd w:val="clear" w:color="auto" w:fill="auto"/>
          </w:tcPr>
          <w:p w14:paraId="24FBF9E7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Shah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51</w:t>
            </w:r>
          </w:p>
        </w:tc>
        <w:tc>
          <w:tcPr>
            <w:tcW w:w="196" w:type="pct"/>
            <w:tcBorders>
              <w:top w:val="dotted" w:sz="4" w:space="0" w:color="auto"/>
            </w:tcBorders>
            <w:shd w:val="clear" w:color="auto" w:fill="auto"/>
            <w:noWrap/>
          </w:tcPr>
          <w:p w14:paraId="71AEE9A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</w:tcPr>
          <w:p w14:paraId="5E47C57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</w:tcPr>
          <w:p w14:paraId="026EB5C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</w:tcPr>
          <w:p w14:paraId="6C3F72F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92992D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2AF34C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</w:tcPr>
          <w:p w14:paraId="52D0508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CAE04D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5AFB7B2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CAF531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6D146D3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</w:tcBorders>
            <w:shd w:val="clear" w:color="auto" w:fill="auto"/>
            <w:noWrap/>
          </w:tcPr>
          <w:p w14:paraId="43AF47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64E365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7187E01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4AC40C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F3CC55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</w:tcPr>
          <w:p w14:paraId="396C62C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</w:tcBorders>
          </w:tcPr>
          <w:p w14:paraId="0E16CFB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0DA184A8" w14:textId="77777777" w:rsidTr="004B1D0E">
        <w:trPr>
          <w:trHeight w:val="20"/>
        </w:trPr>
        <w:tc>
          <w:tcPr>
            <w:tcW w:w="561" w:type="pct"/>
            <w:tcBorders>
              <w:left w:val="nil"/>
            </w:tcBorders>
            <w:shd w:val="clear" w:color="auto" w:fill="D9D9D9" w:themeFill="background1" w:themeFillShade="D9"/>
          </w:tcPr>
          <w:p w14:paraId="357626D4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Dry eye</w:t>
            </w:r>
          </w:p>
        </w:tc>
        <w:tc>
          <w:tcPr>
            <w:tcW w:w="196" w:type="pct"/>
            <w:shd w:val="clear" w:color="auto" w:fill="D9D9D9" w:themeFill="background1" w:themeFillShade="D9"/>
            <w:noWrap/>
          </w:tcPr>
          <w:p w14:paraId="10BC5E8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2583D7E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4DFFB2B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65779D2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8D49B0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4F4BA4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23F73C2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5ECAAC0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20378EC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0E6CF4C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04F8697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48F3B46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485CC50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29FEC5A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2DF16F0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223D7E2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2C1DFF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15E1AC7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5796E" w:rsidRPr="00A6123C" w14:paraId="756839EB" w14:textId="77777777" w:rsidTr="004B1D0E">
        <w:trPr>
          <w:trHeight w:val="20"/>
        </w:trPr>
        <w:tc>
          <w:tcPr>
            <w:tcW w:w="561" w:type="pct"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86AE27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Lin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52</w:t>
            </w:r>
          </w:p>
        </w:tc>
        <w:tc>
          <w:tcPr>
            <w:tcW w:w="196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077DF8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06C0509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1AE137D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4D2895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8FAC5F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78905A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1EAB5DC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F39109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B3DD89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EAA854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EC8A52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</w:tcBorders>
            <w:shd w:val="clear" w:color="auto" w:fill="auto"/>
            <w:noWrap/>
          </w:tcPr>
          <w:p w14:paraId="72749C4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E9BA11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380A93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9E9123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D6D141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CA861B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left w:val="dotted" w:sz="4" w:space="0" w:color="auto"/>
              <w:bottom w:val="dotted" w:sz="4" w:space="0" w:color="auto"/>
            </w:tcBorders>
          </w:tcPr>
          <w:p w14:paraId="72BA700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7897DA1A" w14:textId="77777777" w:rsidTr="004B1D0E">
        <w:trPr>
          <w:trHeight w:val="20"/>
        </w:trPr>
        <w:tc>
          <w:tcPr>
            <w:tcW w:w="561" w:type="pct"/>
            <w:tcBorders>
              <w:top w:val="dotted" w:sz="4" w:space="0" w:color="auto"/>
              <w:left w:val="nil"/>
            </w:tcBorders>
            <w:shd w:val="clear" w:color="auto" w:fill="auto"/>
          </w:tcPr>
          <w:p w14:paraId="3A82DEF0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Downie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53</w:t>
            </w:r>
          </w:p>
        </w:tc>
        <w:tc>
          <w:tcPr>
            <w:tcW w:w="196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49AF6CB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69E96B0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3ABD177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0339CAC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B24337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16D8396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001ED9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3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A8F5A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289EA42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90C9E1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241AF45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</w:tcBorders>
            <w:shd w:val="clear" w:color="auto" w:fill="auto"/>
            <w:noWrap/>
            <w:hideMark/>
          </w:tcPr>
          <w:p w14:paraId="391B6DD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C52981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37A19E4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5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E4196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54713F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noWrap/>
            <w:hideMark/>
          </w:tcPr>
          <w:p w14:paraId="52D5510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top w:val="dotted" w:sz="4" w:space="0" w:color="auto"/>
              <w:left w:val="dotted" w:sz="4" w:space="0" w:color="auto"/>
            </w:tcBorders>
          </w:tcPr>
          <w:p w14:paraId="5C926E2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00D88BEC" w14:textId="77777777" w:rsidTr="004B1D0E">
        <w:trPr>
          <w:trHeight w:val="20"/>
        </w:trPr>
        <w:tc>
          <w:tcPr>
            <w:tcW w:w="950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49709C8" w14:textId="77777777" w:rsidR="0035796E" w:rsidRPr="00A6123C" w:rsidRDefault="0035796E" w:rsidP="00D2410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All ocular conditions at A&amp;E</w:t>
            </w: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615F450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1EE8E64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7D61FF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1C95CE4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3A1666E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0877B81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73DD247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05CCBD3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1A8425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5A9A9C6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786F150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58867FD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AE2397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3C42B9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67C99FD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3D04EBD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5796E" w:rsidRPr="00A6123C" w14:paraId="61E4429E" w14:textId="77777777" w:rsidTr="004B1D0E">
        <w:trPr>
          <w:trHeight w:val="20"/>
        </w:trPr>
        <w:tc>
          <w:tcPr>
            <w:tcW w:w="561" w:type="pct"/>
            <w:tcBorders>
              <w:left w:val="nil"/>
            </w:tcBorders>
            <w:shd w:val="clear" w:color="auto" w:fill="auto"/>
          </w:tcPr>
          <w:p w14:paraId="0E7C9708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Hau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54</w:t>
            </w:r>
          </w:p>
        </w:tc>
        <w:tc>
          <w:tcPr>
            <w:tcW w:w="196" w:type="pct"/>
            <w:shd w:val="clear" w:color="auto" w:fill="auto"/>
            <w:noWrap/>
          </w:tcPr>
          <w:p w14:paraId="5CBACD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shd w:val="clear" w:color="auto" w:fill="auto"/>
            <w:noWrap/>
          </w:tcPr>
          <w:p w14:paraId="056B54D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91" w:type="pct"/>
            <w:shd w:val="clear" w:color="auto" w:fill="auto"/>
            <w:noWrap/>
          </w:tcPr>
          <w:p w14:paraId="01A1FB3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shd w:val="clear" w:color="auto" w:fill="auto"/>
            <w:noWrap/>
          </w:tcPr>
          <w:p w14:paraId="3E2F61A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3AC1C9A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3762521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shd w:val="clear" w:color="auto" w:fill="auto"/>
            <w:noWrap/>
          </w:tcPr>
          <w:p w14:paraId="51F3A2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0AAE15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537C3CF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603B018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52B599C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shd w:val="clear" w:color="auto" w:fill="auto"/>
            <w:noWrap/>
          </w:tcPr>
          <w:p w14:paraId="1BD9B1C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0984E4A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4A447C3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405EF20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5779D0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28D109D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left w:val="dotted" w:sz="4" w:space="0" w:color="auto"/>
            </w:tcBorders>
          </w:tcPr>
          <w:p w14:paraId="76742CB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1C7EFB7E" w14:textId="77777777" w:rsidTr="004B1D0E">
        <w:trPr>
          <w:trHeight w:val="20"/>
        </w:trPr>
        <w:tc>
          <w:tcPr>
            <w:tcW w:w="561" w:type="pct"/>
            <w:tcBorders>
              <w:left w:val="nil"/>
            </w:tcBorders>
            <w:shd w:val="clear" w:color="auto" w:fill="D9D9D9" w:themeFill="background1" w:themeFillShade="D9"/>
          </w:tcPr>
          <w:p w14:paraId="0CDC9506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Amblyopia</w:t>
            </w:r>
          </w:p>
        </w:tc>
        <w:tc>
          <w:tcPr>
            <w:tcW w:w="196" w:type="pct"/>
            <w:shd w:val="clear" w:color="auto" w:fill="D9D9D9" w:themeFill="background1" w:themeFillShade="D9"/>
            <w:noWrap/>
          </w:tcPr>
          <w:p w14:paraId="054DB0B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108041E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236D1F5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2C5775E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25365C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44745FF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3F92EE1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02C57E6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6D8F84F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5ECFD7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5FC52AE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2A0CBEB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45FDF6B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3AEE516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3B49E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2336364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71CDB0B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7B02262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35796E" w:rsidRPr="00A6123C" w14:paraId="143F4072" w14:textId="77777777" w:rsidTr="004B1D0E">
        <w:trPr>
          <w:trHeight w:val="20"/>
        </w:trPr>
        <w:tc>
          <w:tcPr>
            <w:tcW w:w="561" w:type="pct"/>
            <w:tcBorders>
              <w:left w:val="nil"/>
            </w:tcBorders>
            <w:shd w:val="clear" w:color="auto" w:fill="auto"/>
          </w:tcPr>
          <w:p w14:paraId="4E82C958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Jin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55</w:t>
            </w:r>
          </w:p>
        </w:tc>
        <w:tc>
          <w:tcPr>
            <w:tcW w:w="196" w:type="pct"/>
            <w:shd w:val="clear" w:color="auto" w:fill="auto"/>
            <w:noWrap/>
          </w:tcPr>
          <w:p w14:paraId="0A73142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shd w:val="clear" w:color="auto" w:fill="auto"/>
            <w:noWrap/>
          </w:tcPr>
          <w:p w14:paraId="7BD803B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shd w:val="clear" w:color="auto" w:fill="auto"/>
            <w:noWrap/>
          </w:tcPr>
          <w:p w14:paraId="29125EA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shd w:val="clear" w:color="auto" w:fill="auto"/>
            <w:noWrap/>
          </w:tcPr>
          <w:p w14:paraId="40C57C0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733469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3CCF3D0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shd w:val="clear" w:color="auto" w:fill="auto"/>
            <w:noWrap/>
          </w:tcPr>
          <w:p w14:paraId="7563F58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16CE1AC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7BE6E22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637E7DB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06A961B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shd w:val="clear" w:color="auto" w:fill="auto"/>
            <w:noWrap/>
          </w:tcPr>
          <w:p w14:paraId="2B15B47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7AB8378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0837262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auto"/>
            <w:noWrap/>
          </w:tcPr>
          <w:p w14:paraId="46BEDC5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318B8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auto"/>
            <w:noWrap/>
          </w:tcPr>
          <w:p w14:paraId="0678273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308" w:type="pct"/>
            <w:tcBorders>
              <w:left w:val="dotted" w:sz="4" w:space="0" w:color="auto"/>
            </w:tcBorders>
          </w:tcPr>
          <w:p w14:paraId="4A8610C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28153C5E" w14:textId="77777777" w:rsidTr="004B1D0E">
        <w:trPr>
          <w:trHeight w:val="20"/>
        </w:trPr>
        <w:tc>
          <w:tcPr>
            <w:tcW w:w="561" w:type="pct"/>
            <w:tcBorders>
              <w:left w:val="nil"/>
            </w:tcBorders>
            <w:shd w:val="clear" w:color="auto" w:fill="D9D9D9" w:themeFill="background1" w:themeFillShade="D9"/>
          </w:tcPr>
          <w:p w14:paraId="59982330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Esotropia</w:t>
            </w:r>
          </w:p>
        </w:tc>
        <w:tc>
          <w:tcPr>
            <w:tcW w:w="196" w:type="pct"/>
            <w:shd w:val="clear" w:color="auto" w:fill="D9D9D9" w:themeFill="background1" w:themeFillShade="D9"/>
            <w:noWrap/>
          </w:tcPr>
          <w:p w14:paraId="3C8AD71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356B0B8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66A57F3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760E975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28D15C3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02CC9CC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7EA83BF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171238C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3117CE1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7949B52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1BB8460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0762794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7D3FF6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4AFAAF8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0E2C60A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5783B5C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72E0D94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36FD222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5796E" w:rsidRPr="00A6123C" w14:paraId="33CD58BE" w14:textId="77777777" w:rsidTr="004B1D0E">
        <w:trPr>
          <w:trHeight w:val="20"/>
        </w:trPr>
        <w:tc>
          <w:tcPr>
            <w:tcW w:w="561" w:type="pct"/>
            <w:tcBorders>
              <w:left w:val="nil"/>
            </w:tcBorders>
            <w:shd w:val="clear" w:color="auto" w:fill="auto"/>
          </w:tcPr>
          <w:p w14:paraId="51B9AD13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Gupta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56</w:t>
            </w:r>
          </w:p>
        </w:tc>
        <w:tc>
          <w:tcPr>
            <w:tcW w:w="196" w:type="pct"/>
            <w:shd w:val="clear" w:color="auto" w:fill="auto"/>
            <w:noWrap/>
            <w:hideMark/>
          </w:tcPr>
          <w:p w14:paraId="5B31A45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14:paraId="1A799F4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46E0373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22B228D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auto"/>
            <w:noWrap/>
            <w:hideMark/>
          </w:tcPr>
          <w:p w14:paraId="27D4C7D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2903953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14:paraId="0980407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auto"/>
            <w:noWrap/>
            <w:hideMark/>
          </w:tcPr>
          <w:p w14:paraId="1835D4C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6430649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auto"/>
            <w:noWrap/>
            <w:hideMark/>
          </w:tcPr>
          <w:p w14:paraId="2F905C6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5034FFC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shd w:val="clear" w:color="auto" w:fill="auto"/>
            <w:noWrap/>
            <w:hideMark/>
          </w:tcPr>
          <w:p w14:paraId="1C456FE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auto"/>
            <w:noWrap/>
            <w:hideMark/>
          </w:tcPr>
          <w:p w14:paraId="2EE1C48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263C8AC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auto"/>
            <w:noWrap/>
            <w:hideMark/>
          </w:tcPr>
          <w:p w14:paraId="7BA53FD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D903BB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auto"/>
            <w:noWrap/>
            <w:hideMark/>
          </w:tcPr>
          <w:p w14:paraId="714F659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left w:val="dotted" w:sz="4" w:space="0" w:color="auto"/>
            </w:tcBorders>
          </w:tcPr>
          <w:p w14:paraId="0DF9661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Weak</w:t>
            </w:r>
          </w:p>
        </w:tc>
      </w:tr>
      <w:tr w:rsidR="0035796E" w:rsidRPr="00A6123C" w14:paraId="1B426009" w14:textId="77777777" w:rsidTr="004B1D0E">
        <w:trPr>
          <w:trHeight w:val="20"/>
        </w:trPr>
        <w:tc>
          <w:tcPr>
            <w:tcW w:w="758" w:type="pct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67D23E33" w14:textId="77777777" w:rsidR="0035796E" w:rsidRPr="00A6123C" w:rsidRDefault="0035796E" w:rsidP="00D2410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b/>
                <w:sz w:val="16"/>
                <w:szCs w:val="16"/>
              </w:rPr>
              <w:t>Non-infectious uveitis</w:t>
            </w: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07A907D1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7A9D95D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D9D9D9" w:themeFill="background1" w:themeFillShade="D9"/>
            <w:noWrap/>
          </w:tcPr>
          <w:p w14:paraId="0A8B67A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21142AD7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2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1DBC444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noWrap/>
          </w:tcPr>
          <w:p w14:paraId="5A94779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3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0CBDACB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39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639874F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4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6ACB612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175AC49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D9D9D9" w:themeFill="background1" w:themeFillShade="D9"/>
            <w:noWrap/>
          </w:tcPr>
          <w:p w14:paraId="1034FAA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5B81713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3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0FE08DC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34AB62A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</w:tcPr>
          <w:p w14:paraId="2DF59C2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left w:val="dotted" w:sz="4" w:space="0" w:color="auto"/>
            </w:tcBorders>
            <w:shd w:val="clear" w:color="auto" w:fill="D9D9D9" w:themeFill="background1" w:themeFillShade="D9"/>
            <w:noWrap/>
          </w:tcPr>
          <w:p w14:paraId="42756AED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2D93D440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5796E" w:rsidRPr="00A6123C" w14:paraId="1F105FC9" w14:textId="77777777" w:rsidTr="004B1D0E">
        <w:trPr>
          <w:trHeight w:val="20"/>
        </w:trPr>
        <w:tc>
          <w:tcPr>
            <w:tcW w:w="561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C6B095E" w14:textId="77777777" w:rsidR="0035796E" w:rsidRPr="00A6123C" w:rsidRDefault="0035796E" w:rsidP="00D241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 xml:space="preserve">Nguyen </w:t>
            </w:r>
            <w:r w:rsidRPr="00A6123C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A6123C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57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1533BA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1247412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E85C0C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C41CE9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91" w:type="pc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14:paraId="639F3C1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ED111E6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5A892B3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193" w:type="pc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14:paraId="0F10B778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39" w:type="pc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5B334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41" w:type="pc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14:paraId="38CB564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BABF8E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653A6E4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211" w:type="pc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14:paraId="02365FDC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NA</w:t>
            </w:r>
          </w:p>
        </w:tc>
        <w:tc>
          <w:tcPr>
            <w:tcW w:w="423" w:type="pc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B08251A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265" w:type="pct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14:paraId="028460C5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34" w:type="pct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14:paraId="2B811599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8" w:type="pct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226529F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08" w:type="pct"/>
            <w:tcBorders>
              <w:left w:val="dotted" w:sz="4" w:space="0" w:color="auto"/>
              <w:bottom w:val="single" w:sz="4" w:space="0" w:color="auto"/>
            </w:tcBorders>
          </w:tcPr>
          <w:p w14:paraId="633C658B" w14:textId="77777777" w:rsidR="0035796E" w:rsidRPr="00A6123C" w:rsidRDefault="0035796E" w:rsidP="00D241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</w:tr>
      <w:tr w:rsidR="0035796E" w:rsidRPr="00A6123C" w14:paraId="6BA6297E" w14:textId="77777777" w:rsidTr="00B759E2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52377723" w14:textId="77777777" w:rsidR="0035796E" w:rsidRPr="00A6123C" w:rsidRDefault="0035796E" w:rsidP="00D2410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6123C">
              <w:rPr>
                <w:rFonts w:ascii="Arial" w:eastAsia="Times New Roman" w:hAnsi="Arial" w:cs="Arial"/>
                <w:color w:val="1C1D1E"/>
                <w:sz w:val="16"/>
                <w:szCs w:val="16"/>
              </w:rPr>
              <w:t>†</w:t>
            </w:r>
            <w:r w:rsidRPr="00A6123C">
              <w:rPr>
                <w:rFonts w:ascii="Arial" w:hAnsi="Arial" w:cs="Arial"/>
                <w:sz w:val="16"/>
                <w:szCs w:val="16"/>
              </w:rPr>
              <w:t xml:space="preserve">Questions referred to questions listed in the quality assessment tool listed in </w:t>
            </w:r>
            <w:r w:rsidR="00131D20" w:rsidRPr="00A6123C">
              <w:rPr>
                <w:rFonts w:ascii="Arial" w:hAnsi="Arial" w:cs="Arial"/>
                <w:b/>
                <w:sz w:val="16"/>
                <w:szCs w:val="16"/>
              </w:rPr>
              <w:t>Additional file</w:t>
            </w:r>
            <w:r w:rsidRPr="00A6123C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1</w:t>
            </w:r>
            <w:r w:rsidR="00F30E75" w:rsidRPr="00A6123C">
              <w:rPr>
                <w:rFonts w:ascii="Arial" w:eastAsia="Times New Roman" w:hAnsi="Arial" w:cs="Arial"/>
                <w:b/>
                <w:sz w:val="16"/>
                <w:szCs w:val="16"/>
              </w:rPr>
              <w:t>.</w:t>
            </w:r>
          </w:p>
          <w:p w14:paraId="34E260BE" w14:textId="77777777" w:rsidR="00131D20" w:rsidRPr="00A6123C" w:rsidRDefault="00131D20" w:rsidP="00131D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123C">
              <w:rPr>
                <w:rFonts w:ascii="Arial" w:hAnsi="Arial" w:cs="Arial"/>
                <w:sz w:val="16"/>
                <w:szCs w:val="16"/>
              </w:rPr>
              <w:t>‡If less than 60% criteria in the quality assessment tool were met, quality was scored as weak; it was scored moderate if 60-79% were met and strong if 80%-100% were met.</w:t>
            </w:r>
            <w:r w:rsidRPr="00A612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092CA1F" w14:textId="77777777" w:rsidR="0035796E" w:rsidRPr="00A6123C" w:rsidRDefault="0035796E">
      <w:pPr>
        <w:rPr>
          <w:rFonts w:ascii="Arial" w:hAnsi="Arial" w:cs="Arial"/>
        </w:rPr>
      </w:pPr>
    </w:p>
    <w:p w14:paraId="7A60F122" w14:textId="77777777" w:rsidR="004F75DF" w:rsidRPr="00A6123C" w:rsidRDefault="004F75DF">
      <w:pPr>
        <w:rPr>
          <w:rFonts w:ascii="Arial" w:hAnsi="Arial" w:cs="Arial"/>
          <w:b/>
          <w:sz w:val="20"/>
        </w:rPr>
      </w:pPr>
      <w:r w:rsidRPr="00A6123C">
        <w:rPr>
          <w:rFonts w:ascii="Arial" w:hAnsi="Arial" w:cs="Arial"/>
          <w:b/>
          <w:sz w:val="20"/>
        </w:rPr>
        <w:br w:type="page"/>
      </w:r>
    </w:p>
    <w:p w14:paraId="740F9870" w14:textId="77777777" w:rsidR="002D7B68" w:rsidRPr="00A6123C" w:rsidRDefault="002D7B68">
      <w:pPr>
        <w:rPr>
          <w:rFonts w:ascii="Arial" w:hAnsi="Arial" w:cs="Arial"/>
          <w:b/>
          <w:sz w:val="20"/>
        </w:rPr>
        <w:sectPr w:rsidR="002D7B68" w:rsidRPr="00A6123C" w:rsidSect="0035796E">
          <w:footerReference w:type="default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55800E5" w14:textId="77777777" w:rsidR="0035796E" w:rsidRPr="00A6123C" w:rsidRDefault="00A6123C">
      <w:pPr>
        <w:rPr>
          <w:rFonts w:ascii="Arial" w:hAnsi="Arial" w:cs="Arial"/>
          <w:b/>
          <w:sz w:val="20"/>
        </w:rPr>
      </w:pPr>
      <w:r w:rsidRPr="00A6123C">
        <w:rPr>
          <w:rFonts w:ascii="Arial" w:hAnsi="Arial" w:cs="Arial"/>
          <w:b/>
          <w:sz w:val="20"/>
        </w:rPr>
        <w:lastRenderedPageBreak/>
        <w:t>REFERENCES</w:t>
      </w:r>
    </w:p>
    <w:p w14:paraId="6C26FC93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1.</w:t>
      </w:r>
      <w:r w:rsidRPr="00A6123C">
        <w:rPr>
          <w:rFonts w:ascii="Arial" w:hAnsi="Arial" w:cs="Arial"/>
          <w:sz w:val="20"/>
          <w:szCs w:val="20"/>
        </w:rPr>
        <w:tab/>
        <w:t xml:space="preserve">Ang GS, Ng WS &amp; Azuara-Blanco A. The influence of the new general ophthalmic services (GOS) contract in optometrist referrals for glaucoma in Scotland. </w:t>
      </w:r>
      <w:r w:rsidRPr="00A6123C">
        <w:rPr>
          <w:rFonts w:ascii="Arial" w:hAnsi="Arial" w:cs="Arial"/>
          <w:i/>
          <w:sz w:val="20"/>
          <w:szCs w:val="20"/>
        </w:rPr>
        <w:t xml:space="preserve">Eye (Lond) </w:t>
      </w:r>
      <w:r w:rsidRPr="00A6123C">
        <w:rPr>
          <w:rFonts w:ascii="Arial" w:hAnsi="Arial" w:cs="Arial"/>
          <w:sz w:val="20"/>
          <w:szCs w:val="20"/>
        </w:rPr>
        <w:t xml:space="preserve">2009; </w:t>
      </w:r>
      <w:r w:rsidRPr="00A6123C">
        <w:rPr>
          <w:rFonts w:ascii="Arial" w:hAnsi="Arial" w:cs="Arial"/>
          <w:b/>
          <w:sz w:val="20"/>
          <w:szCs w:val="20"/>
        </w:rPr>
        <w:t>23</w:t>
      </w:r>
      <w:r w:rsidRPr="00A6123C">
        <w:rPr>
          <w:rFonts w:ascii="Arial" w:hAnsi="Arial" w:cs="Arial"/>
          <w:sz w:val="20"/>
          <w:szCs w:val="20"/>
        </w:rPr>
        <w:t>(2): 351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355.</w:t>
      </w:r>
    </w:p>
    <w:p w14:paraId="2EB473C3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2.</w:t>
      </w:r>
      <w:r w:rsidRPr="00A6123C">
        <w:rPr>
          <w:rFonts w:ascii="Arial" w:hAnsi="Arial" w:cs="Arial"/>
          <w:sz w:val="20"/>
          <w:szCs w:val="20"/>
        </w:rPr>
        <w:tab/>
        <w:t xml:space="preserve">Ang MH, Baskaran M, Kumar RS, et al. National survey of ophthalmologists in Singapore for the assessment and management of asymptomatic angle closure. </w:t>
      </w:r>
      <w:r w:rsidRPr="00A6123C">
        <w:rPr>
          <w:rFonts w:ascii="Arial" w:hAnsi="Arial" w:cs="Arial"/>
          <w:i/>
          <w:sz w:val="20"/>
          <w:szCs w:val="20"/>
        </w:rPr>
        <w:t xml:space="preserve">J Glaucoma </w:t>
      </w:r>
      <w:r w:rsidRPr="00A6123C">
        <w:rPr>
          <w:rFonts w:ascii="Arial" w:hAnsi="Arial" w:cs="Arial"/>
          <w:sz w:val="20"/>
          <w:szCs w:val="20"/>
        </w:rPr>
        <w:t xml:space="preserve">2008; </w:t>
      </w:r>
      <w:r w:rsidRPr="00A6123C">
        <w:rPr>
          <w:rFonts w:ascii="Arial" w:hAnsi="Arial" w:cs="Arial"/>
          <w:b/>
          <w:sz w:val="20"/>
          <w:szCs w:val="20"/>
        </w:rPr>
        <w:t>17</w:t>
      </w:r>
      <w:r w:rsidRPr="00A6123C">
        <w:rPr>
          <w:rFonts w:ascii="Arial" w:hAnsi="Arial" w:cs="Arial"/>
          <w:sz w:val="20"/>
          <w:szCs w:val="20"/>
        </w:rPr>
        <w:t>(1): 1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4.</w:t>
      </w:r>
    </w:p>
    <w:p w14:paraId="5BC9CA18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3.</w:t>
      </w:r>
      <w:r w:rsidRPr="00A6123C">
        <w:rPr>
          <w:rFonts w:ascii="Arial" w:hAnsi="Arial" w:cs="Arial"/>
          <w:sz w:val="20"/>
          <w:szCs w:val="20"/>
        </w:rPr>
        <w:tab/>
        <w:t xml:space="preserve">Azuara-Blanco A, Burr J, Thomas R, Maclennan G &amp; McPherson S. The accuracy of accredited glaucoma optometrists in the diagnosis and treatment recommendation for glaucoma. </w:t>
      </w:r>
      <w:r w:rsidRPr="00A6123C">
        <w:rPr>
          <w:rFonts w:ascii="Arial" w:hAnsi="Arial" w:cs="Arial"/>
          <w:i/>
          <w:sz w:val="20"/>
          <w:szCs w:val="20"/>
        </w:rPr>
        <w:t xml:space="preserve">Br J Ophthalmol </w:t>
      </w:r>
      <w:r w:rsidRPr="00A6123C">
        <w:rPr>
          <w:rFonts w:ascii="Arial" w:hAnsi="Arial" w:cs="Arial"/>
          <w:sz w:val="20"/>
          <w:szCs w:val="20"/>
        </w:rPr>
        <w:t xml:space="preserve">2007; </w:t>
      </w:r>
      <w:r w:rsidRPr="00A6123C">
        <w:rPr>
          <w:rFonts w:ascii="Arial" w:hAnsi="Arial" w:cs="Arial"/>
          <w:b/>
          <w:sz w:val="20"/>
          <w:szCs w:val="20"/>
        </w:rPr>
        <w:t>91</w:t>
      </w:r>
      <w:r w:rsidRPr="00A6123C">
        <w:rPr>
          <w:rFonts w:ascii="Arial" w:hAnsi="Arial" w:cs="Arial"/>
          <w:sz w:val="20"/>
          <w:szCs w:val="20"/>
        </w:rPr>
        <w:t>(12): 1639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1643.</w:t>
      </w:r>
    </w:p>
    <w:p w14:paraId="675AD4C8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4.</w:t>
      </w:r>
      <w:r w:rsidRPr="00A6123C">
        <w:rPr>
          <w:rFonts w:ascii="Arial" w:hAnsi="Arial" w:cs="Arial"/>
          <w:sz w:val="20"/>
          <w:szCs w:val="20"/>
        </w:rPr>
        <w:tab/>
        <w:t xml:space="preserve">Banes MJ, Culham LE, Bunce C, Xing W, Viswanathan A &amp; Garway-Heath D. Agreement between optometrists and ophthalmologists on clinical management decisions for patients with glaucoma. </w:t>
      </w:r>
      <w:r w:rsidRPr="00A6123C">
        <w:rPr>
          <w:rFonts w:ascii="Arial" w:hAnsi="Arial" w:cs="Arial"/>
          <w:i/>
          <w:sz w:val="20"/>
          <w:szCs w:val="20"/>
        </w:rPr>
        <w:t xml:space="preserve">Br J Ophthalmol </w:t>
      </w:r>
      <w:r w:rsidRPr="00A6123C">
        <w:rPr>
          <w:rFonts w:ascii="Arial" w:hAnsi="Arial" w:cs="Arial"/>
          <w:sz w:val="20"/>
          <w:szCs w:val="20"/>
        </w:rPr>
        <w:t xml:space="preserve">2006; </w:t>
      </w:r>
      <w:r w:rsidRPr="00A6123C">
        <w:rPr>
          <w:rFonts w:ascii="Arial" w:hAnsi="Arial" w:cs="Arial"/>
          <w:b/>
          <w:sz w:val="20"/>
          <w:szCs w:val="20"/>
        </w:rPr>
        <w:t>90</w:t>
      </w:r>
      <w:r w:rsidRPr="00A6123C">
        <w:rPr>
          <w:rFonts w:ascii="Arial" w:hAnsi="Arial" w:cs="Arial"/>
          <w:sz w:val="20"/>
          <w:szCs w:val="20"/>
        </w:rPr>
        <w:t>(5): 579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585.</w:t>
      </w:r>
    </w:p>
    <w:p w14:paraId="22A1E33C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5.</w:t>
      </w:r>
      <w:r w:rsidRPr="00A6123C">
        <w:rPr>
          <w:rFonts w:ascii="Arial" w:hAnsi="Arial" w:cs="Arial"/>
          <w:sz w:val="20"/>
          <w:szCs w:val="20"/>
        </w:rPr>
        <w:tab/>
        <w:t xml:space="preserve">Chawla A, Patel I, Yuen C &amp; Fenerty C. Patterns of adherence to NICE glaucoma guidance in two different service delivery models. </w:t>
      </w:r>
      <w:r w:rsidRPr="00A6123C">
        <w:rPr>
          <w:rFonts w:ascii="Arial" w:hAnsi="Arial" w:cs="Arial"/>
          <w:i/>
          <w:sz w:val="20"/>
          <w:szCs w:val="20"/>
        </w:rPr>
        <w:t xml:space="preserve">Eye </w:t>
      </w:r>
      <w:r w:rsidRPr="00A6123C">
        <w:rPr>
          <w:rFonts w:ascii="Arial" w:hAnsi="Arial" w:cs="Arial"/>
          <w:sz w:val="20"/>
          <w:szCs w:val="20"/>
        </w:rPr>
        <w:t xml:space="preserve">2012; </w:t>
      </w:r>
      <w:r w:rsidRPr="00A6123C">
        <w:rPr>
          <w:rFonts w:ascii="Arial" w:hAnsi="Arial" w:cs="Arial"/>
          <w:b/>
          <w:sz w:val="20"/>
          <w:szCs w:val="20"/>
        </w:rPr>
        <w:t>26</w:t>
      </w:r>
      <w:r w:rsidRPr="00A6123C">
        <w:rPr>
          <w:rFonts w:ascii="Arial" w:hAnsi="Arial" w:cs="Arial"/>
          <w:sz w:val="20"/>
          <w:szCs w:val="20"/>
        </w:rPr>
        <w:t>(11): 1412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1417.</w:t>
      </w:r>
    </w:p>
    <w:p w14:paraId="379741D3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6.</w:t>
      </w:r>
      <w:r w:rsidRPr="00A6123C">
        <w:rPr>
          <w:rFonts w:ascii="Arial" w:hAnsi="Arial" w:cs="Arial"/>
          <w:sz w:val="20"/>
          <w:szCs w:val="20"/>
        </w:rPr>
        <w:tab/>
        <w:t xml:space="preserve">Cheng J, Beltran-Agullo L, Trope GE &amp; Buys YM. Assessment of the quality of glaucoma referral letters based on a survey of glaucoma specialists and a glaucoma guideline.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2014; </w:t>
      </w:r>
      <w:r w:rsidRPr="00A6123C">
        <w:rPr>
          <w:rFonts w:ascii="Arial" w:hAnsi="Arial" w:cs="Arial"/>
          <w:b/>
          <w:sz w:val="20"/>
          <w:szCs w:val="20"/>
        </w:rPr>
        <w:t>121</w:t>
      </w:r>
      <w:r w:rsidRPr="00A6123C">
        <w:rPr>
          <w:rFonts w:ascii="Arial" w:hAnsi="Arial" w:cs="Arial"/>
          <w:sz w:val="20"/>
          <w:szCs w:val="20"/>
        </w:rPr>
        <w:t>(1): 126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133.</w:t>
      </w:r>
    </w:p>
    <w:p w14:paraId="40C50B00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7.</w:t>
      </w:r>
      <w:r w:rsidRPr="00A6123C">
        <w:rPr>
          <w:rFonts w:ascii="Arial" w:hAnsi="Arial" w:cs="Arial"/>
          <w:sz w:val="20"/>
          <w:szCs w:val="20"/>
        </w:rPr>
        <w:tab/>
        <w:t xml:space="preserve">Coleman AL, Yu F &amp; Evans SJ. Use of gonioscopy in Medicare beneficiaries before glaucoma surgery. </w:t>
      </w:r>
      <w:r w:rsidRPr="00A6123C">
        <w:rPr>
          <w:rFonts w:ascii="Arial" w:hAnsi="Arial" w:cs="Arial"/>
          <w:i/>
          <w:sz w:val="20"/>
          <w:szCs w:val="20"/>
        </w:rPr>
        <w:t xml:space="preserve">Journal of Glaucoma </w:t>
      </w:r>
      <w:r w:rsidRPr="00A6123C">
        <w:rPr>
          <w:rFonts w:ascii="Arial" w:hAnsi="Arial" w:cs="Arial"/>
          <w:sz w:val="20"/>
          <w:szCs w:val="20"/>
        </w:rPr>
        <w:t xml:space="preserve">2006; </w:t>
      </w:r>
      <w:r w:rsidRPr="00A6123C">
        <w:rPr>
          <w:rFonts w:ascii="Arial" w:hAnsi="Arial" w:cs="Arial"/>
          <w:b/>
          <w:sz w:val="20"/>
          <w:szCs w:val="20"/>
        </w:rPr>
        <w:t>15</w:t>
      </w:r>
      <w:r w:rsidRPr="00A6123C">
        <w:rPr>
          <w:rFonts w:ascii="Arial" w:hAnsi="Arial" w:cs="Arial"/>
          <w:sz w:val="20"/>
          <w:szCs w:val="20"/>
        </w:rPr>
        <w:t>(6): 486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493.</w:t>
      </w:r>
    </w:p>
    <w:p w14:paraId="6243E68D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8.</w:t>
      </w:r>
      <w:r w:rsidRPr="00A6123C">
        <w:rPr>
          <w:rFonts w:ascii="Arial" w:hAnsi="Arial" w:cs="Arial"/>
          <w:sz w:val="20"/>
          <w:szCs w:val="20"/>
        </w:rPr>
        <w:tab/>
        <w:t xml:space="preserve">Elam AR, Blachley TS &amp; Stein JD. Geographic Variation in the Use of Diagnostic Testing of Patients with Newly Diagnosed Open-Angle Glaucoma.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2016; </w:t>
      </w:r>
      <w:r w:rsidRPr="00A6123C">
        <w:rPr>
          <w:rFonts w:ascii="Arial" w:hAnsi="Arial" w:cs="Arial"/>
          <w:b/>
          <w:sz w:val="20"/>
          <w:szCs w:val="20"/>
        </w:rPr>
        <w:t>123</w:t>
      </w:r>
      <w:r w:rsidRPr="00A6123C">
        <w:rPr>
          <w:rFonts w:ascii="Arial" w:hAnsi="Arial" w:cs="Arial"/>
          <w:sz w:val="20"/>
          <w:szCs w:val="20"/>
        </w:rPr>
        <w:t>(3): 522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531.</w:t>
      </w:r>
    </w:p>
    <w:p w14:paraId="61F08A1C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9.</w:t>
      </w:r>
      <w:r w:rsidRPr="00A6123C">
        <w:rPr>
          <w:rFonts w:ascii="Arial" w:hAnsi="Arial" w:cs="Arial"/>
          <w:sz w:val="20"/>
          <w:szCs w:val="20"/>
        </w:rPr>
        <w:tab/>
        <w:t xml:space="preserve">El-Assal K, Foulds J, Dobson S &amp; Sanders R. A comparative study of glaucoma referrals in Southeast Scotland: effect of the new general ophthalmic service contract, Eyecare integration pilot programme and NICE guidelines. </w:t>
      </w:r>
      <w:r w:rsidRPr="00A6123C">
        <w:rPr>
          <w:rFonts w:ascii="Arial" w:hAnsi="Arial" w:cs="Arial"/>
          <w:i/>
          <w:sz w:val="20"/>
          <w:szCs w:val="20"/>
        </w:rPr>
        <w:t xml:space="preserve">BMC ophthalmol </w:t>
      </w:r>
      <w:r w:rsidRPr="00A6123C">
        <w:rPr>
          <w:rFonts w:ascii="Arial" w:hAnsi="Arial" w:cs="Arial"/>
          <w:sz w:val="20"/>
          <w:szCs w:val="20"/>
        </w:rPr>
        <w:t xml:space="preserve">2015; </w:t>
      </w:r>
      <w:r w:rsidRPr="00A6123C">
        <w:rPr>
          <w:rFonts w:ascii="Arial" w:hAnsi="Arial" w:cs="Arial"/>
          <w:b/>
          <w:sz w:val="20"/>
          <w:szCs w:val="20"/>
        </w:rPr>
        <w:t>15</w:t>
      </w:r>
      <w:r w:rsidRPr="00A6123C">
        <w:rPr>
          <w:rFonts w:ascii="Arial" w:hAnsi="Arial" w:cs="Arial"/>
          <w:sz w:val="20"/>
          <w:szCs w:val="20"/>
        </w:rPr>
        <w:t>: 172.</w:t>
      </w:r>
    </w:p>
    <w:p w14:paraId="63EF3AAC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10.</w:t>
      </w:r>
      <w:r w:rsidRPr="00A6123C">
        <w:rPr>
          <w:rFonts w:ascii="Arial" w:hAnsi="Arial" w:cs="Arial"/>
          <w:sz w:val="20"/>
          <w:szCs w:val="20"/>
        </w:rPr>
        <w:tab/>
        <w:t xml:space="preserve">Fung SS, Lemer C, Russell RA, Malik R &amp; Crabb DP. Are practical recommendations practiced? A national multi-centre cross-sectional study on frequency of visual field testing in glaucoma. </w:t>
      </w:r>
      <w:r w:rsidRPr="00A6123C">
        <w:rPr>
          <w:rFonts w:ascii="Arial" w:hAnsi="Arial" w:cs="Arial"/>
          <w:i/>
          <w:sz w:val="20"/>
          <w:szCs w:val="20"/>
        </w:rPr>
        <w:t xml:space="preserve">Br J Ophthalmol </w:t>
      </w:r>
      <w:r w:rsidRPr="00A6123C">
        <w:rPr>
          <w:rFonts w:ascii="Arial" w:hAnsi="Arial" w:cs="Arial"/>
          <w:sz w:val="20"/>
          <w:szCs w:val="20"/>
        </w:rPr>
        <w:t xml:space="preserve">2013; </w:t>
      </w:r>
      <w:r w:rsidRPr="00A6123C">
        <w:rPr>
          <w:rFonts w:ascii="Arial" w:hAnsi="Arial" w:cs="Arial"/>
          <w:b/>
          <w:sz w:val="20"/>
          <w:szCs w:val="20"/>
        </w:rPr>
        <w:t>97</w:t>
      </w:r>
      <w:r w:rsidRPr="00A6123C">
        <w:rPr>
          <w:rFonts w:ascii="Arial" w:hAnsi="Arial" w:cs="Arial"/>
          <w:sz w:val="20"/>
          <w:szCs w:val="20"/>
        </w:rPr>
        <w:t>(7): 843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847.</w:t>
      </w:r>
    </w:p>
    <w:p w14:paraId="6BAAC4E7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11.</w:t>
      </w:r>
      <w:r w:rsidRPr="00A6123C">
        <w:rPr>
          <w:rFonts w:ascii="Arial" w:hAnsi="Arial" w:cs="Arial"/>
          <w:sz w:val="20"/>
          <w:szCs w:val="20"/>
        </w:rPr>
        <w:tab/>
        <w:t>Ho S &amp; Vernon SA. Decision making in chronic glaucoma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 xml:space="preserve">optometrists vs ophthalmologists in a shared care service.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31</w:t>
      </w:r>
      <w:r w:rsidRPr="00A6123C">
        <w:rPr>
          <w:rFonts w:ascii="Arial" w:hAnsi="Arial" w:cs="Arial"/>
          <w:sz w:val="20"/>
          <w:szCs w:val="20"/>
        </w:rPr>
        <w:t>(2): 168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173.</w:t>
      </w:r>
    </w:p>
    <w:p w14:paraId="1150CBC1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12.</w:t>
      </w:r>
      <w:r w:rsidRPr="00A6123C">
        <w:rPr>
          <w:rFonts w:ascii="Arial" w:hAnsi="Arial" w:cs="Arial"/>
          <w:sz w:val="20"/>
          <w:szCs w:val="20"/>
        </w:rPr>
        <w:tab/>
        <w:t xml:space="preserve">Khan S, Clarke J &amp; Kotecha A. Comparison of optometrist glaucoma referrals against published guidelines.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2012; </w:t>
      </w:r>
      <w:r w:rsidRPr="00A6123C">
        <w:rPr>
          <w:rFonts w:ascii="Arial" w:hAnsi="Arial" w:cs="Arial"/>
          <w:b/>
          <w:sz w:val="20"/>
          <w:szCs w:val="20"/>
        </w:rPr>
        <w:t>32</w:t>
      </w:r>
      <w:r w:rsidRPr="00A6123C">
        <w:rPr>
          <w:rFonts w:ascii="Arial" w:hAnsi="Arial" w:cs="Arial"/>
          <w:sz w:val="20"/>
          <w:szCs w:val="20"/>
        </w:rPr>
        <w:t>(6): 472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477.</w:t>
      </w:r>
    </w:p>
    <w:p w14:paraId="63A56C13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13.</w:t>
      </w:r>
      <w:r w:rsidRPr="00A6123C">
        <w:rPr>
          <w:rFonts w:ascii="Arial" w:hAnsi="Arial" w:cs="Arial"/>
          <w:sz w:val="20"/>
          <w:szCs w:val="20"/>
        </w:rPr>
        <w:tab/>
        <w:t xml:space="preserve">Liu L. Australia and New Zealand survey of glaucoma practice patterns. </w:t>
      </w:r>
      <w:r w:rsidRPr="00A6123C">
        <w:rPr>
          <w:rFonts w:ascii="Arial" w:hAnsi="Arial" w:cs="Arial"/>
          <w:i/>
          <w:sz w:val="20"/>
          <w:szCs w:val="20"/>
        </w:rPr>
        <w:t xml:space="preserve">Clin Experiment Ophthalmol </w:t>
      </w:r>
      <w:r w:rsidRPr="00A6123C">
        <w:rPr>
          <w:rFonts w:ascii="Arial" w:hAnsi="Arial" w:cs="Arial"/>
          <w:sz w:val="20"/>
          <w:szCs w:val="20"/>
        </w:rPr>
        <w:t xml:space="preserve">2008; </w:t>
      </w:r>
      <w:r w:rsidRPr="00A6123C">
        <w:rPr>
          <w:rFonts w:ascii="Arial" w:hAnsi="Arial" w:cs="Arial"/>
          <w:b/>
          <w:sz w:val="20"/>
          <w:szCs w:val="20"/>
        </w:rPr>
        <w:t>36</w:t>
      </w:r>
      <w:r w:rsidRPr="00A6123C">
        <w:rPr>
          <w:rFonts w:ascii="Arial" w:hAnsi="Arial" w:cs="Arial"/>
          <w:sz w:val="20"/>
          <w:szCs w:val="20"/>
        </w:rPr>
        <w:t>(1): 19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25.</w:t>
      </w:r>
    </w:p>
    <w:p w14:paraId="5C30013F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14.</w:t>
      </w:r>
      <w:r w:rsidRPr="00A6123C">
        <w:rPr>
          <w:rFonts w:ascii="Arial" w:hAnsi="Arial" w:cs="Arial"/>
          <w:sz w:val="20"/>
          <w:szCs w:val="20"/>
        </w:rPr>
        <w:tab/>
        <w:t xml:space="preserve">Lockwood AJ, Kirwan JF &amp; Ashleigh Z. Optometrists referrals for glaucoma assessment: a prospective survey of clinical data and outcomes. </w:t>
      </w:r>
      <w:r w:rsidRPr="00A6123C">
        <w:rPr>
          <w:rFonts w:ascii="Arial" w:hAnsi="Arial" w:cs="Arial"/>
          <w:i/>
          <w:sz w:val="20"/>
          <w:szCs w:val="20"/>
        </w:rPr>
        <w:t xml:space="preserve">Eye </w:t>
      </w:r>
      <w:r w:rsidRPr="00A6123C">
        <w:rPr>
          <w:rFonts w:ascii="Arial" w:hAnsi="Arial" w:cs="Arial"/>
          <w:sz w:val="20"/>
          <w:szCs w:val="20"/>
        </w:rPr>
        <w:t xml:space="preserve">2010; </w:t>
      </w:r>
      <w:r w:rsidRPr="00A6123C">
        <w:rPr>
          <w:rFonts w:ascii="Arial" w:hAnsi="Arial" w:cs="Arial"/>
          <w:b/>
          <w:sz w:val="20"/>
          <w:szCs w:val="20"/>
        </w:rPr>
        <w:t>24</w:t>
      </w:r>
      <w:r w:rsidRPr="00A6123C">
        <w:rPr>
          <w:rFonts w:ascii="Arial" w:hAnsi="Arial" w:cs="Arial"/>
          <w:sz w:val="20"/>
          <w:szCs w:val="20"/>
        </w:rPr>
        <w:t>(9): 1515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1519.</w:t>
      </w:r>
    </w:p>
    <w:p w14:paraId="38ACC0C1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15.</w:t>
      </w:r>
      <w:r w:rsidRPr="00A6123C">
        <w:rPr>
          <w:rFonts w:ascii="Arial" w:hAnsi="Arial" w:cs="Arial"/>
          <w:sz w:val="20"/>
          <w:szCs w:val="20"/>
        </w:rPr>
        <w:tab/>
        <w:t xml:space="preserve">Marks JR, Harding AK, Harper RA, et al. Agreement between specially trained and accredited optometrists and glaucoma specialist consultant ophthalmologists in their management of glaucoma patients. </w:t>
      </w:r>
      <w:r w:rsidRPr="00A6123C">
        <w:rPr>
          <w:rFonts w:ascii="Arial" w:hAnsi="Arial" w:cs="Arial"/>
          <w:i/>
          <w:sz w:val="20"/>
          <w:szCs w:val="20"/>
        </w:rPr>
        <w:t xml:space="preserve">Eye </w:t>
      </w:r>
      <w:r w:rsidRPr="00A6123C">
        <w:rPr>
          <w:rFonts w:ascii="Arial" w:hAnsi="Arial" w:cs="Arial"/>
          <w:sz w:val="20"/>
          <w:szCs w:val="20"/>
        </w:rPr>
        <w:t xml:space="preserve">2012; </w:t>
      </w:r>
      <w:r w:rsidRPr="00A6123C">
        <w:rPr>
          <w:rFonts w:ascii="Arial" w:hAnsi="Arial" w:cs="Arial"/>
          <w:b/>
          <w:sz w:val="20"/>
          <w:szCs w:val="20"/>
        </w:rPr>
        <w:t>26</w:t>
      </w:r>
      <w:r w:rsidRPr="00A6123C">
        <w:rPr>
          <w:rFonts w:ascii="Arial" w:hAnsi="Arial" w:cs="Arial"/>
          <w:sz w:val="20"/>
          <w:szCs w:val="20"/>
        </w:rPr>
        <w:t>(6): 853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861.</w:t>
      </w:r>
    </w:p>
    <w:p w14:paraId="566B710C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16.</w:t>
      </w:r>
      <w:r w:rsidRPr="00A6123C">
        <w:rPr>
          <w:rFonts w:ascii="Arial" w:hAnsi="Arial" w:cs="Arial"/>
          <w:sz w:val="20"/>
          <w:szCs w:val="20"/>
        </w:rPr>
        <w:tab/>
        <w:t xml:space="preserve">Ong SS, Sanka K, Mettu PS, et al. Resident compliance with the american academy of ophthalmology preferred practice pattern guidelines for primary open-angle glaucoma.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2013; </w:t>
      </w:r>
      <w:r w:rsidRPr="00A6123C">
        <w:rPr>
          <w:rFonts w:ascii="Arial" w:hAnsi="Arial" w:cs="Arial"/>
          <w:b/>
          <w:sz w:val="20"/>
          <w:szCs w:val="20"/>
        </w:rPr>
        <w:t>120</w:t>
      </w:r>
      <w:r w:rsidRPr="00A6123C">
        <w:rPr>
          <w:rFonts w:ascii="Arial" w:hAnsi="Arial" w:cs="Arial"/>
          <w:sz w:val="20"/>
          <w:szCs w:val="20"/>
        </w:rPr>
        <w:t>(12): 2462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2469.</w:t>
      </w:r>
    </w:p>
    <w:p w14:paraId="72DCB764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17.</w:t>
      </w:r>
      <w:r w:rsidRPr="00A6123C">
        <w:rPr>
          <w:rFonts w:ascii="Arial" w:hAnsi="Arial" w:cs="Arial"/>
          <w:sz w:val="20"/>
          <w:szCs w:val="20"/>
        </w:rPr>
        <w:tab/>
        <w:t xml:space="preserve">Patel UD, Murdoch IE &amp; Theodossiades J. Glaucoma detection in the community: does ongoing training of optometrists have a lasting effect? </w:t>
      </w:r>
      <w:r w:rsidRPr="00A6123C">
        <w:rPr>
          <w:rFonts w:ascii="Arial" w:hAnsi="Arial" w:cs="Arial"/>
          <w:i/>
          <w:sz w:val="20"/>
          <w:szCs w:val="20"/>
        </w:rPr>
        <w:t xml:space="preserve">Eye </w:t>
      </w:r>
      <w:r w:rsidRPr="00A6123C">
        <w:rPr>
          <w:rFonts w:ascii="Arial" w:hAnsi="Arial" w:cs="Arial"/>
          <w:sz w:val="20"/>
          <w:szCs w:val="20"/>
        </w:rPr>
        <w:t xml:space="preserve">2006; </w:t>
      </w:r>
      <w:r w:rsidRPr="00A6123C">
        <w:rPr>
          <w:rFonts w:ascii="Arial" w:hAnsi="Arial" w:cs="Arial"/>
          <w:b/>
          <w:sz w:val="20"/>
          <w:szCs w:val="20"/>
        </w:rPr>
        <w:t>20</w:t>
      </w:r>
      <w:r w:rsidRPr="00A6123C">
        <w:rPr>
          <w:rFonts w:ascii="Arial" w:hAnsi="Arial" w:cs="Arial"/>
          <w:sz w:val="20"/>
          <w:szCs w:val="20"/>
        </w:rPr>
        <w:t>(5): 591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594.</w:t>
      </w:r>
    </w:p>
    <w:p w14:paraId="187475F6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18.</w:t>
      </w:r>
      <w:r w:rsidRPr="00A6123C">
        <w:rPr>
          <w:rFonts w:ascii="Arial" w:hAnsi="Arial" w:cs="Arial"/>
          <w:sz w:val="20"/>
          <w:szCs w:val="20"/>
        </w:rPr>
        <w:tab/>
        <w:t xml:space="preserve">Quigley HA, Friedman DS &amp; Hahn SR. Evaluation of practice patterns for the care of open-angle glaucoma compared with claims data: the Glaucoma Adherence and Persistency Study.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2007; </w:t>
      </w:r>
      <w:r w:rsidRPr="00A6123C">
        <w:rPr>
          <w:rFonts w:ascii="Arial" w:hAnsi="Arial" w:cs="Arial"/>
          <w:b/>
          <w:sz w:val="20"/>
          <w:szCs w:val="20"/>
        </w:rPr>
        <w:t>114</w:t>
      </w:r>
      <w:r w:rsidRPr="00A6123C">
        <w:rPr>
          <w:rFonts w:ascii="Arial" w:hAnsi="Arial" w:cs="Arial"/>
          <w:sz w:val="20"/>
          <w:szCs w:val="20"/>
        </w:rPr>
        <w:t>(9): 1599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1606.</w:t>
      </w:r>
    </w:p>
    <w:p w14:paraId="46DE10F2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19.</w:t>
      </w:r>
      <w:r w:rsidRPr="00A6123C">
        <w:rPr>
          <w:rFonts w:ascii="Arial" w:hAnsi="Arial" w:cs="Arial"/>
          <w:sz w:val="20"/>
          <w:szCs w:val="20"/>
        </w:rPr>
        <w:tab/>
        <w:t xml:space="preserve">Scully ND, Chu L, Siriwardena D, Wormald R &amp; Kotecha A. The quality of optometrists' referral letters for glaucoma.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2009; </w:t>
      </w:r>
      <w:r w:rsidRPr="00A6123C">
        <w:rPr>
          <w:rFonts w:ascii="Arial" w:hAnsi="Arial" w:cs="Arial"/>
          <w:b/>
          <w:sz w:val="20"/>
          <w:szCs w:val="20"/>
        </w:rPr>
        <w:t>29</w:t>
      </w:r>
      <w:r w:rsidRPr="00A6123C">
        <w:rPr>
          <w:rFonts w:ascii="Arial" w:hAnsi="Arial" w:cs="Arial"/>
          <w:sz w:val="20"/>
          <w:szCs w:val="20"/>
        </w:rPr>
        <w:t>(1): 26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31.</w:t>
      </w:r>
    </w:p>
    <w:p w14:paraId="503CDEB1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20.</w:t>
      </w:r>
      <w:r w:rsidRPr="00A6123C">
        <w:rPr>
          <w:rFonts w:ascii="Arial" w:hAnsi="Arial" w:cs="Arial"/>
          <w:sz w:val="20"/>
          <w:szCs w:val="20"/>
        </w:rPr>
        <w:tab/>
        <w:t xml:space="preserve">Shah S &amp; Murdoch IE. NICE 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 xml:space="preserve"> impact on glaucoma case detection.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31</w:t>
      </w:r>
      <w:r w:rsidRPr="00A6123C">
        <w:rPr>
          <w:rFonts w:ascii="Arial" w:hAnsi="Arial" w:cs="Arial"/>
          <w:sz w:val="20"/>
          <w:szCs w:val="20"/>
        </w:rPr>
        <w:t>(4): 339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342.</w:t>
      </w:r>
    </w:p>
    <w:p w14:paraId="4A3810C8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21.</w:t>
      </w:r>
      <w:r w:rsidRPr="00A6123C">
        <w:rPr>
          <w:rFonts w:ascii="Arial" w:hAnsi="Arial" w:cs="Arial"/>
          <w:sz w:val="20"/>
          <w:szCs w:val="20"/>
        </w:rPr>
        <w:tab/>
        <w:t xml:space="preserve">Solano-Moncada F, Dymerska M, Jefferys JL &amp; Quigley HA. Adherence With the Use of Target Intraocular Pressure for Glaucoma Patients in a Large University Practice. </w:t>
      </w:r>
      <w:r w:rsidRPr="00A6123C">
        <w:rPr>
          <w:rFonts w:ascii="Arial" w:hAnsi="Arial" w:cs="Arial"/>
          <w:i/>
          <w:sz w:val="20"/>
          <w:szCs w:val="20"/>
        </w:rPr>
        <w:t xml:space="preserve">J Glaucoma </w:t>
      </w:r>
      <w:r w:rsidRPr="00A6123C">
        <w:rPr>
          <w:rFonts w:ascii="Arial" w:hAnsi="Arial" w:cs="Arial"/>
          <w:sz w:val="20"/>
          <w:szCs w:val="20"/>
        </w:rPr>
        <w:t xml:space="preserve">2016; </w:t>
      </w:r>
      <w:r w:rsidRPr="00A6123C">
        <w:rPr>
          <w:rFonts w:ascii="Arial" w:hAnsi="Arial" w:cs="Arial"/>
          <w:b/>
          <w:sz w:val="20"/>
          <w:szCs w:val="20"/>
        </w:rPr>
        <w:t>25</w:t>
      </w:r>
      <w:r w:rsidRPr="00A6123C">
        <w:rPr>
          <w:rFonts w:ascii="Arial" w:hAnsi="Arial" w:cs="Arial"/>
          <w:sz w:val="20"/>
          <w:szCs w:val="20"/>
        </w:rPr>
        <w:t>(4): e424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432.</w:t>
      </w:r>
    </w:p>
    <w:p w14:paraId="63E89262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22.</w:t>
      </w:r>
      <w:r w:rsidRPr="00A6123C">
        <w:rPr>
          <w:rFonts w:ascii="Arial" w:hAnsi="Arial" w:cs="Arial"/>
          <w:sz w:val="20"/>
          <w:szCs w:val="20"/>
        </w:rPr>
        <w:tab/>
        <w:t xml:space="preserve">Stead R, Azuara-Blanco A &amp; King AJ. Attitudes of consultant ophthalmologists in the UK to initial management of glaucoma patients presenting with severe visual field loss: a national survey. </w:t>
      </w:r>
      <w:r w:rsidRPr="00A6123C">
        <w:rPr>
          <w:rFonts w:ascii="Arial" w:hAnsi="Arial" w:cs="Arial"/>
          <w:i/>
          <w:sz w:val="20"/>
          <w:szCs w:val="20"/>
        </w:rPr>
        <w:t xml:space="preserve">Clin Experiment Ophthalmol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39</w:t>
      </w:r>
      <w:r w:rsidRPr="00A6123C">
        <w:rPr>
          <w:rFonts w:ascii="Arial" w:hAnsi="Arial" w:cs="Arial"/>
          <w:sz w:val="20"/>
          <w:szCs w:val="20"/>
        </w:rPr>
        <w:t>(9): 858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864.</w:t>
      </w:r>
    </w:p>
    <w:p w14:paraId="6C44AF9C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23.</w:t>
      </w:r>
      <w:r w:rsidRPr="00A6123C">
        <w:rPr>
          <w:rFonts w:ascii="Arial" w:hAnsi="Arial" w:cs="Arial"/>
          <w:sz w:val="20"/>
          <w:szCs w:val="20"/>
        </w:rPr>
        <w:tab/>
        <w:t xml:space="preserve">Swamy L, Smith S &amp; Radcliffe NM. Optic nerve complex imaging in glaucoma Medicare beneficiaries. </w:t>
      </w:r>
      <w:r w:rsidRPr="00A6123C">
        <w:rPr>
          <w:rFonts w:ascii="Arial" w:hAnsi="Arial" w:cs="Arial"/>
          <w:i/>
          <w:sz w:val="20"/>
          <w:szCs w:val="20"/>
        </w:rPr>
        <w:t xml:space="preserve">Ophthalmic Epidemiol </w:t>
      </w:r>
      <w:r w:rsidRPr="00A6123C">
        <w:rPr>
          <w:rFonts w:ascii="Arial" w:hAnsi="Arial" w:cs="Arial"/>
          <w:sz w:val="20"/>
          <w:szCs w:val="20"/>
        </w:rPr>
        <w:t xml:space="preserve">2012; </w:t>
      </w:r>
      <w:r w:rsidRPr="00A6123C">
        <w:rPr>
          <w:rFonts w:ascii="Arial" w:hAnsi="Arial" w:cs="Arial"/>
          <w:b/>
          <w:sz w:val="20"/>
          <w:szCs w:val="20"/>
        </w:rPr>
        <w:t>19</w:t>
      </w:r>
      <w:r w:rsidRPr="00A6123C">
        <w:rPr>
          <w:rFonts w:ascii="Arial" w:hAnsi="Arial" w:cs="Arial"/>
          <w:sz w:val="20"/>
          <w:szCs w:val="20"/>
        </w:rPr>
        <w:t>(4): 249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255.</w:t>
      </w:r>
    </w:p>
    <w:p w14:paraId="2211F719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24.</w:t>
      </w:r>
      <w:r w:rsidRPr="00A6123C">
        <w:rPr>
          <w:rFonts w:ascii="Arial" w:hAnsi="Arial" w:cs="Arial"/>
          <w:sz w:val="20"/>
          <w:szCs w:val="20"/>
        </w:rPr>
        <w:tab/>
        <w:t xml:space="preserve">Syam P, Rughani K, Vardy SJ, et al. The Peterborough scheme for community specialist optometrists in glaucoma: a feasibility study. </w:t>
      </w:r>
      <w:r w:rsidRPr="00A6123C">
        <w:rPr>
          <w:rFonts w:ascii="Arial" w:hAnsi="Arial" w:cs="Arial"/>
          <w:i/>
          <w:sz w:val="20"/>
          <w:szCs w:val="20"/>
        </w:rPr>
        <w:t xml:space="preserve">Eye </w:t>
      </w:r>
      <w:r w:rsidRPr="00A6123C">
        <w:rPr>
          <w:rFonts w:ascii="Arial" w:hAnsi="Arial" w:cs="Arial"/>
          <w:sz w:val="20"/>
          <w:szCs w:val="20"/>
        </w:rPr>
        <w:t xml:space="preserve">2010; </w:t>
      </w:r>
      <w:r w:rsidRPr="00A6123C">
        <w:rPr>
          <w:rFonts w:ascii="Arial" w:hAnsi="Arial" w:cs="Arial"/>
          <w:b/>
          <w:sz w:val="20"/>
          <w:szCs w:val="20"/>
        </w:rPr>
        <w:t>24</w:t>
      </w:r>
      <w:r w:rsidRPr="00A6123C">
        <w:rPr>
          <w:rFonts w:ascii="Arial" w:hAnsi="Arial" w:cs="Arial"/>
          <w:sz w:val="20"/>
          <w:szCs w:val="20"/>
        </w:rPr>
        <w:t>(7): 1156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1164.</w:t>
      </w:r>
    </w:p>
    <w:p w14:paraId="264144A3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lastRenderedPageBreak/>
        <w:t>25.</w:t>
      </w:r>
      <w:r w:rsidRPr="00A6123C">
        <w:rPr>
          <w:rFonts w:ascii="Arial" w:hAnsi="Arial" w:cs="Arial"/>
          <w:sz w:val="20"/>
          <w:szCs w:val="20"/>
        </w:rPr>
        <w:tab/>
        <w:t xml:space="preserve">Theodossiades J, Myint J, Murdoch IE, Edgar DF &amp; Lawrenson JG. Does optometrists' self-reported practice in glaucoma detection predict actual practice as determined by standardised patients?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2012; </w:t>
      </w:r>
      <w:r w:rsidRPr="00A6123C">
        <w:rPr>
          <w:rFonts w:ascii="Arial" w:hAnsi="Arial" w:cs="Arial"/>
          <w:b/>
          <w:sz w:val="20"/>
          <w:szCs w:val="20"/>
        </w:rPr>
        <w:t>32</w:t>
      </w:r>
      <w:r w:rsidRPr="00A6123C">
        <w:rPr>
          <w:rFonts w:ascii="Arial" w:hAnsi="Arial" w:cs="Arial"/>
          <w:sz w:val="20"/>
          <w:szCs w:val="20"/>
        </w:rPr>
        <w:t>(3): 234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241.</w:t>
      </w:r>
    </w:p>
    <w:p w14:paraId="30F2F0CA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26.</w:t>
      </w:r>
      <w:r w:rsidRPr="00A6123C">
        <w:rPr>
          <w:rFonts w:ascii="Arial" w:hAnsi="Arial" w:cs="Arial"/>
          <w:sz w:val="20"/>
          <w:szCs w:val="20"/>
        </w:rPr>
        <w:tab/>
        <w:t xml:space="preserve">Vorwerk C, Thelen U, Buchholz P &amp; Kimmich F. Treatment of glaucoma patients with insufficient intraocular pressure control: a survey of German ophthalmologists in private practice. </w:t>
      </w:r>
      <w:r w:rsidRPr="00A6123C">
        <w:rPr>
          <w:rFonts w:ascii="Arial" w:hAnsi="Arial" w:cs="Arial"/>
          <w:i/>
          <w:sz w:val="20"/>
          <w:szCs w:val="20"/>
        </w:rPr>
        <w:t xml:space="preserve">Curr Med Res Opin </w:t>
      </w:r>
      <w:r w:rsidRPr="00A6123C">
        <w:rPr>
          <w:rFonts w:ascii="Arial" w:hAnsi="Arial" w:cs="Arial"/>
          <w:sz w:val="20"/>
          <w:szCs w:val="20"/>
        </w:rPr>
        <w:t xml:space="preserve">2008; </w:t>
      </w:r>
      <w:r w:rsidRPr="00A6123C">
        <w:rPr>
          <w:rFonts w:ascii="Arial" w:hAnsi="Arial" w:cs="Arial"/>
          <w:b/>
          <w:sz w:val="20"/>
          <w:szCs w:val="20"/>
        </w:rPr>
        <w:t>24</w:t>
      </w:r>
      <w:r w:rsidRPr="00A6123C">
        <w:rPr>
          <w:rFonts w:ascii="Arial" w:hAnsi="Arial" w:cs="Arial"/>
          <w:sz w:val="20"/>
          <w:szCs w:val="20"/>
        </w:rPr>
        <w:t>(5): 1295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1301.</w:t>
      </w:r>
    </w:p>
    <w:p w14:paraId="730C4B79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27.</w:t>
      </w:r>
      <w:r w:rsidRPr="00A6123C">
        <w:rPr>
          <w:rFonts w:ascii="Arial" w:hAnsi="Arial" w:cs="Arial"/>
          <w:sz w:val="20"/>
          <w:szCs w:val="20"/>
        </w:rPr>
        <w:tab/>
        <w:t xml:space="preserve">Zangerl B, Hayen A, Mitchell P, Jamous KF, Stapleton F &amp; Kalloniatis M. Therapeutic endorsement enhances compliance with national glaucoma guidelines in Australian and New Zealand optometrists.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2015; </w:t>
      </w:r>
      <w:r w:rsidRPr="00A6123C">
        <w:rPr>
          <w:rFonts w:ascii="Arial" w:hAnsi="Arial" w:cs="Arial"/>
          <w:b/>
          <w:sz w:val="20"/>
          <w:szCs w:val="20"/>
        </w:rPr>
        <w:t>35</w:t>
      </w:r>
      <w:r w:rsidRPr="00A6123C">
        <w:rPr>
          <w:rFonts w:ascii="Arial" w:hAnsi="Arial" w:cs="Arial"/>
          <w:sz w:val="20"/>
          <w:szCs w:val="20"/>
        </w:rPr>
        <w:t>(2): 212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224.</w:t>
      </w:r>
    </w:p>
    <w:p w14:paraId="39B855D9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28.</w:t>
      </w:r>
      <w:r w:rsidRPr="00A6123C">
        <w:rPr>
          <w:rFonts w:ascii="Arial" w:hAnsi="Arial" w:cs="Arial"/>
          <w:sz w:val="20"/>
          <w:szCs w:val="20"/>
        </w:rPr>
        <w:tab/>
        <w:t xml:space="preserve">Zebardast N, Solus JF, Quigley HA, Srikumaran D &amp; Ramulu PY. Comparison of resident and glaucoma faculty practice patterns in the care of open-angle glaucoma. </w:t>
      </w:r>
      <w:r w:rsidRPr="00A6123C">
        <w:rPr>
          <w:rFonts w:ascii="Arial" w:hAnsi="Arial" w:cs="Arial"/>
          <w:i/>
          <w:sz w:val="20"/>
          <w:szCs w:val="20"/>
        </w:rPr>
        <w:t xml:space="preserve">BMC Ophthalmol </w:t>
      </w:r>
      <w:r w:rsidRPr="00A6123C">
        <w:rPr>
          <w:rFonts w:ascii="Arial" w:hAnsi="Arial" w:cs="Arial"/>
          <w:sz w:val="20"/>
          <w:szCs w:val="20"/>
        </w:rPr>
        <w:t xml:space="preserve">2015; </w:t>
      </w:r>
      <w:r w:rsidRPr="00A6123C">
        <w:rPr>
          <w:rFonts w:ascii="Arial" w:hAnsi="Arial" w:cs="Arial"/>
          <w:b/>
          <w:sz w:val="20"/>
          <w:szCs w:val="20"/>
        </w:rPr>
        <w:t>15</w:t>
      </w:r>
      <w:r w:rsidRPr="00A6123C">
        <w:rPr>
          <w:rFonts w:ascii="Arial" w:hAnsi="Arial" w:cs="Arial"/>
          <w:sz w:val="20"/>
          <w:szCs w:val="20"/>
        </w:rPr>
        <w:t>: 41.</w:t>
      </w:r>
    </w:p>
    <w:p w14:paraId="6FC22718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29.</w:t>
      </w:r>
      <w:r w:rsidRPr="00A6123C">
        <w:rPr>
          <w:rFonts w:ascii="Arial" w:hAnsi="Arial" w:cs="Arial"/>
          <w:sz w:val="20"/>
          <w:szCs w:val="20"/>
        </w:rPr>
        <w:tab/>
        <w:t xml:space="preserve">Al-Ubaidi BA, Al-Khadraji MA &amp; Al-Hermi B. Measuring adherence rate to quality indicators for diabetes care identified by primary health care in Bahrain. </w:t>
      </w:r>
      <w:r w:rsidRPr="00A6123C">
        <w:rPr>
          <w:rFonts w:ascii="Arial" w:hAnsi="Arial" w:cs="Arial"/>
          <w:i/>
          <w:sz w:val="20"/>
          <w:szCs w:val="20"/>
        </w:rPr>
        <w:t xml:space="preserve">Saudi Medical Journal </w:t>
      </w:r>
      <w:r w:rsidRPr="00A6123C">
        <w:rPr>
          <w:rFonts w:ascii="Arial" w:hAnsi="Arial" w:cs="Arial"/>
          <w:sz w:val="20"/>
          <w:szCs w:val="20"/>
        </w:rPr>
        <w:t xml:space="preserve">2014; </w:t>
      </w:r>
      <w:r w:rsidRPr="00A6123C">
        <w:rPr>
          <w:rFonts w:ascii="Arial" w:hAnsi="Arial" w:cs="Arial"/>
          <w:b/>
          <w:sz w:val="20"/>
          <w:szCs w:val="20"/>
        </w:rPr>
        <w:t>35</w:t>
      </w:r>
      <w:r w:rsidRPr="00A6123C">
        <w:rPr>
          <w:rFonts w:ascii="Arial" w:hAnsi="Arial" w:cs="Arial"/>
          <w:sz w:val="20"/>
          <w:szCs w:val="20"/>
        </w:rPr>
        <w:t>(9): 975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980.</w:t>
      </w:r>
    </w:p>
    <w:p w14:paraId="0662A594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30.</w:t>
      </w:r>
      <w:r w:rsidRPr="00A6123C">
        <w:rPr>
          <w:rFonts w:ascii="Arial" w:hAnsi="Arial" w:cs="Arial"/>
          <w:sz w:val="20"/>
          <w:szCs w:val="20"/>
        </w:rPr>
        <w:tab/>
        <w:t xml:space="preserve">Burgmann K, Fatio S, Jordi B &amp; Rutishauser J. Medical care of type 2 diabetes mellitus in light of international and national recommendations: a retrospective analysis. </w:t>
      </w:r>
      <w:r w:rsidRPr="00A6123C">
        <w:rPr>
          <w:rFonts w:ascii="Arial" w:hAnsi="Arial" w:cs="Arial"/>
          <w:i/>
          <w:sz w:val="20"/>
          <w:szCs w:val="20"/>
        </w:rPr>
        <w:t xml:space="preserve">Swiss Medical Weekly </w:t>
      </w:r>
      <w:r w:rsidRPr="00A6123C">
        <w:rPr>
          <w:rFonts w:ascii="Arial" w:hAnsi="Arial" w:cs="Arial"/>
          <w:sz w:val="20"/>
          <w:szCs w:val="20"/>
        </w:rPr>
        <w:t xml:space="preserve">2013; </w:t>
      </w:r>
      <w:r w:rsidRPr="00A6123C">
        <w:rPr>
          <w:rFonts w:ascii="Arial" w:hAnsi="Arial" w:cs="Arial"/>
          <w:b/>
          <w:sz w:val="20"/>
          <w:szCs w:val="20"/>
        </w:rPr>
        <w:t>143</w:t>
      </w:r>
      <w:r w:rsidRPr="00A6123C">
        <w:rPr>
          <w:rFonts w:ascii="Arial" w:hAnsi="Arial" w:cs="Arial"/>
          <w:sz w:val="20"/>
          <w:szCs w:val="20"/>
        </w:rPr>
        <w:t>: w13871.</w:t>
      </w:r>
    </w:p>
    <w:p w14:paraId="1176DAF0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31.</w:t>
      </w:r>
      <w:r w:rsidRPr="00A6123C">
        <w:rPr>
          <w:rFonts w:ascii="Arial" w:hAnsi="Arial" w:cs="Arial"/>
          <w:sz w:val="20"/>
          <w:szCs w:val="20"/>
        </w:rPr>
        <w:tab/>
        <w:t xml:space="preserve">Chou CF, Zhang X, Crews JE, Barker LE, Lee PP &amp; Saaddine JB. Impact of geographic density of eye care professionals on eye care among adults with diabetes. </w:t>
      </w:r>
      <w:r w:rsidRPr="00A6123C">
        <w:rPr>
          <w:rFonts w:ascii="Arial" w:hAnsi="Arial" w:cs="Arial"/>
          <w:i/>
          <w:sz w:val="20"/>
          <w:szCs w:val="20"/>
        </w:rPr>
        <w:t xml:space="preserve">Ophthalmic Epidemiology </w:t>
      </w:r>
      <w:r w:rsidRPr="00A6123C">
        <w:rPr>
          <w:rFonts w:ascii="Arial" w:hAnsi="Arial" w:cs="Arial"/>
          <w:sz w:val="20"/>
          <w:szCs w:val="20"/>
        </w:rPr>
        <w:t xml:space="preserve">2012; </w:t>
      </w:r>
      <w:r w:rsidRPr="00A6123C">
        <w:rPr>
          <w:rFonts w:ascii="Arial" w:hAnsi="Arial" w:cs="Arial"/>
          <w:b/>
          <w:sz w:val="20"/>
          <w:szCs w:val="20"/>
        </w:rPr>
        <w:t>19</w:t>
      </w:r>
      <w:r w:rsidRPr="00A6123C">
        <w:rPr>
          <w:rFonts w:ascii="Arial" w:hAnsi="Arial" w:cs="Arial"/>
          <w:sz w:val="20"/>
          <w:szCs w:val="20"/>
        </w:rPr>
        <w:t>(6): 340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349.</w:t>
      </w:r>
    </w:p>
    <w:p w14:paraId="17B9D732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32.</w:t>
      </w:r>
      <w:r w:rsidRPr="00A6123C">
        <w:rPr>
          <w:rFonts w:ascii="Arial" w:hAnsi="Arial" w:cs="Arial"/>
          <w:sz w:val="20"/>
          <w:szCs w:val="20"/>
        </w:rPr>
        <w:tab/>
        <w:t xml:space="preserve">Hutchins E, Coppell KJ, Morris A &amp; Sanderson G. Diabetic retinopathy screening in New Zealand requires improvement: results from a multi-centre audit. </w:t>
      </w:r>
      <w:r w:rsidRPr="00A6123C">
        <w:rPr>
          <w:rFonts w:ascii="Arial" w:hAnsi="Arial" w:cs="Arial"/>
          <w:i/>
          <w:sz w:val="20"/>
          <w:szCs w:val="20"/>
        </w:rPr>
        <w:t xml:space="preserve">Aust N Z J Public Health </w:t>
      </w:r>
      <w:r w:rsidRPr="00A6123C">
        <w:rPr>
          <w:rFonts w:ascii="Arial" w:hAnsi="Arial" w:cs="Arial"/>
          <w:sz w:val="20"/>
          <w:szCs w:val="20"/>
        </w:rPr>
        <w:t xml:space="preserve">2012; </w:t>
      </w:r>
      <w:r w:rsidRPr="00A6123C">
        <w:rPr>
          <w:rFonts w:ascii="Arial" w:hAnsi="Arial" w:cs="Arial"/>
          <w:b/>
          <w:sz w:val="20"/>
          <w:szCs w:val="20"/>
        </w:rPr>
        <w:t>36</w:t>
      </w:r>
      <w:r w:rsidRPr="00A6123C">
        <w:rPr>
          <w:rFonts w:ascii="Arial" w:hAnsi="Arial" w:cs="Arial"/>
          <w:sz w:val="20"/>
          <w:szCs w:val="20"/>
        </w:rPr>
        <w:t>(3): 257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262.</w:t>
      </w:r>
    </w:p>
    <w:p w14:paraId="4F8160DF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33.</w:t>
      </w:r>
      <w:r w:rsidRPr="00A6123C">
        <w:rPr>
          <w:rFonts w:ascii="Arial" w:hAnsi="Arial" w:cs="Arial"/>
          <w:sz w:val="20"/>
          <w:szCs w:val="20"/>
        </w:rPr>
        <w:tab/>
        <w:t xml:space="preserve">Mc Hugh S, Marsden P, Brennan C, et al. Counting on commitment; the quality of primary care-led diabetes management in a system with minimal incentives. </w:t>
      </w:r>
      <w:r w:rsidRPr="00A6123C">
        <w:rPr>
          <w:rFonts w:ascii="Arial" w:hAnsi="Arial" w:cs="Arial"/>
          <w:i/>
          <w:sz w:val="20"/>
          <w:szCs w:val="20"/>
        </w:rPr>
        <w:t xml:space="preserve">BMC health services research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11</w:t>
      </w:r>
      <w:r w:rsidRPr="00A6123C">
        <w:rPr>
          <w:rFonts w:ascii="Arial" w:hAnsi="Arial" w:cs="Arial"/>
          <w:sz w:val="20"/>
          <w:szCs w:val="20"/>
        </w:rPr>
        <w:t>: 348.</w:t>
      </w:r>
    </w:p>
    <w:p w14:paraId="316E1E55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34.</w:t>
      </w:r>
      <w:r w:rsidRPr="00A6123C">
        <w:rPr>
          <w:rFonts w:ascii="Arial" w:hAnsi="Arial" w:cs="Arial"/>
          <w:sz w:val="20"/>
          <w:szCs w:val="20"/>
        </w:rPr>
        <w:tab/>
        <w:t xml:space="preserve">Preti RC, Saraiva F, Junior JA, Takahashi WY &amp; da Silva ME. How much information do medical practitioners and endocrinologists have about diabetic retinopathy? </w:t>
      </w:r>
      <w:r w:rsidRPr="00A6123C">
        <w:rPr>
          <w:rFonts w:ascii="Arial" w:hAnsi="Arial" w:cs="Arial"/>
          <w:i/>
          <w:sz w:val="20"/>
          <w:szCs w:val="20"/>
        </w:rPr>
        <w:t xml:space="preserve">Clinics (Sao Paulo, Brazil) </w:t>
      </w:r>
      <w:r w:rsidRPr="00A6123C">
        <w:rPr>
          <w:rFonts w:ascii="Arial" w:hAnsi="Arial" w:cs="Arial"/>
          <w:sz w:val="20"/>
          <w:szCs w:val="20"/>
        </w:rPr>
        <w:t xml:space="preserve">2007; </w:t>
      </w:r>
      <w:r w:rsidRPr="00A6123C">
        <w:rPr>
          <w:rFonts w:ascii="Arial" w:hAnsi="Arial" w:cs="Arial"/>
          <w:b/>
          <w:sz w:val="20"/>
          <w:szCs w:val="20"/>
        </w:rPr>
        <w:t>62</w:t>
      </w:r>
      <w:r w:rsidRPr="00A6123C">
        <w:rPr>
          <w:rFonts w:ascii="Arial" w:hAnsi="Arial" w:cs="Arial"/>
          <w:sz w:val="20"/>
          <w:szCs w:val="20"/>
        </w:rPr>
        <w:t>(3): 273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278.</w:t>
      </w:r>
    </w:p>
    <w:p w14:paraId="688E7C1E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35.</w:t>
      </w:r>
      <w:r w:rsidRPr="00A6123C">
        <w:rPr>
          <w:rFonts w:ascii="Arial" w:hAnsi="Arial" w:cs="Arial"/>
          <w:sz w:val="20"/>
          <w:szCs w:val="20"/>
        </w:rPr>
        <w:tab/>
        <w:t xml:space="preserve">Slater J &amp; Chakman J. Referral of diabetic macular oedema by Australian optometrists: comment. </w:t>
      </w:r>
      <w:r w:rsidRPr="00A6123C">
        <w:rPr>
          <w:rFonts w:ascii="Arial" w:hAnsi="Arial" w:cs="Arial"/>
          <w:i/>
          <w:sz w:val="20"/>
          <w:szCs w:val="20"/>
        </w:rPr>
        <w:t xml:space="preserve">Clin Experiment Ophthalmol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39</w:t>
      </w:r>
      <w:r w:rsidRPr="00A6123C">
        <w:rPr>
          <w:rFonts w:ascii="Arial" w:hAnsi="Arial" w:cs="Arial"/>
          <w:sz w:val="20"/>
          <w:szCs w:val="20"/>
        </w:rPr>
        <w:t>(9): 923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924.</w:t>
      </w:r>
    </w:p>
    <w:p w14:paraId="3D3C718D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36.</w:t>
      </w:r>
      <w:r w:rsidRPr="00A6123C">
        <w:rPr>
          <w:rFonts w:ascii="Arial" w:hAnsi="Arial" w:cs="Arial"/>
          <w:sz w:val="20"/>
          <w:szCs w:val="20"/>
        </w:rPr>
        <w:tab/>
        <w:t xml:space="preserve">Ting DS, Ng JQ, Morlet N, et al. Diabetic retinopathy management by Australian optometrists. </w:t>
      </w:r>
      <w:r w:rsidRPr="00A6123C">
        <w:rPr>
          <w:rFonts w:ascii="Arial" w:hAnsi="Arial" w:cs="Arial"/>
          <w:i/>
          <w:sz w:val="20"/>
          <w:szCs w:val="20"/>
        </w:rPr>
        <w:t xml:space="preserve">Clin Experiment Ophthalmol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39</w:t>
      </w:r>
      <w:r w:rsidRPr="00A6123C">
        <w:rPr>
          <w:rFonts w:ascii="Arial" w:hAnsi="Arial" w:cs="Arial"/>
          <w:sz w:val="20"/>
          <w:szCs w:val="20"/>
        </w:rPr>
        <w:t>(3): 230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235.</w:t>
      </w:r>
    </w:p>
    <w:p w14:paraId="52DD0237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37.</w:t>
      </w:r>
      <w:r w:rsidRPr="00A6123C">
        <w:rPr>
          <w:rFonts w:ascii="Arial" w:hAnsi="Arial" w:cs="Arial"/>
          <w:sz w:val="20"/>
          <w:szCs w:val="20"/>
        </w:rPr>
        <w:tab/>
        <w:t xml:space="preserve">Tseng VL, Greenberg PB, Scott IU &amp; Anderson KL. Compliance with the American Academy of Ophthalmology Preferred Practice Pattern for Diabetic Retinopathy in a resident ophthalmology clinic. </w:t>
      </w:r>
      <w:r w:rsidRPr="00A6123C">
        <w:rPr>
          <w:rFonts w:ascii="Arial" w:hAnsi="Arial" w:cs="Arial"/>
          <w:i/>
          <w:sz w:val="20"/>
          <w:szCs w:val="20"/>
        </w:rPr>
        <w:t xml:space="preserve">Retina </w:t>
      </w:r>
      <w:r w:rsidRPr="00A6123C">
        <w:rPr>
          <w:rFonts w:ascii="Arial" w:hAnsi="Arial" w:cs="Arial"/>
          <w:sz w:val="20"/>
          <w:szCs w:val="20"/>
        </w:rPr>
        <w:t xml:space="preserve">2010; </w:t>
      </w:r>
      <w:r w:rsidRPr="00A6123C">
        <w:rPr>
          <w:rFonts w:ascii="Arial" w:hAnsi="Arial" w:cs="Arial"/>
          <w:b/>
          <w:sz w:val="20"/>
          <w:szCs w:val="20"/>
        </w:rPr>
        <w:t>30</w:t>
      </w:r>
      <w:r w:rsidRPr="00A6123C">
        <w:rPr>
          <w:rFonts w:ascii="Arial" w:hAnsi="Arial" w:cs="Arial"/>
          <w:sz w:val="20"/>
          <w:szCs w:val="20"/>
        </w:rPr>
        <w:t>(5): 787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794.</w:t>
      </w:r>
    </w:p>
    <w:p w14:paraId="03AAE993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38.</w:t>
      </w:r>
      <w:r w:rsidRPr="00A6123C">
        <w:rPr>
          <w:rFonts w:ascii="Arial" w:hAnsi="Arial" w:cs="Arial"/>
          <w:sz w:val="20"/>
          <w:szCs w:val="20"/>
        </w:rPr>
        <w:tab/>
        <w:t xml:space="preserve">Wong MCS, Wang HHX, Kwan MWM, et al. The adoption of the Reference Framework for diabetes care among primary care physicians in primary care settings: A cross-sectional study. </w:t>
      </w:r>
      <w:r w:rsidRPr="00A6123C">
        <w:rPr>
          <w:rFonts w:ascii="Arial" w:hAnsi="Arial" w:cs="Arial"/>
          <w:i/>
          <w:sz w:val="20"/>
          <w:szCs w:val="20"/>
        </w:rPr>
        <w:t xml:space="preserve">Medicine (United States) </w:t>
      </w:r>
      <w:r w:rsidRPr="00A6123C">
        <w:rPr>
          <w:rFonts w:ascii="Arial" w:hAnsi="Arial" w:cs="Arial"/>
          <w:sz w:val="20"/>
          <w:szCs w:val="20"/>
        </w:rPr>
        <w:t xml:space="preserve">2016; </w:t>
      </w:r>
      <w:r w:rsidRPr="00A6123C">
        <w:rPr>
          <w:rFonts w:ascii="Arial" w:hAnsi="Arial" w:cs="Arial"/>
          <w:b/>
          <w:sz w:val="20"/>
          <w:szCs w:val="20"/>
        </w:rPr>
        <w:t>95 (31) (no pagination)</w:t>
      </w:r>
      <w:r w:rsidRPr="00A6123C">
        <w:rPr>
          <w:rFonts w:ascii="Arial" w:hAnsi="Arial" w:cs="Arial"/>
          <w:sz w:val="20"/>
          <w:szCs w:val="20"/>
        </w:rPr>
        <w:t>(e4108).</w:t>
      </w:r>
    </w:p>
    <w:p w14:paraId="4ECF6DF7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39.</w:t>
      </w:r>
      <w:r w:rsidRPr="00A6123C">
        <w:rPr>
          <w:rFonts w:ascii="Arial" w:hAnsi="Arial" w:cs="Arial"/>
          <w:sz w:val="20"/>
          <w:szCs w:val="20"/>
        </w:rPr>
        <w:tab/>
        <w:t xml:space="preserve">Yuen J, Clark A, Ng JQ, et al. Further survey of Australian ophthalmologist's diabetic retinopathy management: did practice adhere to National Health and Medical Research Council guidelines? </w:t>
      </w:r>
      <w:r w:rsidRPr="00A6123C">
        <w:rPr>
          <w:rFonts w:ascii="Arial" w:hAnsi="Arial" w:cs="Arial"/>
          <w:i/>
          <w:sz w:val="20"/>
          <w:szCs w:val="20"/>
        </w:rPr>
        <w:t xml:space="preserve">Clin Experiment Ophthalmol </w:t>
      </w:r>
      <w:r w:rsidRPr="00A6123C">
        <w:rPr>
          <w:rFonts w:ascii="Arial" w:hAnsi="Arial" w:cs="Arial"/>
          <w:sz w:val="20"/>
          <w:szCs w:val="20"/>
        </w:rPr>
        <w:t xml:space="preserve">2010; </w:t>
      </w:r>
      <w:r w:rsidRPr="00A6123C">
        <w:rPr>
          <w:rFonts w:ascii="Arial" w:hAnsi="Arial" w:cs="Arial"/>
          <w:b/>
          <w:sz w:val="20"/>
          <w:szCs w:val="20"/>
        </w:rPr>
        <w:t>38</w:t>
      </w:r>
      <w:r w:rsidRPr="00A6123C">
        <w:rPr>
          <w:rFonts w:ascii="Arial" w:hAnsi="Arial" w:cs="Arial"/>
          <w:sz w:val="20"/>
          <w:szCs w:val="20"/>
        </w:rPr>
        <w:t>(6): 613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619.</w:t>
      </w:r>
    </w:p>
    <w:p w14:paraId="06BA741A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40.</w:t>
      </w:r>
      <w:r w:rsidRPr="00A6123C">
        <w:rPr>
          <w:rFonts w:ascii="Arial" w:hAnsi="Arial" w:cs="Arial"/>
          <w:sz w:val="20"/>
          <w:szCs w:val="20"/>
        </w:rPr>
        <w:tab/>
        <w:t xml:space="preserve">Charkoudian LD, Gower EW, Solomon SD, Schachat AP, Bressler NM &amp; Bressler SB. Vitamin usage patterns in the prevention of advanced age-related macular degeneration.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2008; </w:t>
      </w:r>
      <w:r w:rsidRPr="00A6123C">
        <w:rPr>
          <w:rFonts w:ascii="Arial" w:hAnsi="Arial" w:cs="Arial"/>
          <w:b/>
          <w:sz w:val="20"/>
          <w:szCs w:val="20"/>
        </w:rPr>
        <w:t>115</w:t>
      </w:r>
      <w:r w:rsidRPr="00A6123C">
        <w:rPr>
          <w:rFonts w:ascii="Arial" w:hAnsi="Arial" w:cs="Arial"/>
          <w:sz w:val="20"/>
          <w:szCs w:val="20"/>
        </w:rPr>
        <w:t>(6): 1032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1038 e1034.</w:t>
      </w:r>
    </w:p>
    <w:p w14:paraId="3A04B4FB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41.</w:t>
      </w:r>
      <w:r w:rsidRPr="00A6123C">
        <w:rPr>
          <w:rFonts w:ascii="Arial" w:hAnsi="Arial" w:cs="Arial"/>
          <w:sz w:val="20"/>
          <w:szCs w:val="20"/>
        </w:rPr>
        <w:tab/>
        <w:t xml:space="preserve">Lawrenson JG &amp; Evans JR. Advice about diet and smoking for people with or at risk of age-related macular degeneration: a cross-sectional survey of eye care professionals in the UK. </w:t>
      </w:r>
      <w:r w:rsidRPr="00A6123C">
        <w:rPr>
          <w:rFonts w:ascii="Arial" w:hAnsi="Arial" w:cs="Arial"/>
          <w:i/>
          <w:sz w:val="20"/>
          <w:szCs w:val="20"/>
        </w:rPr>
        <w:t xml:space="preserve">Bmc Public Health </w:t>
      </w:r>
      <w:r w:rsidRPr="00A6123C">
        <w:rPr>
          <w:rFonts w:ascii="Arial" w:hAnsi="Arial" w:cs="Arial"/>
          <w:sz w:val="20"/>
          <w:szCs w:val="20"/>
        </w:rPr>
        <w:t xml:space="preserve">2013; </w:t>
      </w:r>
      <w:r w:rsidRPr="00A6123C">
        <w:rPr>
          <w:rFonts w:ascii="Arial" w:hAnsi="Arial" w:cs="Arial"/>
          <w:b/>
          <w:sz w:val="20"/>
          <w:szCs w:val="20"/>
        </w:rPr>
        <w:t>13</w:t>
      </w:r>
      <w:r w:rsidRPr="00A6123C">
        <w:rPr>
          <w:rFonts w:ascii="Arial" w:hAnsi="Arial" w:cs="Arial"/>
          <w:sz w:val="20"/>
          <w:szCs w:val="20"/>
        </w:rPr>
        <w:t>.</w:t>
      </w:r>
    </w:p>
    <w:p w14:paraId="619FC91D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42.</w:t>
      </w:r>
      <w:r w:rsidRPr="00A6123C">
        <w:rPr>
          <w:rFonts w:ascii="Arial" w:hAnsi="Arial" w:cs="Arial"/>
          <w:sz w:val="20"/>
          <w:szCs w:val="20"/>
        </w:rPr>
        <w:tab/>
        <w:t xml:space="preserve">Muhammed S, Yuksel H, Sahin A, et al. Approach of Turkish ophthalmologists to micronutrition in age-related macular degeneration. </w:t>
      </w:r>
      <w:r w:rsidRPr="00A6123C">
        <w:rPr>
          <w:rFonts w:ascii="Arial" w:hAnsi="Arial" w:cs="Arial"/>
          <w:i/>
          <w:sz w:val="20"/>
          <w:szCs w:val="20"/>
        </w:rPr>
        <w:t xml:space="preserve">Arq Bras Oftalmol </w:t>
      </w:r>
      <w:r w:rsidRPr="00A6123C">
        <w:rPr>
          <w:rFonts w:ascii="Arial" w:hAnsi="Arial" w:cs="Arial"/>
          <w:sz w:val="20"/>
          <w:szCs w:val="20"/>
        </w:rPr>
        <w:t xml:space="preserve">2015; </w:t>
      </w:r>
      <w:r w:rsidRPr="00A6123C">
        <w:rPr>
          <w:rFonts w:ascii="Arial" w:hAnsi="Arial" w:cs="Arial"/>
          <w:b/>
          <w:sz w:val="20"/>
          <w:szCs w:val="20"/>
        </w:rPr>
        <w:t>78</w:t>
      </w:r>
      <w:r w:rsidRPr="00A6123C">
        <w:rPr>
          <w:rFonts w:ascii="Arial" w:hAnsi="Arial" w:cs="Arial"/>
          <w:sz w:val="20"/>
          <w:szCs w:val="20"/>
        </w:rPr>
        <w:t>(1): 10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14.</w:t>
      </w:r>
    </w:p>
    <w:p w14:paraId="49F345C3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43.</w:t>
      </w:r>
      <w:r w:rsidRPr="00A6123C">
        <w:rPr>
          <w:rFonts w:ascii="Arial" w:hAnsi="Arial" w:cs="Arial"/>
          <w:sz w:val="20"/>
          <w:szCs w:val="20"/>
        </w:rPr>
        <w:tab/>
        <w:t xml:space="preserve">Parodi MB, Zucchiatti I, Cicinelli MV, Cascavilla ML &amp; Bandello F. Nutritional supplementation in age-related macular degeneration. </w:t>
      </w:r>
      <w:r w:rsidRPr="00A6123C">
        <w:rPr>
          <w:rFonts w:ascii="Arial" w:hAnsi="Arial" w:cs="Arial"/>
          <w:i/>
          <w:sz w:val="20"/>
          <w:szCs w:val="20"/>
        </w:rPr>
        <w:t xml:space="preserve">Retina </w:t>
      </w:r>
      <w:r w:rsidRPr="00A6123C">
        <w:rPr>
          <w:rFonts w:ascii="Arial" w:hAnsi="Arial" w:cs="Arial"/>
          <w:sz w:val="20"/>
          <w:szCs w:val="20"/>
        </w:rPr>
        <w:t xml:space="preserve">2016; </w:t>
      </w:r>
      <w:r w:rsidRPr="00A6123C">
        <w:rPr>
          <w:rFonts w:ascii="Arial" w:hAnsi="Arial" w:cs="Arial"/>
          <w:b/>
          <w:sz w:val="20"/>
          <w:szCs w:val="20"/>
        </w:rPr>
        <w:t>36</w:t>
      </w:r>
      <w:r w:rsidRPr="00A6123C">
        <w:rPr>
          <w:rFonts w:ascii="Arial" w:hAnsi="Arial" w:cs="Arial"/>
          <w:sz w:val="20"/>
          <w:szCs w:val="20"/>
        </w:rPr>
        <w:t>(6): 1119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1125.</w:t>
      </w:r>
    </w:p>
    <w:p w14:paraId="14C816B8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44.</w:t>
      </w:r>
      <w:r w:rsidRPr="00A6123C">
        <w:rPr>
          <w:rFonts w:ascii="Arial" w:hAnsi="Arial" w:cs="Arial"/>
          <w:sz w:val="20"/>
          <w:szCs w:val="20"/>
        </w:rPr>
        <w:tab/>
        <w:t xml:space="preserve">Gomaa A &amp; Liu C. Nd:YAG laser capsulotomy: a survey of UK practice and recommendations. </w:t>
      </w:r>
      <w:r w:rsidRPr="00A6123C">
        <w:rPr>
          <w:rFonts w:ascii="Arial" w:hAnsi="Arial" w:cs="Arial"/>
          <w:i/>
          <w:sz w:val="20"/>
          <w:szCs w:val="20"/>
        </w:rPr>
        <w:t xml:space="preserve">Eur J Ophthalmol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21</w:t>
      </w:r>
      <w:r w:rsidRPr="00A6123C">
        <w:rPr>
          <w:rFonts w:ascii="Arial" w:hAnsi="Arial" w:cs="Arial"/>
          <w:sz w:val="20"/>
          <w:szCs w:val="20"/>
        </w:rPr>
        <w:t>(4): 385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390.</w:t>
      </w:r>
    </w:p>
    <w:p w14:paraId="5B1C5241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45.</w:t>
      </w:r>
      <w:r w:rsidRPr="00A6123C">
        <w:rPr>
          <w:rFonts w:ascii="Arial" w:hAnsi="Arial" w:cs="Arial"/>
          <w:sz w:val="20"/>
          <w:szCs w:val="20"/>
        </w:rPr>
        <w:tab/>
        <w:t xml:space="preserve">Lash SC, Prendiville CP, Samson A, Lewis K, Munneke R &amp; Parkin BT. Optometrist referrals for cataract and "Action on Cataracts" guidelines: are optometrists following them and are they effective?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2006; </w:t>
      </w:r>
      <w:r w:rsidRPr="00A6123C">
        <w:rPr>
          <w:rFonts w:ascii="Arial" w:hAnsi="Arial" w:cs="Arial"/>
          <w:b/>
          <w:sz w:val="20"/>
          <w:szCs w:val="20"/>
        </w:rPr>
        <w:t>26</w:t>
      </w:r>
      <w:r w:rsidRPr="00A6123C">
        <w:rPr>
          <w:rFonts w:ascii="Arial" w:hAnsi="Arial" w:cs="Arial"/>
          <w:sz w:val="20"/>
          <w:szCs w:val="20"/>
        </w:rPr>
        <w:t>(5): 464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467.</w:t>
      </w:r>
    </w:p>
    <w:p w14:paraId="688C7767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46.</w:t>
      </w:r>
      <w:r w:rsidRPr="00A6123C">
        <w:rPr>
          <w:rFonts w:ascii="Arial" w:hAnsi="Arial" w:cs="Arial"/>
          <w:sz w:val="20"/>
          <w:szCs w:val="20"/>
        </w:rPr>
        <w:tab/>
        <w:t xml:space="preserve">Park JC, Ross AH, Tole DM, Sparrow JM, Penny J &amp; Mundasad MV. Evaluation of a new cataract surgery referral pathway. </w:t>
      </w:r>
      <w:r w:rsidRPr="00A6123C">
        <w:rPr>
          <w:rFonts w:ascii="Arial" w:hAnsi="Arial" w:cs="Arial"/>
          <w:i/>
          <w:sz w:val="20"/>
          <w:szCs w:val="20"/>
        </w:rPr>
        <w:t xml:space="preserve">Eye </w:t>
      </w:r>
      <w:r w:rsidRPr="00A6123C">
        <w:rPr>
          <w:rFonts w:ascii="Arial" w:hAnsi="Arial" w:cs="Arial"/>
          <w:sz w:val="20"/>
          <w:szCs w:val="20"/>
        </w:rPr>
        <w:t xml:space="preserve">2009; </w:t>
      </w:r>
      <w:r w:rsidRPr="00A6123C">
        <w:rPr>
          <w:rFonts w:ascii="Arial" w:hAnsi="Arial" w:cs="Arial"/>
          <w:b/>
          <w:sz w:val="20"/>
          <w:szCs w:val="20"/>
        </w:rPr>
        <w:t>23</w:t>
      </w:r>
      <w:r w:rsidRPr="00A6123C">
        <w:rPr>
          <w:rFonts w:ascii="Arial" w:hAnsi="Arial" w:cs="Arial"/>
          <w:sz w:val="20"/>
          <w:szCs w:val="20"/>
        </w:rPr>
        <w:t>(2): 309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313.</w:t>
      </w:r>
    </w:p>
    <w:p w14:paraId="6FCDAAEB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lastRenderedPageBreak/>
        <w:t>47.</w:t>
      </w:r>
      <w:r w:rsidRPr="00A6123C">
        <w:rPr>
          <w:rFonts w:ascii="Arial" w:hAnsi="Arial" w:cs="Arial"/>
          <w:sz w:val="20"/>
          <w:szCs w:val="20"/>
        </w:rPr>
        <w:tab/>
        <w:t xml:space="preserve">Niemiec ES, Anderson KL, Scott IU &amp; Greenberg PB. Evidence-based management of resident-performed cataract surgery: an investigation of compliance with a preferred practice pattern.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2009; </w:t>
      </w:r>
      <w:r w:rsidRPr="00A6123C">
        <w:rPr>
          <w:rFonts w:ascii="Arial" w:hAnsi="Arial" w:cs="Arial"/>
          <w:b/>
          <w:sz w:val="20"/>
          <w:szCs w:val="20"/>
        </w:rPr>
        <w:t>116</w:t>
      </w:r>
      <w:r w:rsidRPr="00A6123C">
        <w:rPr>
          <w:rFonts w:ascii="Arial" w:hAnsi="Arial" w:cs="Arial"/>
          <w:sz w:val="20"/>
          <w:szCs w:val="20"/>
        </w:rPr>
        <w:t>(4): 678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684.</w:t>
      </w:r>
    </w:p>
    <w:p w14:paraId="4022E6EB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48.</w:t>
      </w:r>
      <w:r w:rsidRPr="00A6123C">
        <w:rPr>
          <w:rFonts w:ascii="Arial" w:hAnsi="Arial" w:cs="Arial"/>
          <w:sz w:val="20"/>
          <w:szCs w:val="20"/>
        </w:rPr>
        <w:tab/>
        <w:t xml:space="preserve">Downie LE &amp; Keller PR. The Self-Reported Clinical Practice Behaviors of Australian Optometrists as Related to Smoking, Diet and Nutritional Supplementation. </w:t>
      </w:r>
      <w:r w:rsidRPr="00A6123C">
        <w:rPr>
          <w:rFonts w:ascii="Arial" w:hAnsi="Arial" w:cs="Arial"/>
          <w:i/>
          <w:sz w:val="20"/>
          <w:szCs w:val="20"/>
        </w:rPr>
        <w:t xml:space="preserve">Plos One </w:t>
      </w:r>
      <w:r w:rsidRPr="00A6123C">
        <w:rPr>
          <w:rFonts w:ascii="Arial" w:hAnsi="Arial" w:cs="Arial"/>
          <w:sz w:val="20"/>
          <w:szCs w:val="20"/>
        </w:rPr>
        <w:t xml:space="preserve">2015; </w:t>
      </w:r>
      <w:r w:rsidRPr="00A6123C">
        <w:rPr>
          <w:rFonts w:ascii="Arial" w:hAnsi="Arial" w:cs="Arial"/>
          <w:b/>
          <w:sz w:val="20"/>
          <w:szCs w:val="20"/>
        </w:rPr>
        <w:t>10</w:t>
      </w:r>
      <w:r w:rsidRPr="00A6123C">
        <w:rPr>
          <w:rFonts w:ascii="Arial" w:hAnsi="Arial" w:cs="Arial"/>
          <w:sz w:val="20"/>
          <w:szCs w:val="20"/>
        </w:rPr>
        <w:t>(4).</w:t>
      </w:r>
    </w:p>
    <w:p w14:paraId="16018E6E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49.</w:t>
      </w:r>
      <w:r w:rsidRPr="00A6123C">
        <w:rPr>
          <w:rFonts w:ascii="Arial" w:hAnsi="Arial" w:cs="Arial"/>
          <w:sz w:val="20"/>
          <w:szCs w:val="20"/>
        </w:rPr>
        <w:tab/>
        <w:t xml:space="preserve">Shah R, Edgar DF, Rabbetts R, et al. The content of optometric eye examinations for a young myope with headaches.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2008; </w:t>
      </w:r>
      <w:r w:rsidRPr="00A6123C">
        <w:rPr>
          <w:rFonts w:ascii="Arial" w:hAnsi="Arial" w:cs="Arial"/>
          <w:b/>
          <w:sz w:val="20"/>
          <w:szCs w:val="20"/>
        </w:rPr>
        <w:t>28</w:t>
      </w:r>
      <w:r w:rsidRPr="00A6123C">
        <w:rPr>
          <w:rFonts w:ascii="Arial" w:hAnsi="Arial" w:cs="Arial"/>
          <w:sz w:val="20"/>
          <w:szCs w:val="20"/>
        </w:rPr>
        <w:t>(5): 404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421.</w:t>
      </w:r>
    </w:p>
    <w:p w14:paraId="54C1C942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50.</w:t>
      </w:r>
      <w:r w:rsidRPr="00A6123C">
        <w:rPr>
          <w:rFonts w:ascii="Arial" w:hAnsi="Arial" w:cs="Arial"/>
          <w:sz w:val="20"/>
          <w:szCs w:val="20"/>
        </w:rPr>
        <w:tab/>
        <w:t xml:space="preserve">Shah R, Edgar DF, Spry PG, et al. Glaucoma detection: the content of optometric eye examinations for a presbyopic patient of African racial descent. </w:t>
      </w:r>
      <w:r w:rsidRPr="00A6123C">
        <w:rPr>
          <w:rFonts w:ascii="Arial" w:hAnsi="Arial" w:cs="Arial"/>
          <w:i/>
          <w:sz w:val="20"/>
          <w:szCs w:val="20"/>
        </w:rPr>
        <w:t xml:space="preserve">Br J Ophthalmol </w:t>
      </w:r>
      <w:r w:rsidRPr="00A6123C">
        <w:rPr>
          <w:rFonts w:ascii="Arial" w:hAnsi="Arial" w:cs="Arial"/>
          <w:sz w:val="20"/>
          <w:szCs w:val="20"/>
        </w:rPr>
        <w:t xml:space="preserve">2009; </w:t>
      </w:r>
      <w:r w:rsidRPr="00A6123C">
        <w:rPr>
          <w:rFonts w:ascii="Arial" w:hAnsi="Arial" w:cs="Arial"/>
          <w:b/>
          <w:sz w:val="20"/>
          <w:szCs w:val="20"/>
        </w:rPr>
        <w:t>93</w:t>
      </w:r>
      <w:r w:rsidRPr="00A6123C">
        <w:rPr>
          <w:rFonts w:ascii="Arial" w:hAnsi="Arial" w:cs="Arial"/>
          <w:sz w:val="20"/>
          <w:szCs w:val="20"/>
        </w:rPr>
        <w:t>(4): 492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496.</w:t>
      </w:r>
    </w:p>
    <w:p w14:paraId="2952C4C4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51.</w:t>
      </w:r>
      <w:r w:rsidRPr="00A6123C">
        <w:rPr>
          <w:rFonts w:ascii="Arial" w:hAnsi="Arial" w:cs="Arial"/>
          <w:sz w:val="20"/>
          <w:szCs w:val="20"/>
        </w:rPr>
        <w:tab/>
        <w:t xml:space="preserve">Shah R, Edgar DF, Harle DE, et al. The content of optometric eye examinations for a presbyopic patient presenting with symptoms of flashing lights. </w:t>
      </w:r>
      <w:r w:rsidRPr="00A6123C">
        <w:rPr>
          <w:rFonts w:ascii="Arial" w:hAnsi="Arial" w:cs="Arial"/>
          <w:i/>
          <w:sz w:val="20"/>
          <w:szCs w:val="20"/>
        </w:rPr>
        <w:t xml:space="preserve">Ophthalmic Physiol Opt </w:t>
      </w:r>
      <w:r w:rsidRPr="00A6123C">
        <w:rPr>
          <w:rFonts w:ascii="Arial" w:hAnsi="Arial" w:cs="Arial"/>
          <w:sz w:val="20"/>
          <w:szCs w:val="20"/>
        </w:rPr>
        <w:t xml:space="preserve">2009; </w:t>
      </w:r>
      <w:r w:rsidRPr="00A6123C">
        <w:rPr>
          <w:rFonts w:ascii="Arial" w:hAnsi="Arial" w:cs="Arial"/>
          <w:b/>
          <w:sz w:val="20"/>
          <w:szCs w:val="20"/>
        </w:rPr>
        <w:t>29</w:t>
      </w:r>
      <w:r w:rsidRPr="00A6123C">
        <w:rPr>
          <w:rFonts w:ascii="Arial" w:hAnsi="Arial" w:cs="Arial"/>
          <w:sz w:val="20"/>
          <w:szCs w:val="20"/>
        </w:rPr>
        <w:t>(2): 105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126.</w:t>
      </w:r>
    </w:p>
    <w:p w14:paraId="67535A3C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52.</w:t>
      </w:r>
      <w:r w:rsidRPr="00A6123C">
        <w:rPr>
          <w:rFonts w:ascii="Arial" w:hAnsi="Arial" w:cs="Arial"/>
          <w:sz w:val="20"/>
          <w:szCs w:val="20"/>
        </w:rPr>
        <w:tab/>
        <w:t xml:space="preserve">Lin IC, Gupta PK, Boehlke CS &amp; Lee PP. Documentation of conformance to Preferred Practice Patterns in caring for patients With dry eye. </w:t>
      </w:r>
      <w:r w:rsidRPr="00A6123C">
        <w:rPr>
          <w:rFonts w:ascii="Arial" w:hAnsi="Arial" w:cs="Arial"/>
          <w:i/>
          <w:sz w:val="20"/>
          <w:szCs w:val="20"/>
        </w:rPr>
        <w:t xml:space="preserve">Arch Ophthalmol </w:t>
      </w:r>
      <w:r w:rsidRPr="00A6123C">
        <w:rPr>
          <w:rFonts w:ascii="Arial" w:hAnsi="Arial" w:cs="Arial"/>
          <w:sz w:val="20"/>
          <w:szCs w:val="20"/>
        </w:rPr>
        <w:t xml:space="preserve">2010; </w:t>
      </w:r>
      <w:r w:rsidRPr="00A6123C">
        <w:rPr>
          <w:rFonts w:ascii="Arial" w:hAnsi="Arial" w:cs="Arial"/>
          <w:b/>
          <w:sz w:val="20"/>
          <w:szCs w:val="20"/>
        </w:rPr>
        <w:t>128</w:t>
      </w:r>
      <w:r w:rsidRPr="00A6123C">
        <w:rPr>
          <w:rFonts w:ascii="Arial" w:hAnsi="Arial" w:cs="Arial"/>
          <w:sz w:val="20"/>
          <w:szCs w:val="20"/>
        </w:rPr>
        <w:t>(5): 619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623.</w:t>
      </w:r>
    </w:p>
    <w:p w14:paraId="03B99122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53.</w:t>
      </w:r>
      <w:r w:rsidRPr="00A6123C">
        <w:rPr>
          <w:rFonts w:ascii="Arial" w:hAnsi="Arial" w:cs="Arial"/>
          <w:sz w:val="20"/>
          <w:szCs w:val="20"/>
        </w:rPr>
        <w:tab/>
        <w:t xml:space="preserve">Downie LE, Keller PR &amp; Vingrys AJ. An Evidence-Based Analysis of Australian Optometrists' Dry Eye Practices. </w:t>
      </w:r>
      <w:r w:rsidRPr="00A6123C">
        <w:rPr>
          <w:rFonts w:ascii="Arial" w:hAnsi="Arial" w:cs="Arial"/>
          <w:i/>
          <w:sz w:val="20"/>
          <w:szCs w:val="20"/>
        </w:rPr>
        <w:t xml:space="preserve">Optometry and Vision Science </w:t>
      </w:r>
      <w:r w:rsidRPr="00A6123C">
        <w:rPr>
          <w:rFonts w:ascii="Arial" w:hAnsi="Arial" w:cs="Arial"/>
          <w:sz w:val="20"/>
          <w:szCs w:val="20"/>
        </w:rPr>
        <w:t xml:space="preserve">2013; </w:t>
      </w:r>
      <w:r w:rsidRPr="00A6123C">
        <w:rPr>
          <w:rFonts w:ascii="Arial" w:hAnsi="Arial" w:cs="Arial"/>
          <w:b/>
          <w:sz w:val="20"/>
          <w:szCs w:val="20"/>
        </w:rPr>
        <w:t>90</w:t>
      </w:r>
      <w:r w:rsidRPr="00A6123C">
        <w:rPr>
          <w:rFonts w:ascii="Arial" w:hAnsi="Arial" w:cs="Arial"/>
          <w:sz w:val="20"/>
          <w:szCs w:val="20"/>
        </w:rPr>
        <w:t>(12): 1385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1395.</w:t>
      </w:r>
    </w:p>
    <w:p w14:paraId="010176F5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54.</w:t>
      </w:r>
      <w:r w:rsidRPr="00A6123C">
        <w:rPr>
          <w:rFonts w:ascii="Arial" w:hAnsi="Arial" w:cs="Arial"/>
          <w:sz w:val="20"/>
          <w:szCs w:val="20"/>
        </w:rPr>
        <w:tab/>
        <w:t xml:space="preserve">Hau S, Ehrlich D, Binstead K &amp; Verma S. An evaluation of optometrists' ability to correctly identify and manage patients with ocular disease in the accident and emergency department of an eye hospital. </w:t>
      </w:r>
      <w:r w:rsidRPr="00A6123C">
        <w:rPr>
          <w:rFonts w:ascii="Arial" w:hAnsi="Arial" w:cs="Arial"/>
          <w:i/>
          <w:sz w:val="20"/>
          <w:szCs w:val="20"/>
        </w:rPr>
        <w:t xml:space="preserve">Br J Ophthalmol </w:t>
      </w:r>
      <w:r w:rsidRPr="00A6123C">
        <w:rPr>
          <w:rFonts w:ascii="Arial" w:hAnsi="Arial" w:cs="Arial"/>
          <w:sz w:val="20"/>
          <w:szCs w:val="20"/>
        </w:rPr>
        <w:t xml:space="preserve">2007; </w:t>
      </w:r>
      <w:r w:rsidRPr="00A6123C">
        <w:rPr>
          <w:rFonts w:ascii="Arial" w:hAnsi="Arial" w:cs="Arial"/>
          <w:b/>
          <w:sz w:val="20"/>
          <w:szCs w:val="20"/>
        </w:rPr>
        <w:t>91</w:t>
      </w:r>
      <w:r w:rsidRPr="00A6123C">
        <w:rPr>
          <w:rFonts w:ascii="Arial" w:hAnsi="Arial" w:cs="Arial"/>
          <w:sz w:val="20"/>
          <w:szCs w:val="20"/>
        </w:rPr>
        <w:t>(4): 437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440.</w:t>
      </w:r>
    </w:p>
    <w:p w14:paraId="303D51EC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55.</w:t>
      </w:r>
      <w:r w:rsidRPr="00A6123C">
        <w:rPr>
          <w:rFonts w:ascii="Arial" w:hAnsi="Arial" w:cs="Arial"/>
          <w:sz w:val="20"/>
          <w:szCs w:val="20"/>
        </w:rPr>
        <w:tab/>
        <w:t xml:space="preserve">Jin YP, Chow AHY, Colpa L &amp; Wong AMF. Clinical translation of recommendations from randomized clinical trials on patching regimen for amblyopia.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2013; </w:t>
      </w:r>
      <w:r w:rsidRPr="00A6123C">
        <w:rPr>
          <w:rFonts w:ascii="Arial" w:hAnsi="Arial" w:cs="Arial"/>
          <w:b/>
          <w:sz w:val="20"/>
          <w:szCs w:val="20"/>
        </w:rPr>
        <w:t>120</w:t>
      </w:r>
      <w:r w:rsidRPr="00A6123C">
        <w:rPr>
          <w:rFonts w:ascii="Arial" w:hAnsi="Arial" w:cs="Arial"/>
          <w:sz w:val="20"/>
          <w:szCs w:val="20"/>
        </w:rPr>
        <w:t>(4): 657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662.</w:t>
      </w:r>
    </w:p>
    <w:p w14:paraId="3B7C9810" w14:textId="77777777" w:rsidR="0035796E" w:rsidRPr="00A6123C" w:rsidRDefault="0035796E" w:rsidP="00B759E2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56.</w:t>
      </w:r>
      <w:r w:rsidRPr="00A6123C">
        <w:rPr>
          <w:rFonts w:ascii="Arial" w:hAnsi="Arial" w:cs="Arial"/>
          <w:sz w:val="20"/>
          <w:szCs w:val="20"/>
        </w:rPr>
        <w:tab/>
        <w:t xml:space="preserve">Gupta PK, Freedman SF &amp; Lee PP. Conformance with preferred practice patterns in caring for children with esotropia. </w:t>
      </w:r>
      <w:r w:rsidRPr="00A6123C">
        <w:rPr>
          <w:rFonts w:ascii="Arial" w:hAnsi="Arial" w:cs="Arial"/>
          <w:i/>
          <w:sz w:val="20"/>
          <w:szCs w:val="20"/>
        </w:rPr>
        <w:t xml:space="preserve">J Pediatr Ophthalmol Strabismus </w:t>
      </w:r>
      <w:r w:rsidRPr="00A6123C">
        <w:rPr>
          <w:rFonts w:ascii="Arial" w:hAnsi="Arial" w:cs="Arial"/>
          <w:sz w:val="20"/>
          <w:szCs w:val="20"/>
        </w:rPr>
        <w:t xml:space="preserve">2010; </w:t>
      </w:r>
      <w:r w:rsidRPr="00A6123C">
        <w:rPr>
          <w:rFonts w:ascii="Arial" w:hAnsi="Arial" w:cs="Arial"/>
          <w:b/>
          <w:sz w:val="20"/>
          <w:szCs w:val="20"/>
        </w:rPr>
        <w:t>47</w:t>
      </w:r>
      <w:r w:rsidRPr="00A6123C">
        <w:rPr>
          <w:rFonts w:ascii="Arial" w:hAnsi="Arial" w:cs="Arial"/>
          <w:sz w:val="20"/>
          <w:szCs w:val="20"/>
        </w:rPr>
        <w:t>(3): 145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149; quiz 150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141.</w:t>
      </w:r>
    </w:p>
    <w:p w14:paraId="35E26E2D" w14:textId="77777777" w:rsidR="0035796E" w:rsidRPr="00A6123C" w:rsidRDefault="0035796E" w:rsidP="00B759E2">
      <w:pPr>
        <w:pStyle w:val="EndNoteBibliography"/>
        <w:rPr>
          <w:rFonts w:ascii="Arial" w:hAnsi="Arial" w:cs="Arial"/>
          <w:sz w:val="20"/>
          <w:szCs w:val="20"/>
        </w:rPr>
      </w:pPr>
      <w:r w:rsidRPr="00A6123C">
        <w:rPr>
          <w:rFonts w:ascii="Arial" w:hAnsi="Arial" w:cs="Arial"/>
          <w:sz w:val="20"/>
          <w:szCs w:val="20"/>
        </w:rPr>
        <w:t>57.</w:t>
      </w:r>
      <w:r w:rsidRPr="00A6123C">
        <w:rPr>
          <w:rFonts w:ascii="Arial" w:hAnsi="Arial" w:cs="Arial"/>
          <w:sz w:val="20"/>
          <w:szCs w:val="20"/>
        </w:rPr>
        <w:tab/>
        <w:t xml:space="preserve">Nguyen QD, Hatef E, Kayen B, et al. A cross-sectional study of the current treatment patterns in noninfectious uveitis among specialists in the United States. </w:t>
      </w:r>
      <w:r w:rsidRPr="00A6123C">
        <w:rPr>
          <w:rFonts w:ascii="Arial" w:hAnsi="Arial" w:cs="Arial"/>
          <w:i/>
          <w:sz w:val="20"/>
          <w:szCs w:val="20"/>
        </w:rPr>
        <w:t xml:space="preserve">Ophthalmology </w:t>
      </w:r>
      <w:r w:rsidRPr="00A6123C">
        <w:rPr>
          <w:rFonts w:ascii="Arial" w:hAnsi="Arial" w:cs="Arial"/>
          <w:sz w:val="20"/>
          <w:szCs w:val="20"/>
        </w:rPr>
        <w:t xml:space="preserve">2011; </w:t>
      </w:r>
      <w:r w:rsidRPr="00A6123C">
        <w:rPr>
          <w:rFonts w:ascii="Arial" w:hAnsi="Arial" w:cs="Arial"/>
          <w:b/>
          <w:sz w:val="20"/>
          <w:szCs w:val="20"/>
        </w:rPr>
        <w:t>118</w:t>
      </w:r>
      <w:r w:rsidRPr="00A6123C">
        <w:rPr>
          <w:rFonts w:ascii="Arial" w:hAnsi="Arial" w:cs="Arial"/>
          <w:sz w:val="20"/>
          <w:szCs w:val="20"/>
        </w:rPr>
        <w:t>(1): 184</w:t>
      </w:r>
      <w:r w:rsidR="00F30E75" w:rsidRPr="00A6123C">
        <w:rPr>
          <w:rFonts w:ascii="Arial" w:hAnsi="Arial" w:cs="Arial"/>
          <w:sz w:val="20"/>
          <w:szCs w:val="20"/>
        </w:rPr>
        <w:t>–</w:t>
      </w:r>
      <w:r w:rsidRPr="00A6123C">
        <w:rPr>
          <w:rFonts w:ascii="Arial" w:hAnsi="Arial" w:cs="Arial"/>
          <w:sz w:val="20"/>
          <w:szCs w:val="20"/>
        </w:rPr>
        <w:t>190.</w:t>
      </w:r>
    </w:p>
    <w:p w14:paraId="4AA973BD" w14:textId="77777777" w:rsidR="0035796E" w:rsidRPr="00A6123C" w:rsidRDefault="0035796E">
      <w:pPr>
        <w:rPr>
          <w:rFonts w:ascii="Arial" w:hAnsi="Arial" w:cs="Arial"/>
        </w:rPr>
      </w:pPr>
    </w:p>
    <w:p w14:paraId="61C9E6C2" w14:textId="77777777" w:rsidR="00CC036C" w:rsidRPr="00A6123C" w:rsidRDefault="00CC036C">
      <w:pPr>
        <w:rPr>
          <w:rFonts w:ascii="Arial" w:hAnsi="Arial" w:cs="Arial"/>
        </w:rPr>
      </w:pPr>
    </w:p>
    <w:sectPr w:rsidR="00CC036C" w:rsidRPr="00A6123C" w:rsidSect="002D7B6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1105E" w14:textId="77777777" w:rsidR="00790CDF" w:rsidRDefault="00790CDF">
      <w:pPr>
        <w:spacing w:after="0" w:line="240" w:lineRule="auto"/>
      </w:pPr>
      <w:r>
        <w:separator/>
      </w:r>
    </w:p>
  </w:endnote>
  <w:endnote w:type="continuationSeparator" w:id="0">
    <w:p w14:paraId="4298491D" w14:textId="77777777" w:rsidR="00790CDF" w:rsidRDefault="007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9677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A7DC5D" w14:textId="77777777" w:rsidR="00B759E2" w:rsidRDefault="002D7B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DB63A" w14:textId="77777777" w:rsidR="00B759E2" w:rsidRDefault="00790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3AA5" w14:textId="77777777" w:rsidR="00790CDF" w:rsidRDefault="00790CDF">
      <w:pPr>
        <w:spacing w:after="0" w:line="240" w:lineRule="auto"/>
      </w:pPr>
      <w:r>
        <w:separator/>
      </w:r>
    </w:p>
  </w:footnote>
  <w:footnote w:type="continuationSeparator" w:id="0">
    <w:p w14:paraId="231F225A" w14:textId="77777777" w:rsidR="00790CDF" w:rsidRDefault="00790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65E4"/>
    <w:multiLevelType w:val="multilevel"/>
    <w:tmpl w:val="396C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C4EB6"/>
    <w:multiLevelType w:val="hybridMultilevel"/>
    <w:tmpl w:val="C698712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612A5"/>
    <w:multiLevelType w:val="hybridMultilevel"/>
    <w:tmpl w:val="C698712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904AA"/>
    <w:multiLevelType w:val="hybridMultilevel"/>
    <w:tmpl w:val="FD4CF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E6724"/>
    <w:multiLevelType w:val="hybridMultilevel"/>
    <w:tmpl w:val="B5D42CD2"/>
    <w:lvl w:ilvl="0" w:tplc="4E3A679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33D7A"/>
    <w:multiLevelType w:val="hybridMultilevel"/>
    <w:tmpl w:val="6EFC5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47377"/>
    <w:multiLevelType w:val="hybridMultilevel"/>
    <w:tmpl w:val="C698712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241AB"/>
    <w:multiLevelType w:val="hybridMultilevel"/>
    <w:tmpl w:val="1F2E9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22BF"/>
    <w:multiLevelType w:val="hybridMultilevel"/>
    <w:tmpl w:val="B98EF56C"/>
    <w:lvl w:ilvl="0" w:tplc="0C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6D8D0110"/>
    <w:multiLevelType w:val="hybridMultilevel"/>
    <w:tmpl w:val="05444E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C56AC"/>
    <w:multiLevelType w:val="hybridMultilevel"/>
    <w:tmpl w:val="DEEEE4B4"/>
    <w:lvl w:ilvl="0" w:tplc="528A04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B578B"/>
    <w:multiLevelType w:val="hybridMultilevel"/>
    <w:tmpl w:val="2ABE201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phthal Physiological Optic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5796E"/>
    <w:rsid w:val="00131D20"/>
    <w:rsid w:val="002D7B68"/>
    <w:rsid w:val="0035796E"/>
    <w:rsid w:val="00410217"/>
    <w:rsid w:val="004B1D0E"/>
    <w:rsid w:val="004F75DF"/>
    <w:rsid w:val="005A4BA0"/>
    <w:rsid w:val="00790CDF"/>
    <w:rsid w:val="009220F9"/>
    <w:rsid w:val="00934A59"/>
    <w:rsid w:val="0098425A"/>
    <w:rsid w:val="00A52888"/>
    <w:rsid w:val="00A6123C"/>
    <w:rsid w:val="00A84E16"/>
    <w:rsid w:val="00AD5795"/>
    <w:rsid w:val="00B504AE"/>
    <w:rsid w:val="00C53208"/>
    <w:rsid w:val="00CB54F7"/>
    <w:rsid w:val="00CC036C"/>
    <w:rsid w:val="00D54027"/>
    <w:rsid w:val="00D934FE"/>
    <w:rsid w:val="00DE53AC"/>
    <w:rsid w:val="00F3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B147"/>
  <w15:chartTrackingRefBased/>
  <w15:docId w15:val="{93CAF324-556C-427C-8A69-AC0F8057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96E"/>
  </w:style>
  <w:style w:type="paragraph" w:styleId="Heading1">
    <w:name w:val="heading 1"/>
    <w:basedOn w:val="Normal"/>
    <w:link w:val="Heading1Char"/>
    <w:uiPriority w:val="9"/>
    <w:qFormat/>
    <w:rsid w:val="0035796E"/>
    <w:pPr>
      <w:spacing w:before="1300" w:beforeAutospacing="1" w:after="1300" w:afterAutospacing="1" w:line="360" w:lineRule="auto"/>
      <w:outlineLvl w:val="0"/>
    </w:pPr>
    <w:rPr>
      <w:rFonts w:eastAsia="Times New Roman" w:cs="Times New Roman"/>
      <w:b/>
      <w:bCs/>
      <w:kern w:val="36"/>
      <w:sz w:val="36"/>
      <w:szCs w:val="48"/>
      <w14:numForm w14:val="linin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96E"/>
    <w:pPr>
      <w:keepNext/>
      <w:keepLines/>
      <w:spacing w:before="440" w:after="240" w:line="360" w:lineRule="auto"/>
      <w:outlineLvl w:val="1"/>
    </w:pPr>
    <w:rPr>
      <w:rFonts w:eastAsiaTheme="majorEastAsia" w:cstheme="majorBidi"/>
      <w:b/>
      <w:bCs/>
      <w:sz w:val="32"/>
      <w:szCs w:val="26"/>
      <w14:numForm w14:val="linin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796E"/>
    <w:pPr>
      <w:keepNext/>
      <w:keepLines/>
      <w:spacing w:before="280" w:after="240" w:line="360" w:lineRule="auto"/>
      <w:outlineLvl w:val="2"/>
    </w:pPr>
    <w:rPr>
      <w:rFonts w:cstheme="minorHAnsi"/>
      <w:b/>
      <w:sz w:val="28"/>
      <w:szCs w:val="28"/>
      <w14:numForm w14:val="linin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796E"/>
    <w:pPr>
      <w:keepNext/>
      <w:keepLines/>
      <w:spacing w:before="440" w:after="240" w:line="360" w:lineRule="auto"/>
      <w:outlineLvl w:val="3"/>
    </w:pPr>
    <w:rPr>
      <w:rFonts w:eastAsiaTheme="majorEastAsia" w:cstheme="majorBidi"/>
      <w:b/>
      <w:bCs/>
      <w:iCs/>
      <w:sz w:val="24"/>
      <w14:numForm w14:val="linin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96E"/>
    <w:pPr>
      <w:keepNext/>
      <w:keepLines/>
      <w:spacing w:before="40" w:after="0" w:line="36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14:numForm w14:val="lini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96E"/>
    <w:rPr>
      <w:rFonts w:eastAsia="Times New Roman" w:cs="Times New Roman"/>
      <w:b/>
      <w:bCs/>
      <w:kern w:val="36"/>
      <w:sz w:val="36"/>
      <w:szCs w:val="48"/>
      <w14:numForm w14:val="lining"/>
    </w:rPr>
  </w:style>
  <w:style w:type="character" w:customStyle="1" w:styleId="Heading2Char">
    <w:name w:val="Heading 2 Char"/>
    <w:basedOn w:val="DefaultParagraphFont"/>
    <w:link w:val="Heading2"/>
    <w:uiPriority w:val="9"/>
    <w:rsid w:val="0035796E"/>
    <w:rPr>
      <w:rFonts w:eastAsiaTheme="majorEastAsia" w:cstheme="majorBidi"/>
      <w:b/>
      <w:bCs/>
      <w:sz w:val="32"/>
      <w:szCs w:val="26"/>
      <w14:numForm w14:val="lining"/>
    </w:rPr>
  </w:style>
  <w:style w:type="character" w:customStyle="1" w:styleId="Heading3Char">
    <w:name w:val="Heading 3 Char"/>
    <w:basedOn w:val="DefaultParagraphFont"/>
    <w:link w:val="Heading3"/>
    <w:uiPriority w:val="9"/>
    <w:rsid w:val="0035796E"/>
    <w:rPr>
      <w:rFonts w:cstheme="minorHAnsi"/>
      <w:b/>
      <w:sz w:val="28"/>
      <w:szCs w:val="28"/>
      <w14:numForm w14:val="lining"/>
    </w:rPr>
  </w:style>
  <w:style w:type="character" w:customStyle="1" w:styleId="Heading4Char">
    <w:name w:val="Heading 4 Char"/>
    <w:basedOn w:val="DefaultParagraphFont"/>
    <w:link w:val="Heading4"/>
    <w:uiPriority w:val="9"/>
    <w:rsid w:val="0035796E"/>
    <w:rPr>
      <w:rFonts w:eastAsiaTheme="majorEastAsia" w:cstheme="majorBidi"/>
      <w:b/>
      <w:bCs/>
      <w:iCs/>
      <w:sz w:val="24"/>
      <w14:numForm w14:val="linin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96E"/>
    <w:rPr>
      <w:rFonts w:asciiTheme="majorHAnsi" w:eastAsiaTheme="majorEastAsia" w:hAnsiTheme="majorHAnsi" w:cstheme="majorBidi"/>
      <w:color w:val="365F91" w:themeColor="accent1" w:themeShade="BF"/>
      <w14:numForm w14:val="lining"/>
    </w:rPr>
  </w:style>
  <w:style w:type="paragraph" w:styleId="ListParagraph">
    <w:name w:val="List Paragraph"/>
    <w:basedOn w:val="Normal"/>
    <w:uiPriority w:val="34"/>
    <w:qFormat/>
    <w:rsid w:val="0035796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5796E"/>
  </w:style>
  <w:style w:type="character" w:styleId="Hyperlink">
    <w:name w:val="Hyperlink"/>
    <w:basedOn w:val="DefaultParagraphFont"/>
    <w:uiPriority w:val="99"/>
    <w:unhideWhenUsed/>
    <w:rsid w:val="0035796E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35796E"/>
  </w:style>
  <w:style w:type="paragraph" w:styleId="NormalWeb">
    <w:name w:val="Normal (Web)"/>
    <w:basedOn w:val="Normal"/>
    <w:uiPriority w:val="99"/>
    <w:unhideWhenUsed/>
    <w:rsid w:val="0035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5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7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9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9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9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96E"/>
  </w:style>
  <w:style w:type="character" w:customStyle="1" w:styleId="A8">
    <w:name w:val="A8"/>
    <w:uiPriority w:val="99"/>
    <w:rsid w:val="0035796E"/>
    <w:rPr>
      <w:rFonts w:cs="AGaramond"/>
      <w:color w:val="221E1F"/>
      <w:sz w:val="14"/>
      <w:szCs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35796E"/>
    <w:rPr>
      <w:color w:val="800080" w:themeColor="followedHyperlink"/>
      <w:u w:val="single"/>
    </w:rPr>
  </w:style>
  <w:style w:type="table" w:styleId="LightList-Accent1">
    <w:name w:val="Light List Accent 1"/>
    <w:basedOn w:val="TableNormal"/>
    <w:uiPriority w:val="61"/>
    <w:rsid w:val="0035796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35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96E"/>
  </w:style>
  <w:style w:type="paragraph" w:styleId="Caption">
    <w:name w:val="caption"/>
    <w:basedOn w:val="Normal"/>
    <w:next w:val="Normal"/>
    <w:uiPriority w:val="35"/>
    <w:unhideWhenUsed/>
    <w:qFormat/>
    <w:rsid w:val="003579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5796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796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5796E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796E"/>
    <w:rPr>
      <w:rFonts w:ascii="Calibri" w:hAnsi="Calibri"/>
      <w:noProof/>
    </w:rPr>
  </w:style>
  <w:style w:type="character" w:customStyle="1" w:styleId="Subtitle1">
    <w:name w:val="Subtitle1"/>
    <w:basedOn w:val="DefaultParagraphFont"/>
    <w:rsid w:val="0035796E"/>
  </w:style>
  <w:style w:type="paragraph" w:styleId="Revision">
    <w:name w:val="Revision"/>
    <w:hidden/>
    <w:uiPriority w:val="99"/>
    <w:semiHidden/>
    <w:rsid w:val="0035796E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7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796E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Normal"/>
    <w:rsid w:val="0035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35796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35796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35796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35796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3579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35796E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5796E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579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35796E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5796E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5796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35796E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1">
    <w:name w:val="xl71"/>
    <w:basedOn w:val="Normal"/>
    <w:rsid w:val="0035796E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Normal"/>
    <w:rsid w:val="0035796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al"/>
    <w:rsid w:val="0035796E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5796E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5796E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5796E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5796E"/>
    <w:pPr>
      <w:pBdr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8">
    <w:name w:val="xl78"/>
    <w:basedOn w:val="Normal"/>
    <w:rsid w:val="0035796E"/>
    <w:pPr>
      <w:pBdr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5796E"/>
    <w:pPr>
      <w:pBdr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5796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5796E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5796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35796E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579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35796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35796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35796E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579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Chun Ho</dc:creator>
  <cp:keywords/>
  <dc:description/>
  <cp:lastModifiedBy>Kam Chun Ho</cp:lastModifiedBy>
  <cp:revision>14</cp:revision>
  <dcterms:created xsi:type="dcterms:W3CDTF">2018-10-11T04:24:00Z</dcterms:created>
  <dcterms:modified xsi:type="dcterms:W3CDTF">2019-08-06T08:26:00Z</dcterms:modified>
</cp:coreProperties>
</file>