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853F6" w14:textId="380EDFB9" w:rsidR="001F3925" w:rsidRPr="0008712C" w:rsidRDefault="001F3925" w:rsidP="0016576E">
      <w:pPr>
        <w:widowControl w:val="0"/>
        <w:autoSpaceDE w:val="0"/>
        <w:autoSpaceDN w:val="0"/>
        <w:adjustRightInd w:val="0"/>
        <w:spacing w:line="480" w:lineRule="auto"/>
        <w:ind w:right="-715"/>
        <w:outlineLvl w:val="0"/>
        <w:rPr>
          <w:rFonts w:ascii="Times" w:hAnsi="Times"/>
          <w:color w:val="000000" w:themeColor="text1"/>
          <w:lang w:val="en-US"/>
        </w:rPr>
      </w:pPr>
      <w:r w:rsidRPr="0008712C">
        <w:rPr>
          <w:rFonts w:ascii="Times" w:hAnsi="Times"/>
          <w:b/>
          <w:color w:val="000000" w:themeColor="text1"/>
          <w:lang w:val="en-US"/>
        </w:rPr>
        <w:t>Additional file 3</w:t>
      </w:r>
      <w:r w:rsidR="006F4F6C" w:rsidRPr="0008712C">
        <w:rPr>
          <w:rFonts w:ascii="Times" w:hAnsi="Times"/>
          <w:color w:val="000000" w:themeColor="text1"/>
          <w:lang w:val="en-US"/>
        </w:rPr>
        <w:t xml:space="preserve">. </w:t>
      </w:r>
      <w:r w:rsidR="0016576E" w:rsidRPr="0008712C">
        <w:rPr>
          <w:rFonts w:ascii="Times" w:hAnsi="Times"/>
          <w:color w:val="000000" w:themeColor="text1"/>
          <w:lang w:val="en-US"/>
        </w:rPr>
        <w:t xml:space="preserve">List of applied second-level ICF-Dietetics categories in respect of medical areas </w:t>
      </w:r>
    </w:p>
    <w:tbl>
      <w:tblPr>
        <w:tblStyle w:val="Tabellenraster"/>
        <w:tblW w:w="9877" w:type="dxa"/>
        <w:tblInd w:w="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498"/>
        <w:gridCol w:w="1276"/>
        <w:gridCol w:w="1275"/>
        <w:gridCol w:w="993"/>
        <w:gridCol w:w="850"/>
        <w:gridCol w:w="1134"/>
      </w:tblGrid>
      <w:tr w:rsidR="001F3925" w:rsidRPr="0008712C" w14:paraId="07EA994C" w14:textId="77777777" w:rsidTr="00D32C7C">
        <w:trPr>
          <w:tblHeader/>
        </w:trPr>
        <w:tc>
          <w:tcPr>
            <w:tcW w:w="851" w:type="dxa"/>
            <w:shd w:val="clear" w:color="auto" w:fill="auto"/>
            <w:vAlign w:val="center"/>
          </w:tcPr>
          <w:p w14:paraId="6229EBFE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ICF-Code</w:t>
            </w:r>
          </w:p>
        </w:tc>
        <w:tc>
          <w:tcPr>
            <w:tcW w:w="3498" w:type="dxa"/>
            <w:shd w:val="clear" w:color="auto" w:fill="auto"/>
            <w:vAlign w:val="center"/>
          </w:tcPr>
          <w:p w14:paraId="7D4F5134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 xml:space="preserve">ICF-Dietetics categories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EB213D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Diabetes</w:t>
            </w:r>
          </w:p>
          <w:p w14:paraId="656709FC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Metabolic diseases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F6E6CF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Gastro-enterology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015A01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Surgery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E6CB27" w14:textId="77777777" w:rsidR="001F3925" w:rsidRPr="0008712C" w:rsidRDefault="001F3925" w:rsidP="00D32C7C">
            <w:pPr>
              <w:tabs>
                <w:tab w:val="left" w:pos="688"/>
              </w:tabs>
              <w:jc w:val="center"/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Onco-logy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0C7B7F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 xml:space="preserve">Others </w:t>
            </w:r>
            <w:r w:rsidRPr="0008712C">
              <w:rPr>
                <w:rFonts w:ascii="Times" w:hAnsi="Times" w:cs="Times"/>
                <w:color w:val="000000" w:themeColor="text1"/>
                <w:vertAlign w:val="superscript"/>
                <w:lang w:val="en-US"/>
              </w:rPr>
              <w:t>a</w:t>
            </w:r>
          </w:p>
        </w:tc>
      </w:tr>
      <w:tr w:rsidR="001F3925" w:rsidRPr="0008712C" w14:paraId="1014854A" w14:textId="77777777" w:rsidTr="00D32C7C">
        <w:trPr>
          <w:trHeight w:val="320"/>
        </w:trPr>
        <w:tc>
          <w:tcPr>
            <w:tcW w:w="851" w:type="dxa"/>
            <w:shd w:val="clear" w:color="auto" w:fill="auto"/>
            <w:noWrap/>
            <w:vAlign w:val="center"/>
          </w:tcPr>
          <w:p w14:paraId="4E07AA23" w14:textId="77777777" w:rsidR="001F3925" w:rsidRPr="0008712C" w:rsidRDefault="001F3925" w:rsidP="00D32C7C">
            <w:pPr>
              <w:spacing w:before="120" w:after="120"/>
              <w:rPr>
                <w:rFonts w:ascii="Times" w:hAnsi="Times"/>
                <w:b/>
                <w:color w:val="000000" w:themeColor="text1"/>
                <w:lang w:val="en-US"/>
              </w:rPr>
            </w:pPr>
          </w:p>
        </w:tc>
        <w:tc>
          <w:tcPr>
            <w:tcW w:w="3498" w:type="dxa"/>
            <w:shd w:val="clear" w:color="auto" w:fill="auto"/>
            <w:noWrap/>
            <w:vAlign w:val="center"/>
          </w:tcPr>
          <w:p w14:paraId="1716DD08" w14:textId="77777777" w:rsidR="001F3925" w:rsidRPr="0008712C" w:rsidRDefault="001F3925" w:rsidP="00D32C7C">
            <w:pPr>
              <w:spacing w:before="120" w:after="120"/>
              <w:rPr>
                <w:rFonts w:ascii="Times" w:hAnsi="Times"/>
                <w:b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b/>
                <w:color w:val="000000" w:themeColor="text1"/>
                <w:lang w:val="en-US"/>
              </w:rPr>
              <w:t>BODY FUNCTIONS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2A26FD" w14:textId="77777777" w:rsidR="001F3925" w:rsidRPr="0008712C" w:rsidRDefault="001F3925" w:rsidP="00D32C7C">
            <w:pPr>
              <w:spacing w:before="120" w:after="120"/>
              <w:jc w:val="center"/>
              <w:rPr>
                <w:rFonts w:ascii="Times" w:hAnsi="Times"/>
                <w:color w:val="000000" w:themeColor="text1"/>
                <w:lang w:val="en-US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26A2C2" w14:textId="77777777" w:rsidR="001F3925" w:rsidRPr="0008712C" w:rsidRDefault="001F3925" w:rsidP="00D32C7C">
            <w:pPr>
              <w:spacing w:before="120" w:after="120"/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C3EC710" w14:textId="77777777" w:rsidR="001F3925" w:rsidRPr="0008712C" w:rsidRDefault="001F3925" w:rsidP="00D32C7C">
            <w:pPr>
              <w:spacing w:before="120" w:after="120"/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F67A1CD" w14:textId="77777777" w:rsidR="001F3925" w:rsidRPr="0008712C" w:rsidRDefault="001F3925" w:rsidP="00D32C7C">
            <w:pPr>
              <w:spacing w:before="120" w:after="120"/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B73260" w14:textId="77777777" w:rsidR="001F3925" w:rsidRPr="0008712C" w:rsidRDefault="001F3925" w:rsidP="00D32C7C">
            <w:pPr>
              <w:spacing w:before="120" w:after="120"/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56B40D22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7E4A1775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b117</w:t>
            </w:r>
          </w:p>
        </w:tc>
        <w:tc>
          <w:tcPr>
            <w:tcW w:w="3498" w:type="dxa"/>
            <w:noWrap/>
            <w:vAlign w:val="center"/>
            <w:hideMark/>
          </w:tcPr>
          <w:p w14:paraId="7B72F0D1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Intellectual functions</w:t>
            </w:r>
          </w:p>
        </w:tc>
        <w:tc>
          <w:tcPr>
            <w:tcW w:w="1276" w:type="dxa"/>
            <w:noWrap/>
            <w:vAlign w:val="center"/>
            <w:hideMark/>
          </w:tcPr>
          <w:p w14:paraId="038D71F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645919AB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493A9D4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8B04C5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E6D6B2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</w:tr>
      <w:tr w:rsidR="001F3925" w:rsidRPr="0008712C" w14:paraId="78F9CA80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5468AF03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b126</w:t>
            </w:r>
          </w:p>
        </w:tc>
        <w:tc>
          <w:tcPr>
            <w:tcW w:w="3498" w:type="dxa"/>
            <w:noWrap/>
            <w:vAlign w:val="center"/>
            <w:hideMark/>
          </w:tcPr>
          <w:p w14:paraId="4F0EE1E0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Temperament and personality functions</w:t>
            </w:r>
          </w:p>
        </w:tc>
        <w:tc>
          <w:tcPr>
            <w:tcW w:w="1276" w:type="dxa"/>
            <w:noWrap/>
            <w:vAlign w:val="center"/>
            <w:hideMark/>
          </w:tcPr>
          <w:p w14:paraId="08FC3BC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4F8DD5E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0F53B08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noWrap/>
            <w:vAlign w:val="center"/>
            <w:hideMark/>
          </w:tcPr>
          <w:p w14:paraId="18A7C199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134" w:type="dxa"/>
            <w:noWrap/>
            <w:vAlign w:val="center"/>
            <w:hideMark/>
          </w:tcPr>
          <w:p w14:paraId="76BAD7E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2E660718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21DA8E02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b130</w:t>
            </w:r>
          </w:p>
        </w:tc>
        <w:tc>
          <w:tcPr>
            <w:tcW w:w="3498" w:type="dxa"/>
            <w:noWrap/>
            <w:vAlign w:val="center"/>
            <w:hideMark/>
          </w:tcPr>
          <w:p w14:paraId="58869FCB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Energy and drive functions</w:t>
            </w:r>
          </w:p>
        </w:tc>
        <w:tc>
          <w:tcPr>
            <w:tcW w:w="1276" w:type="dxa"/>
            <w:noWrap/>
            <w:vAlign w:val="center"/>
            <w:hideMark/>
          </w:tcPr>
          <w:p w14:paraId="3FAD0A0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noWrap/>
            <w:vAlign w:val="center"/>
            <w:hideMark/>
          </w:tcPr>
          <w:p w14:paraId="6C65D1B4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993" w:type="dxa"/>
            <w:noWrap/>
            <w:vAlign w:val="center"/>
            <w:hideMark/>
          </w:tcPr>
          <w:p w14:paraId="192AE49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noWrap/>
            <w:vAlign w:val="center"/>
            <w:hideMark/>
          </w:tcPr>
          <w:p w14:paraId="1D8F8A6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134" w:type="dxa"/>
            <w:noWrap/>
            <w:vAlign w:val="center"/>
            <w:hideMark/>
          </w:tcPr>
          <w:p w14:paraId="26BCA72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</w:tr>
      <w:tr w:rsidR="001F3925" w:rsidRPr="0008712C" w14:paraId="40FFEBF5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1B2B01D5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b140</w:t>
            </w:r>
          </w:p>
        </w:tc>
        <w:tc>
          <w:tcPr>
            <w:tcW w:w="3498" w:type="dxa"/>
            <w:noWrap/>
            <w:vAlign w:val="center"/>
            <w:hideMark/>
          </w:tcPr>
          <w:p w14:paraId="5BF20140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Attention functions</w:t>
            </w:r>
          </w:p>
        </w:tc>
        <w:tc>
          <w:tcPr>
            <w:tcW w:w="1276" w:type="dxa"/>
            <w:noWrap/>
            <w:vAlign w:val="center"/>
            <w:hideMark/>
          </w:tcPr>
          <w:p w14:paraId="6E26C8EB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noWrap/>
            <w:vAlign w:val="center"/>
            <w:hideMark/>
          </w:tcPr>
          <w:p w14:paraId="60F6C2F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993" w:type="dxa"/>
            <w:noWrap/>
            <w:vAlign w:val="center"/>
            <w:hideMark/>
          </w:tcPr>
          <w:p w14:paraId="75A1CD8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noWrap/>
            <w:vAlign w:val="center"/>
            <w:hideMark/>
          </w:tcPr>
          <w:p w14:paraId="5B577BE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134" w:type="dxa"/>
            <w:noWrap/>
            <w:vAlign w:val="center"/>
            <w:hideMark/>
          </w:tcPr>
          <w:p w14:paraId="463A2DE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443C971E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350BE534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b144</w:t>
            </w:r>
          </w:p>
        </w:tc>
        <w:tc>
          <w:tcPr>
            <w:tcW w:w="3498" w:type="dxa"/>
            <w:noWrap/>
            <w:vAlign w:val="center"/>
            <w:hideMark/>
          </w:tcPr>
          <w:p w14:paraId="2464D582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Memory functions</w:t>
            </w:r>
          </w:p>
        </w:tc>
        <w:tc>
          <w:tcPr>
            <w:tcW w:w="1276" w:type="dxa"/>
            <w:noWrap/>
            <w:vAlign w:val="center"/>
            <w:hideMark/>
          </w:tcPr>
          <w:p w14:paraId="4B5F98F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2D7D2E0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365B8FA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1A2834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2925E69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</w:tr>
      <w:tr w:rsidR="001F3925" w:rsidRPr="0008712C" w14:paraId="436F402A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637E43D9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b152</w:t>
            </w:r>
          </w:p>
        </w:tc>
        <w:tc>
          <w:tcPr>
            <w:tcW w:w="3498" w:type="dxa"/>
            <w:noWrap/>
            <w:vAlign w:val="center"/>
            <w:hideMark/>
          </w:tcPr>
          <w:p w14:paraId="7DFDC687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Emotional functions</w:t>
            </w:r>
          </w:p>
        </w:tc>
        <w:tc>
          <w:tcPr>
            <w:tcW w:w="1276" w:type="dxa"/>
            <w:noWrap/>
            <w:vAlign w:val="center"/>
            <w:hideMark/>
          </w:tcPr>
          <w:p w14:paraId="0BB61C1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645F3E6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993" w:type="dxa"/>
            <w:noWrap/>
            <w:vAlign w:val="center"/>
            <w:hideMark/>
          </w:tcPr>
          <w:p w14:paraId="34E98574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noWrap/>
            <w:vAlign w:val="center"/>
            <w:hideMark/>
          </w:tcPr>
          <w:p w14:paraId="7DB1880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134" w:type="dxa"/>
            <w:noWrap/>
            <w:vAlign w:val="center"/>
            <w:hideMark/>
          </w:tcPr>
          <w:p w14:paraId="1EBC936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6228B5A6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1DFD671F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b160</w:t>
            </w:r>
          </w:p>
        </w:tc>
        <w:tc>
          <w:tcPr>
            <w:tcW w:w="3498" w:type="dxa"/>
            <w:noWrap/>
            <w:vAlign w:val="center"/>
            <w:hideMark/>
          </w:tcPr>
          <w:p w14:paraId="1D69DE44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Thought functions</w:t>
            </w:r>
          </w:p>
        </w:tc>
        <w:tc>
          <w:tcPr>
            <w:tcW w:w="1276" w:type="dxa"/>
            <w:noWrap/>
            <w:vAlign w:val="center"/>
            <w:hideMark/>
          </w:tcPr>
          <w:p w14:paraId="01808D8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3BC3329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993" w:type="dxa"/>
            <w:noWrap/>
            <w:vAlign w:val="center"/>
            <w:hideMark/>
          </w:tcPr>
          <w:p w14:paraId="4A779E1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noWrap/>
            <w:vAlign w:val="center"/>
            <w:hideMark/>
          </w:tcPr>
          <w:p w14:paraId="69F8031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A9B481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14BA4FFF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4ECD9CB6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b164</w:t>
            </w:r>
          </w:p>
        </w:tc>
        <w:tc>
          <w:tcPr>
            <w:tcW w:w="3498" w:type="dxa"/>
            <w:noWrap/>
            <w:vAlign w:val="center"/>
            <w:hideMark/>
          </w:tcPr>
          <w:p w14:paraId="4101D22D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Higher-level cognitive functions</w:t>
            </w:r>
          </w:p>
        </w:tc>
        <w:tc>
          <w:tcPr>
            <w:tcW w:w="1276" w:type="dxa"/>
            <w:noWrap/>
            <w:vAlign w:val="center"/>
            <w:hideMark/>
          </w:tcPr>
          <w:p w14:paraId="7DE8DCF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noWrap/>
            <w:vAlign w:val="center"/>
            <w:hideMark/>
          </w:tcPr>
          <w:p w14:paraId="6970E629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993" w:type="dxa"/>
            <w:noWrap/>
            <w:vAlign w:val="center"/>
            <w:hideMark/>
          </w:tcPr>
          <w:p w14:paraId="2B3AA03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noWrap/>
            <w:vAlign w:val="center"/>
            <w:hideMark/>
          </w:tcPr>
          <w:p w14:paraId="03213859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134" w:type="dxa"/>
            <w:noWrap/>
            <w:vAlign w:val="center"/>
            <w:hideMark/>
          </w:tcPr>
          <w:p w14:paraId="2C7B640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</w:tr>
      <w:tr w:rsidR="001F3925" w:rsidRPr="0008712C" w14:paraId="06235469" w14:textId="77777777" w:rsidTr="00D32C7C">
        <w:trPr>
          <w:trHeight w:val="320"/>
        </w:trPr>
        <w:tc>
          <w:tcPr>
            <w:tcW w:w="851" w:type="dxa"/>
            <w:noWrap/>
            <w:vAlign w:val="center"/>
          </w:tcPr>
          <w:p w14:paraId="4A9BAB20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b167</w:t>
            </w:r>
          </w:p>
        </w:tc>
        <w:tc>
          <w:tcPr>
            <w:tcW w:w="3498" w:type="dxa"/>
            <w:noWrap/>
            <w:vAlign w:val="center"/>
          </w:tcPr>
          <w:p w14:paraId="5100BB06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 xml:space="preserve">Mental functions of language </w:t>
            </w:r>
            <w:r w:rsidRPr="0008712C">
              <w:rPr>
                <w:rFonts w:ascii="MS Mincho" w:eastAsia="MS Mincho" w:hAnsi="MS Mincho" w:cs="MS Mincho"/>
                <w:color w:val="000000" w:themeColor="text1"/>
                <w:lang w:val="en-US"/>
              </w:rPr>
              <w:t> </w:t>
            </w:r>
          </w:p>
        </w:tc>
        <w:tc>
          <w:tcPr>
            <w:tcW w:w="1276" w:type="dxa"/>
            <w:noWrap/>
            <w:vAlign w:val="center"/>
          </w:tcPr>
          <w:p w14:paraId="2413AB3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noWrap/>
            <w:vAlign w:val="center"/>
          </w:tcPr>
          <w:p w14:paraId="219B8B1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noWrap/>
            <w:vAlign w:val="center"/>
          </w:tcPr>
          <w:p w14:paraId="6733906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noWrap/>
            <w:vAlign w:val="center"/>
          </w:tcPr>
          <w:p w14:paraId="4036945B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1134" w:type="dxa"/>
            <w:noWrap/>
            <w:vAlign w:val="center"/>
          </w:tcPr>
          <w:p w14:paraId="08E64CF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76B22D85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1469E7DC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b210</w:t>
            </w:r>
          </w:p>
        </w:tc>
        <w:tc>
          <w:tcPr>
            <w:tcW w:w="3498" w:type="dxa"/>
            <w:noWrap/>
            <w:vAlign w:val="center"/>
            <w:hideMark/>
          </w:tcPr>
          <w:p w14:paraId="3DF0A0BD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Seeing functions</w:t>
            </w:r>
          </w:p>
        </w:tc>
        <w:tc>
          <w:tcPr>
            <w:tcW w:w="1276" w:type="dxa"/>
            <w:noWrap/>
            <w:vAlign w:val="center"/>
            <w:hideMark/>
          </w:tcPr>
          <w:p w14:paraId="535346E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3CD305D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06951794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noWrap/>
            <w:vAlign w:val="center"/>
            <w:hideMark/>
          </w:tcPr>
          <w:p w14:paraId="20B63AE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9FE2A8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0DEE1878" w14:textId="77777777" w:rsidTr="00D32C7C">
        <w:trPr>
          <w:trHeight w:val="364"/>
        </w:trPr>
        <w:tc>
          <w:tcPr>
            <w:tcW w:w="851" w:type="dxa"/>
            <w:noWrap/>
            <w:vAlign w:val="center"/>
          </w:tcPr>
          <w:p w14:paraId="2C89352A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b230</w:t>
            </w:r>
          </w:p>
        </w:tc>
        <w:tc>
          <w:tcPr>
            <w:tcW w:w="3498" w:type="dxa"/>
            <w:noWrap/>
            <w:vAlign w:val="center"/>
          </w:tcPr>
          <w:p w14:paraId="26C94AD3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Hearing functions</w:t>
            </w:r>
          </w:p>
        </w:tc>
        <w:tc>
          <w:tcPr>
            <w:tcW w:w="1276" w:type="dxa"/>
            <w:noWrap/>
            <w:vAlign w:val="center"/>
          </w:tcPr>
          <w:p w14:paraId="13484DD5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</w:p>
        </w:tc>
        <w:tc>
          <w:tcPr>
            <w:tcW w:w="1275" w:type="dxa"/>
            <w:noWrap/>
            <w:vAlign w:val="center"/>
          </w:tcPr>
          <w:p w14:paraId="57DE9B4D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noWrap/>
            <w:vAlign w:val="center"/>
          </w:tcPr>
          <w:p w14:paraId="11F8B849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</w:p>
        </w:tc>
        <w:tc>
          <w:tcPr>
            <w:tcW w:w="850" w:type="dxa"/>
            <w:noWrap/>
            <w:vAlign w:val="center"/>
          </w:tcPr>
          <w:p w14:paraId="0DC27DC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7960B434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</w:tr>
      <w:tr w:rsidR="001F3925" w:rsidRPr="0008712C" w14:paraId="70457EED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022D6487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b250</w:t>
            </w:r>
          </w:p>
        </w:tc>
        <w:tc>
          <w:tcPr>
            <w:tcW w:w="3498" w:type="dxa"/>
            <w:noWrap/>
            <w:vAlign w:val="center"/>
            <w:hideMark/>
          </w:tcPr>
          <w:p w14:paraId="2276339C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Taste function</w:t>
            </w:r>
          </w:p>
        </w:tc>
        <w:tc>
          <w:tcPr>
            <w:tcW w:w="1276" w:type="dxa"/>
            <w:noWrap/>
            <w:vAlign w:val="center"/>
            <w:hideMark/>
          </w:tcPr>
          <w:p w14:paraId="2BA6B3BA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3549BF1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993" w:type="dxa"/>
            <w:noWrap/>
            <w:vAlign w:val="center"/>
            <w:hideMark/>
          </w:tcPr>
          <w:p w14:paraId="69339024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A2DB24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134" w:type="dxa"/>
            <w:noWrap/>
            <w:vAlign w:val="center"/>
            <w:hideMark/>
          </w:tcPr>
          <w:p w14:paraId="461D620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7E136106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35233DA3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b280</w:t>
            </w:r>
          </w:p>
        </w:tc>
        <w:tc>
          <w:tcPr>
            <w:tcW w:w="3498" w:type="dxa"/>
            <w:noWrap/>
            <w:vAlign w:val="center"/>
            <w:hideMark/>
          </w:tcPr>
          <w:p w14:paraId="240073A7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Sensation of pain</w:t>
            </w:r>
          </w:p>
        </w:tc>
        <w:tc>
          <w:tcPr>
            <w:tcW w:w="1276" w:type="dxa"/>
            <w:noWrap/>
            <w:vAlign w:val="center"/>
            <w:hideMark/>
          </w:tcPr>
          <w:p w14:paraId="4061948D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noWrap/>
            <w:vAlign w:val="center"/>
            <w:hideMark/>
          </w:tcPr>
          <w:p w14:paraId="7A8CB89D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993" w:type="dxa"/>
            <w:noWrap/>
            <w:vAlign w:val="center"/>
            <w:hideMark/>
          </w:tcPr>
          <w:p w14:paraId="0393659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noWrap/>
            <w:vAlign w:val="center"/>
            <w:hideMark/>
          </w:tcPr>
          <w:p w14:paraId="48ADCDD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134" w:type="dxa"/>
            <w:noWrap/>
            <w:vAlign w:val="center"/>
            <w:hideMark/>
          </w:tcPr>
          <w:p w14:paraId="4EBE8579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19E08E4A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487E1CDD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b420</w:t>
            </w:r>
          </w:p>
        </w:tc>
        <w:tc>
          <w:tcPr>
            <w:tcW w:w="3498" w:type="dxa"/>
            <w:noWrap/>
            <w:vAlign w:val="center"/>
            <w:hideMark/>
          </w:tcPr>
          <w:p w14:paraId="29262387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Blood pressure functions</w:t>
            </w:r>
          </w:p>
        </w:tc>
        <w:tc>
          <w:tcPr>
            <w:tcW w:w="1276" w:type="dxa"/>
            <w:noWrap/>
            <w:vAlign w:val="center"/>
            <w:hideMark/>
          </w:tcPr>
          <w:p w14:paraId="372DB25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noWrap/>
            <w:vAlign w:val="center"/>
            <w:hideMark/>
          </w:tcPr>
          <w:p w14:paraId="6F1F3AD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1C226E9B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noWrap/>
            <w:vAlign w:val="center"/>
            <w:hideMark/>
          </w:tcPr>
          <w:p w14:paraId="6FF9F1D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2C0CF6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66238BE6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56BF5C63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b431</w:t>
            </w:r>
          </w:p>
        </w:tc>
        <w:tc>
          <w:tcPr>
            <w:tcW w:w="3498" w:type="dxa"/>
            <w:noWrap/>
            <w:vAlign w:val="center"/>
            <w:hideMark/>
          </w:tcPr>
          <w:p w14:paraId="064821F4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Clinical chemical blood composition</w:t>
            </w:r>
          </w:p>
        </w:tc>
        <w:tc>
          <w:tcPr>
            <w:tcW w:w="1276" w:type="dxa"/>
            <w:noWrap/>
            <w:vAlign w:val="center"/>
            <w:hideMark/>
          </w:tcPr>
          <w:p w14:paraId="184B34E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noWrap/>
            <w:vAlign w:val="center"/>
            <w:hideMark/>
          </w:tcPr>
          <w:p w14:paraId="183962A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993" w:type="dxa"/>
            <w:noWrap/>
            <w:vAlign w:val="center"/>
            <w:hideMark/>
          </w:tcPr>
          <w:p w14:paraId="6C8A673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noWrap/>
            <w:vAlign w:val="center"/>
            <w:hideMark/>
          </w:tcPr>
          <w:p w14:paraId="14A7E02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1134" w:type="dxa"/>
            <w:noWrap/>
            <w:vAlign w:val="center"/>
            <w:hideMark/>
          </w:tcPr>
          <w:p w14:paraId="074E691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</w:tr>
      <w:tr w:rsidR="001F3925" w:rsidRPr="0008712C" w14:paraId="386A8830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7CBAD4E3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b433</w:t>
            </w:r>
          </w:p>
        </w:tc>
        <w:tc>
          <w:tcPr>
            <w:tcW w:w="3498" w:type="dxa"/>
            <w:noWrap/>
            <w:vAlign w:val="center"/>
            <w:hideMark/>
          </w:tcPr>
          <w:p w14:paraId="2685FC9B" w14:textId="51DDB906" w:rsidR="001F3925" w:rsidRPr="0008712C" w:rsidRDefault="0008712C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Hematological</w:t>
            </w:r>
            <w:r w:rsidR="001F3925" w:rsidRPr="0008712C">
              <w:rPr>
                <w:rFonts w:ascii="Times" w:hAnsi="Times"/>
                <w:color w:val="000000" w:themeColor="text1"/>
                <w:lang w:val="en-US"/>
              </w:rPr>
              <w:t xml:space="preserve"> blood characteristics</w:t>
            </w:r>
          </w:p>
        </w:tc>
        <w:tc>
          <w:tcPr>
            <w:tcW w:w="1276" w:type="dxa"/>
            <w:noWrap/>
            <w:vAlign w:val="center"/>
            <w:hideMark/>
          </w:tcPr>
          <w:p w14:paraId="7D388EC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noWrap/>
            <w:vAlign w:val="center"/>
            <w:hideMark/>
          </w:tcPr>
          <w:p w14:paraId="7DC9C17A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4010623A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F951D1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1134" w:type="dxa"/>
            <w:noWrap/>
            <w:vAlign w:val="center"/>
            <w:hideMark/>
          </w:tcPr>
          <w:p w14:paraId="268ADDC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1F5470EB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69F76710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b435</w:t>
            </w:r>
          </w:p>
        </w:tc>
        <w:tc>
          <w:tcPr>
            <w:tcW w:w="3498" w:type="dxa"/>
            <w:noWrap/>
            <w:vAlign w:val="center"/>
            <w:hideMark/>
          </w:tcPr>
          <w:p w14:paraId="5339B18B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Immunological system functions</w:t>
            </w:r>
          </w:p>
        </w:tc>
        <w:tc>
          <w:tcPr>
            <w:tcW w:w="1276" w:type="dxa"/>
            <w:noWrap/>
            <w:vAlign w:val="center"/>
            <w:hideMark/>
          </w:tcPr>
          <w:p w14:paraId="675D0E7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77FFE2E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2EB1DB8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noWrap/>
            <w:vAlign w:val="center"/>
            <w:hideMark/>
          </w:tcPr>
          <w:p w14:paraId="783F37FB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C53A10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26AE7B7D" w14:textId="77777777" w:rsidTr="00D32C7C">
        <w:trPr>
          <w:trHeight w:val="336"/>
        </w:trPr>
        <w:tc>
          <w:tcPr>
            <w:tcW w:w="851" w:type="dxa"/>
            <w:noWrap/>
            <w:vAlign w:val="center"/>
            <w:hideMark/>
          </w:tcPr>
          <w:p w14:paraId="057C9AC7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b440</w:t>
            </w:r>
          </w:p>
        </w:tc>
        <w:tc>
          <w:tcPr>
            <w:tcW w:w="3498" w:type="dxa"/>
            <w:noWrap/>
            <w:vAlign w:val="center"/>
            <w:hideMark/>
          </w:tcPr>
          <w:p w14:paraId="184A68A3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Respiration functions</w:t>
            </w:r>
          </w:p>
        </w:tc>
        <w:tc>
          <w:tcPr>
            <w:tcW w:w="1276" w:type="dxa"/>
            <w:noWrap/>
            <w:vAlign w:val="center"/>
            <w:hideMark/>
          </w:tcPr>
          <w:p w14:paraId="799CEC5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142479A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565B319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38948D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1134" w:type="dxa"/>
            <w:noWrap/>
            <w:vAlign w:val="center"/>
            <w:hideMark/>
          </w:tcPr>
          <w:p w14:paraId="44BD212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18F4F2B3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0EC43079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b450</w:t>
            </w:r>
          </w:p>
        </w:tc>
        <w:tc>
          <w:tcPr>
            <w:tcW w:w="3498" w:type="dxa"/>
            <w:noWrap/>
            <w:vAlign w:val="center"/>
            <w:hideMark/>
          </w:tcPr>
          <w:p w14:paraId="17843F11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Additional functions of the respiratory system</w:t>
            </w:r>
          </w:p>
        </w:tc>
        <w:tc>
          <w:tcPr>
            <w:tcW w:w="1276" w:type="dxa"/>
            <w:noWrap/>
            <w:vAlign w:val="center"/>
            <w:hideMark/>
          </w:tcPr>
          <w:p w14:paraId="47742FFD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4F61DB5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7827AD8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53924F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C4B89D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</w:tr>
      <w:tr w:rsidR="001F3925" w:rsidRPr="0008712C" w14:paraId="4B1E8712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080F89D5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b510</w:t>
            </w:r>
          </w:p>
        </w:tc>
        <w:tc>
          <w:tcPr>
            <w:tcW w:w="3498" w:type="dxa"/>
            <w:noWrap/>
            <w:vAlign w:val="center"/>
            <w:hideMark/>
          </w:tcPr>
          <w:p w14:paraId="57276AD2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Ingestion functions</w:t>
            </w:r>
          </w:p>
        </w:tc>
        <w:tc>
          <w:tcPr>
            <w:tcW w:w="1276" w:type="dxa"/>
            <w:noWrap/>
            <w:vAlign w:val="center"/>
            <w:hideMark/>
          </w:tcPr>
          <w:p w14:paraId="1E39EE3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1275" w:type="dxa"/>
            <w:noWrap/>
            <w:vAlign w:val="center"/>
            <w:hideMark/>
          </w:tcPr>
          <w:p w14:paraId="2F741AA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993" w:type="dxa"/>
            <w:noWrap/>
            <w:vAlign w:val="center"/>
            <w:hideMark/>
          </w:tcPr>
          <w:p w14:paraId="142F69BD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9F82EC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1134" w:type="dxa"/>
            <w:noWrap/>
            <w:vAlign w:val="center"/>
            <w:hideMark/>
          </w:tcPr>
          <w:p w14:paraId="4128890D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7E5F3E90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6D30A516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b515</w:t>
            </w:r>
          </w:p>
        </w:tc>
        <w:tc>
          <w:tcPr>
            <w:tcW w:w="3498" w:type="dxa"/>
            <w:noWrap/>
            <w:vAlign w:val="center"/>
            <w:hideMark/>
          </w:tcPr>
          <w:p w14:paraId="7E3A3E3D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Digestive functions</w:t>
            </w:r>
          </w:p>
        </w:tc>
        <w:tc>
          <w:tcPr>
            <w:tcW w:w="1276" w:type="dxa"/>
            <w:noWrap/>
            <w:vAlign w:val="center"/>
            <w:hideMark/>
          </w:tcPr>
          <w:p w14:paraId="1B72B71A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275" w:type="dxa"/>
            <w:noWrap/>
            <w:vAlign w:val="center"/>
            <w:hideMark/>
          </w:tcPr>
          <w:p w14:paraId="1AE72D8D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993" w:type="dxa"/>
            <w:noWrap/>
            <w:vAlign w:val="center"/>
            <w:hideMark/>
          </w:tcPr>
          <w:p w14:paraId="31CB2A2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noWrap/>
            <w:vAlign w:val="center"/>
            <w:hideMark/>
          </w:tcPr>
          <w:p w14:paraId="5A1DE3C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1134" w:type="dxa"/>
            <w:noWrap/>
            <w:vAlign w:val="center"/>
            <w:hideMark/>
          </w:tcPr>
          <w:p w14:paraId="47B8248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</w:tr>
      <w:tr w:rsidR="001F3925" w:rsidRPr="0008712C" w14:paraId="1F29D950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26F0187E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b525</w:t>
            </w:r>
          </w:p>
        </w:tc>
        <w:tc>
          <w:tcPr>
            <w:tcW w:w="3498" w:type="dxa"/>
            <w:noWrap/>
            <w:vAlign w:val="center"/>
            <w:hideMark/>
          </w:tcPr>
          <w:p w14:paraId="63E86F1D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Defecation functions</w:t>
            </w:r>
          </w:p>
        </w:tc>
        <w:tc>
          <w:tcPr>
            <w:tcW w:w="1276" w:type="dxa"/>
            <w:noWrap/>
            <w:vAlign w:val="center"/>
            <w:hideMark/>
          </w:tcPr>
          <w:p w14:paraId="66FBA77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5F546AB4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993" w:type="dxa"/>
            <w:noWrap/>
            <w:vAlign w:val="center"/>
            <w:hideMark/>
          </w:tcPr>
          <w:p w14:paraId="448E598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noWrap/>
            <w:vAlign w:val="center"/>
            <w:hideMark/>
          </w:tcPr>
          <w:p w14:paraId="240C62B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1134" w:type="dxa"/>
            <w:noWrap/>
            <w:vAlign w:val="center"/>
            <w:hideMark/>
          </w:tcPr>
          <w:p w14:paraId="0A349AF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056830F7" w14:textId="77777777" w:rsidTr="00D32C7C">
        <w:trPr>
          <w:trHeight w:val="320"/>
        </w:trPr>
        <w:tc>
          <w:tcPr>
            <w:tcW w:w="851" w:type="dxa"/>
            <w:noWrap/>
            <w:vAlign w:val="center"/>
          </w:tcPr>
          <w:p w14:paraId="238294E7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b527</w:t>
            </w:r>
          </w:p>
        </w:tc>
        <w:tc>
          <w:tcPr>
            <w:tcW w:w="3498" w:type="dxa"/>
            <w:noWrap/>
            <w:vAlign w:val="center"/>
          </w:tcPr>
          <w:p w14:paraId="6397164A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Other functions related to defecation</w:t>
            </w:r>
          </w:p>
        </w:tc>
        <w:tc>
          <w:tcPr>
            <w:tcW w:w="1276" w:type="dxa"/>
            <w:noWrap/>
            <w:vAlign w:val="center"/>
          </w:tcPr>
          <w:p w14:paraId="363F13D0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</w:p>
        </w:tc>
        <w:tc>
          <w:tcPr>
            <w:tcW w:w="1275" w:type="dxa"/>
            <w:noWrap/>
            <w:vAlign w:val="center"/>
          </w:tcPr>
          <w:p w14:paraId="2CE7E0DD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</w:p>
        </w:tc>
        <w:tc>
          <w:tcPr>
            <w:tcW w:w="993" w:type="dxa"/>
            <w:noWrap/>
            <w:vAlign w:val="center"/>
          </w:tcPr>
          <w:p w14:paraId="56AA5101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noWrap/>
            <w:vAlign w:val="center"/>
          </w:tcPr>
          <w:p w14:paraId="5EF28195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18621263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</w:p>
        </w:tc>
      </w:tr>
      <w:tr w:rsidR="001F3925" w:rsidRPr="0008712C" w14:paraId="152902D7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092B34C6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b531</w:t>
            </w:r>
          </w:p>
        </w:tc>
        <w:tc>
          <w:tcPr>
            <w:tcW w:w="3498" w:type="dxa"/>
            <w:noWrap/>
            <w:vAlign w:val="center"/>
            <w:hideMark/>
          </w:tcPr>
          <w:p w14:paraId="59943684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Weight change</w:t>
            </w:r>
          </w:p>
        </w:tc>
        <w:tc>
          <w:tcPr>
            <w:tcW w:w="1276" w:type="dxa"/>
            <w:noWrap/>
            <w:vAlign w:val="center"/>
            <w:hideMark/>
          </w:tcPr>
          <w:p w14:paraId="25FC54B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1275" w:type="dxa"/>
            <w:noWrap/>
            <w:vAlign w:val="center"/>
            <w:hideMark/>
          </w:tcPr>
          <w:p w14:paraId="5C4A1C5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993" w:type="dxa"/>
            <w:noWrap/>
            <w:vAlign w:val="center"/>
            <w:hideMark/>
          </w:tcPr>
          <w:p w14:paraId="222DE9C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noWrap/>
            <w:vAlign w:val="center"/>
            <w:hideMark/>
          </w:tcPr>
          <w:p w14:paraId="566D7B2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1134" w:type="dxa"/>
            <w:noWrap/>
            <w:vAlign w:val="center"/>
            <w:hideMark/>
          </w:tcPr>
          <w:p w14:paraId="4119C86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2F892E72" w14:textId="77777777" w:rsidTr="00D32C7C">
        <w:trPr>
          <w:trHeight w:val="320"/>
        </w:trPr>
        <w:tc>
          <w:tcPr>
            <w:tcW w:w="851" w:type="dxa"/>
            <w:noWrap/>
            <w:vAlign w:val="center"/>
            <w:hideMark/>
          </w:tcPr>
          <w:p w14:paraId="615E9E29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b532</w:t>
            </w:r>
          </w:p>
        </w:tc>
        <w:tc>
          <w:tcPr>
            <w:tcW w:w="3498" w:type="dxa"/>
            <w:noWrap/>
            <w:vAlign w:val="center"/>
            <w:hideMark/>
          </w:tcPr>
          <w:p w14:paraId="05E6839C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Nutritional status</w:t>
            </w:r>
          </w:p>
        </w:tc>
        <w:tc>
          <w:tcPr>
            <w:tcW w:w="1276" w:type="dxa"/>
            <w:noWrap/>
            <w:vAlign w:val="center"/>
            <w:hideMark/>
          </w:tcPr>
          <w:p w14:paraId="77539CA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5DAEDB6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182526E4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451AC14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1134" w:type="dxa"/>
            <w:noWrap/>
            <w:vAlign w:val="center"/>
            <w:hideMark/>
          </w:tcPr>
          <w:p w14:paraId="2C435E6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2366F5E3" w14:textId="77777777" w:rsidTr="00D32C7C">
        <w:trPr>
          <w:trHeight w:val="320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C79884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b533</w:t>
            </w:r>
          </w:p>
        </w:tc>
        <w:tc>
          <w:tcPr>
            <w:tcW w:w="349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32D645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Functions of structures related to digestion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52F87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13FB6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A05B0A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D1401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94615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</w:tr>
      <w:tr w:rsidR="001F3925" w:rsidRPr="0008712C" w14:paraId="3CCA7EF4" w14:textId="77777777" w:rsidTr="00D32C7C">
        <w:trPr>
          <w:trHeight w:val="320"/>
        </w:trPr>
        <w:tc>
          <w:tcPr>
            <w:tcW w:w="851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F3D08B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b534</w:t>
            </w:r>
          </w:p>
        </w:tc>
        <w:tc>
          <w:tcPr>
            <w:tcW w:w="349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943E7D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Body composition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2DFAA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F5D02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4043B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717BA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04A1587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</w:tr>
      <w:tr w:rsidR="001F3925" w:rsidRPr="0008712C" w14:paraId="04C95983" w14:textId="77777777" w:rsidTr="00D32C7C">
        <w:trPr>
          <w:trHeight w:val="3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752E4F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b535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7E541C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Sensations associated with the digestive system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6D6D9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13301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29FA6B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7896B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583BAF8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49CF693B" w14:textId="77777777" w:rsidTr="00D32C7C">
        <w:trPr>
          <w:trHeight w:val="3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7BA20D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b540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048DB0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General metabolic functions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BC5EEB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92503D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1CF92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8FCB9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58838D4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</w:tr>
      <w:tr w:rsidR="001F3925" w:rsidRPr="0008712C" w14:paraId="693C0B39" w14:textId="77777777" w:rsidTr="00D32C7C">
        <w:trPr>
          <w:trHeight w:val="3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04DC1E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b545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7D4304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Water, mineral and electrolyte balance functions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80BB4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9E8AC9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3F06A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EE1E8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215612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10DC3B7D" w14:textId="77777777" w:rsidTr="00D32C7C">
        <w:trPr>
          <w:trHeight w:val="250"/>
        </w:trPr>
        <w:tc>
          <w:tcPr>
            <w:tcW w:w="851" w:type="dxa"/>
            <w:tcBorders>
              <w:right w:val="nil"/>
            </w:tcBorders>
            <w:noWrap/>
            <w:vAlign w:val="center"/>
          </w:tcPr>
          <w:p w14:paraId="3F877A8D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b555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</w:tcPr>
          <w:p w14:paraId="4B753BD4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Endocrine gland functions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14:paraId="6B850E3A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6A7FBB9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414C2E5A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229B09C4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noWrap/>
            <w:vAlign w:val="center"/>
          </w:tcPr>
          <w:p w14:paraId="30D25A3A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</w:p>
        </w:tc>
      </w:tr>
      <w:tr w:rsidR="001F3925" w:rsidRPr="0008712C" w14:paraId="6507CDC3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</w:tcPr>
          <w:p w14:paraId="6BE2EAC5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lastRenderedPageBreak/>
              <w:t>b610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</w:tcPr>
          <w:p w14:paraId="7B5588E4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Urinary excretory functions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14:paraId="1B71807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6C598BB9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42523124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6634128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noWrap/>
            <w:vAlign w:val="center"/>
          </w:tcPr>
          <w:p w14:paraId="76B6FCA9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</w:tr>
      <w:tr w:rsidR="001F3925" w:rsidRPr="0008712C" w14:paraId="048A84B1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76DA11B" w14:textId="77777777" w:rsidR="001F3925" w:rsidRPr="0008712C" w:rsidRDefault="001F3925" w:rsidP="00D32C7C">
            <w:pPr>
              <w:spacing w:before="120" w:after="120"/>
              <w:rPr>
                <w:rFonts w:ascii="Times" w:hAnsi="Times"/>
                <w:b/>
                <w:color w:val="000000" w:themeColor="text1"/>
                <w:lang w:val="en-US"/>
              </w:rPr>
            </w:pPr>
          </w:p>
        </w:tc>
        <w:tc>
          <w:tcPr>
            <w:tcW w:w="34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CA7EE5" w14:textId="77777777" w:rsidR="001F3925" w:rsidRPr="0008712C" w:rsidRDefault="001F3925" w:rsidP="00D32C7C">
            <w:pPr>
              <w:spacing w:before="120" w:after="120"/>
              <w:rPr>
                <w:rFonts w:ascii="Times" w:hAnsi="Times"/>
                <w:b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b/>
                <w:color w:val="000000" w:themeColor="text1"/>
                <w:lang w:val="en-US"/>
              </w:rPr>
              <w:t>BODY STRUCTURE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72FB38" w14:textId="77777777" w:rsidR="001F3925" w:rsidRPr="0008712C" w:rsidRDefault="001F3925" w:rsidP="00D32C7C">
            <w:pPr>
              <w:spacing w:before="120" w:after="120"/>
              <w:jc w:val="center"/>
              <w:rPr>
                <w:rFonts w:ascii="Times" w:hAnsi="Times"/>
                <w:b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1C7FFE" w14:textId="77777777" w:rsidR="001F3925" w:rsidRPr="0008712C" w:rsidRDefault="001F3925" w:rsidP="00D32C7C">
            <w:pPr>
              <w:spacing w:before="120" w:after="120"/>
              <w:jc w:val="center"/>
              <w:rPr>
                <w:rFonts w:ascii="Times" w:hAnsi="Times"/>
                <w:b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66F549" w14:textId="77777777" w:rsidR="001F3925" w:rsidRPr="0008712C" w:rsidRDefault="001F3925" w:rsidP="00D32C7C">
            <w:pPr>
              <w:spacing w:before="120" w:after="120"/>
              <w:jc w:val="center"/>
              <w:rPr>
                <w:rFonts w:ascii="Times" w:hAnsi="Times"/>
                <w:b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DCCC55" w14:textId="77777777" w:rsidR="001F3925" w:rsidRPr="0008712C" w:rsidRDefault="001F3925" w:rsidP="00D32C7C">
            <w:pPr>
              <w:spacing w:before="120" w:after="120"/>
              <w:jc w:val="center"/>
              <w:rPr>
                <w:rFonts w:ascii="Times" w:hAnsi="Times"/>
                <w:b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197B86A" w14:textId="77777777" w:rsidR="001F3925" w:rsidRPr="0008712C" w:rsidRDefault="001F3925" w:rsidP="00D32C7C">
            <w:pPr>
              <w:spacing w:before="120" w:after="120"/>
              <w:jc w:val="center"/>
              <w:rPr>
                <w:rFonts w:ascii="Times" w:hAnsi="Times"/>
                <w:b/>
                <w:color w:val="000000" w:themeColor="text1"/>
                <w:lang w:val="en-US"/>
              </w:rPr>
            </w:pPr>
          </w:p>
        </w:tc>
      </w:tr>
      <w:tr w:rsidR="001F3925" w:rsidRPr="0008712C" w14:paraId="330F2D0F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  <w:hideMark/>
          </w:tcPr>
          <w:p w14:paraId="51112708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s320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A13489B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Structure of mouth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0D52EF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D77663D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89A081B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835B46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14:paraId="7F56768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152774BF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  <w:hideMark/>
          </w:tcPr>
          <w:p w14:paraId="68405B82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s530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80379E0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Structure of stomach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8672C3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918096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A2DA2F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3D0A80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14:paraId="66CB026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1CB32D77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</w:tcPr>
          <w:p w14:paraId="25B682A1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s540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</w:tcPr>
          <w:p w14:paraId="65BE19A7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Structure of intestine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14:paraId="48EAFA3A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798E65B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66E2590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147F53EB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</w:tcPr>
          <w:p w14:paraId="73C30C1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00FD1007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  <w:hideMark/>
          </w:tcPr>
          <w:p w14:paraId="20E3EBC0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s560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2D7DD18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Structure of liver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E49D25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117074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B8021EA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DA1DB0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14:paraId="755CB79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68662AB6" w14:textId="77777777" w:rsidTr="00D32C7C">
        <w:trPr>
          <w:trHeight w:val="349"/>
        </w:trPr>
        <w:tc>
          <w:tcPr>
            <w:tcW w:w="851" w:type="dxa"/>
            <w:tcBorders>
              <w:right w:val="nil"/>
            </w:tcBorders>
            <w:noWrap/>
            <w:vAlign w:val="center"/>
            <w:hideMark/>
          </w:tcPr>
          <w:p w14:paraId="075C981D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s705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6445387" w14:textId="77777777" w:rsidR="001F3925" w:rsidRPr="0008712C" w:rsidRDefault="001F3925" w:rsidP="00D32C7C">
            <w:pPr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Anthropometrics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645097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18A05B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70B3FD9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59D46A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14:paraId="4DAC5C8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 xml:space="preserve"> X</w:t>
            </w:r>
          </w:p>
        </w:tc>
      </w:tr>
      <w:tr w:rsidR="001F3925" w:rsidRPr="0008712C" w14:paraId="765406D4" w14:textId="77777777" w:rsidTr="00D32C7C">
        <w:tc>
          <w:tcPr>
            <w:tcW w:w="851" w:type="dxa"/>
            <w:tcBorders>
              <w:right w:val="nil"/>
            </w:tcBorders>
            <w:shd w:val="clear" w:color="auto" w:fill="auto"/>
            <w:vAlign w:val="center"/>
          </w:tcPr>
          <w:p w14:paraId="32818480" w14:textId="77777777" w:rsidR="001F3925" w:rsidRPr="0008712C" w:rsidRDefault="001F3925" w:rsidP="00D32C7C">
            <w:pPr>
              <w:spacing w:before="120" w:after="120"/>
              <w:rPr>
                <w:rFonts w:ascii="Times" w:hAnsi="Times"/>
                <w:b/>
                <w:color w:val="000000" w:themeColor="text1"/>
                <w:lang w:val="en-US"/>
              </w:rPr>
            </w:pPr>
          </w:p>
        </w:tc>
        <w:tc>
          <w:tcPr>
            <w:tcW w:w="9026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14:paraId="2DC4EA0F" w14:textId="77777777" w:rsidR="001F3925" w:rsidRPr="0008712C" w:rsidRDefault="001F3925" w:rsidP="00D32C7C">
            <w:pPr>
              <w:spacing w:before="120" w:after="120"/>
              <w:rPr>
                <w:rFonts w:ascii="Times" w:hAnsi="Times"/>
                <w:b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b/>
                <w:color w:val="000000" w:themeColor="text1"/>
                <w:lang w:val="en-US"/>
              </w:rPr>
              <w:t>ACTIVITIES AND PARTICIPATION</w:t>
            </w:r>
            <w:r w:rsidRPr="0008712C">
              <w:rPr>
                <w:rFonts w:ascii="Times" w:hAnsi="Times" w:cs="Times"/>
                <w:color w:val="000000" w:themeColor="text1"/>
                <w:vertAlign w:val="superscript"/>
                <w:lang w:val="en-US"/>
              </w:rPr>
              <w:t xml:space="preserve"> b</w:t>
            </w:r>
          </w:p>
        </w:tc>
      </w:tr>
      <w:tr w:rsidR="001F3925" w:rsidRPr="0008712C" w14:paraId="1F40E33E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</w:tcPr>
          <w:p w14:paraId="1096FADD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a133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</w:tcPr>
          <w:p w14:paraId="0B22AFE7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 w:cs="Arial"/>
                <w:color w:val="000000" w:themeColor="text1"/>
                <w:sz w:val="22"/>
                <w:szCs w:val="22"/>
                <w:lang w:val="en-US"/>
              </w:rPr>
              <w:t>Acquiring additional language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14:paraId="4CC2EC8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6CFA1A44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51CE874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7B27BFD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noWrap/>
            <w:vAlign w:val="center"/>
          </w:tcPr>
          <w:p w14:paraId="3EF6DB1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1755FE4B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  <w:hideMark/>
          </w:tcPr>
          <w:p w14:paraId="175A9718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a240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96337D5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Handling stress and other psychological demands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E619E2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1FC10D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E1F9C9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DC7307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14:paraId="7D99FB9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60AC1F1E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</w:tcPr>
          <w:p w14:paraId="59093153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a398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</w:tcPr>
          <w:p w14:paraId="50B63231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Communication, other specified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78B050F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1F20469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3441D82B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5D0EA90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noWrap/>
            <w:vAlign w:val="center"/>
          </w:tcPr>
          <w:p w14:paraId="1676A53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</w:tr>
      <w:tr w:rsidR="001F3925" w:rsidRPr="0008712C" w14:paraId="657CBD11" w14:textId="77777777" w:rsidTr="00D32C7C">
        <w:trPr>
          <w:trHeight w:val="238"/>
        </w:trPr>
        <w:tc>
          <w:tcPr>
            <w:tcW w:w="851" w:type="dxa"/>
            <w:tcBorders>
              <w:right w:val="nil"/>
            </w:tcBorders>
            <w:noWrap/>
          </w:tcPr>
          <w:p w14:paraId="4632A554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a4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</w:tcPr>
          <w:p w14:paraId="1FFD62C8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Mobility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14:paraId="56C34F4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1DC5084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2ADA2E3B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0F2C630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</w:tcPr>
          <w:p w14:paraId="34DEE179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3E6275EE" w14:textId="77777777" w:rsidTr="00D32C7C">
        <w:trPr>
          <w:trHeight w:val="237"/>
        </w:trPr>
        <w:tc>
          <w:tcPr>
            <w:tcW w:w="851" w:type="dxa"/>
            <w:tcBorders>
              <w:right w:val="nil"/>
            </w:tcBorders>
            <w:noWrap/>
          </w:tcPr>
          <w:p w14:paraId="7D6E1468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a429</w:t>
            </w:r>
          </w:p>
        </w:tc>
        <w:tc>
          <w:tcPr>
            <w:tcW w:w="4774" w:type="dxa"/>
            <w:gridSpan w:val="2"/>
            <w:tcBorders>
              <w:left w:val="nil"/>
              <w:right w:val="nil"/>
            </w:tcBorders>
            <w:noWrap/>
            <w:vAlign w:val="center"/>
          </w:tcPr>
          <w:p w14:paraId="0311D4D1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Changing and maintaining body position, </w:t>
            </w: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br/>
              <w:t>other specified and unspecified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5E1E134A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42D6F50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4B82AA5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</w:tcPr>
          <w:p w14:paraId="6ECCB5A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50CD35DF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</w:tcPr>
          <w:p w14:paraId="6252FB68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a440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</w:tcPr>
          <w:p w14:paraId="2483BDB8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Fine hand use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14:paraId="6D11F5C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650E235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6A6E90DA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2EB7E9A4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noWrap/>
            <w:vAlign w:val="center"/>
          </w:tcPr>
          <w:p w14:paraId="608B086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2526F970" w14:textId="77777777" w:rsidTr="00D32C7C">
        <w:trPr>
          <w:trHeight w:val="251"/>
        </w:trPr>
        <w:tc>
          <w:tcPr>
            <w:tcW w:w="851" w:type="dxa"/>
            <w:tcBorders>
              <w:right w:val="nil"/>
            </w:tcBorders>
            <w:noWrap/>
          </w:tcPr>
          <w:p w14:paraId="6B989489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a460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</w:tcPr>
          <w:p w14:paraId="57873485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Moving around between different locations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14:paraId="78F6A9C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29DB505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5DA603ED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44F191A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noWrap/>
            <w:vAlign w:val="center"/>
          </w:tcPr>
          <w:p w14:paraId="026CDB5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706D7DD3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</w:tcPr>
          <w:p w14:paraId="633C01F3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a465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</w:tcPr>
          <w:p w14:paraId="1023A3F8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Moving around using equipment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14:paraId="425608A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7996EB4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2DCCB8E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21DDE25D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noWrap/>
            <w:vAlign w:val="center"/>
          </w:tcPr>
          <w:p w14:paraId="5841D3F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4C21392D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  <w:hideMark/>
          </w:tcPr>
          <w:p w14:paraId="3380F25A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a520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4DE3358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Caring for body parts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B64B03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0C890D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969225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156E06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14:paraId="2CEAF0B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7350E2F7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</w:tcPr>
          <w:p w14:paraId="319B62FE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a530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</w:tcPr>
          <w:p w14:paraId="3131767A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Toileting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14:paraId="519AF5B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40D2688B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6301734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49AFB83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noWrap/>
            <w:vAlign w:val="center"/>
          </w:tcPr>
          <w:p w14:paraId="753AFEE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3BA8CE4F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  <w:hideMark/>
          </w:tcPr>
          <w:p w14:paraId="012006DC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a550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4B3D367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Eating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1C1FA1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9A3802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078E69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932D0B9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14:paraId="0D7E26F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</w:tr>
      <w:tr w:rsidR="001F3925" w:rsidRPr="0008712C" w14:paraId="68AE1A41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  <w:hideMark/>
          </w:tcPr>
          <w:p w14:paraId="55FF6F9C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a570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3699561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Looking after one's health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4947EA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FCCCE4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F113C7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348E16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14:paraId="6DFB9C7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</w:tr>
      <w:tr w:rsidR="001F3925" w:rsidRPr="0008712C" w14:paraId="70004E6E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</w:tcPr>
          <w:p w14:paraId="7A322339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a620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</w:tcPr>
          <w:p w14:paraId="707E4C52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Acquisition of goods and services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14:paraId="3842E77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79B7906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122CCCF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5BC0D7A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noWrap/>
            <w:vAlign w:val="center"/>
          </w:tcPr>
          <w:p w14:paraId="101E2864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2378C3ED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</w:tcPr>
          <w:p w14:paraId="56CDC473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a630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</w:tcPr>
          <w:p w14:paraId="2EF65E99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Preparing meals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14:paraId="3C97DFD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2973D15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5B31D47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21B08A0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noWrap/>
            <w:vAlign w:val="center"/>
          </w:tcPr>
          <w:p w14:paraId="0CAB521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6588F8A6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</w:tcPr>
          <w:p w14:paraId="6B011BD5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a640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</w:tcPr>
          <w:p w14:paraId="2495B82F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Doing housework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14:paraId="1EC7BC04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6F84B03B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5069ABE9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00F4F9D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noWrap/>
            <w:vAlign w:val="center"/>
          </w:tcPr>
          <w:p w14:paraId="5120772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6F6AF8FF" w14:textId="77777777" w:rsidTr="00D32C7C">
        <w:trPr>
          <w:trHeight w:val="280"/>
        </w:trPr>
        <w:tc>
          <w:tcPr>
            <w:tcW w:w="851" w:type="dxa"/>
            <w:tcBorders>
              <w:right w:val="nil"/>
            </w:tcBorders>
            <w:noWrap/>
            <w:vAlign w:val="center"/>
          </w:tcPr>
          <w:p w14:paraId="52B7F4E9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p2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</w:tcPr>
          <w:p w14:paraId="763B6B1A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General tasks and demands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14:paraId="6088CA31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7AC19C7A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709CFCFD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51A25BBD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noWrap/>
            <w:vAlign w:val="center"/>
          </w:tcPr>
          <w:p w14:paraId="5CA635C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6B57B11A" w14:textId="77777777" w:rsidTr="00D32C7C">
        <w:trPr>
          <w:trHeight w:val="223"/>
        </w:trPr>
        <w:tc>
          <w:tcPr>
            <w:tcW w:w="851" w:type="dxa"/>
            <w:tcBorders>
              <w:right w:val="nil"/>
            </w:tcBorders>
            <w:noWrap/>
            <w:vAlign w:val="center"/>
          </w:tcPr>
          <w:p w14:paraId="75DF54AE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p3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</w:tcPr>
          <w:p w14:paraId="13C095C5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Communication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14:paraId="5E3E5219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17E0776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1950861A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4135605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noWrap/>
            <w:vAlign w:val="center"/>
          </w:tcPr>
          <w:p w14:paraId="37BD119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620302DE" w14:textId="77777777" w:rsidTr="00D32C7C">
        <w:trPr>
          <w:trHeight w:val="280"/>
        </w:trPr>
        <w:tc>
          <w:tcPr>
            <w:tcW w:w="851" w:type="dxa"/>
            <w:tcBorders>
              <w:right w:val="nil"/>
            </w:tcBorders>
            <w:noWrap/>
            <w:vAlign w:val="center"/>
            <w:hideMark/>
          </w:tcPr>
          <w:p w14:paraId="1E3232F3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p750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6D95B8A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Informal social relationships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B9966A4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703938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F401FE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A14A3AD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14:paraId="34D81DFB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685722C3" w14:textId="77777777" w:rsidTr="00D32C7C">
        <w:trPr>
          <w:trHeight w:val="293"/>
        </w:trPr>
        <w:tc>
          <w:tcPr>
            <w:tcW w:w="851" w:type="dxa"/>
            <w:tcBorders>
              <w:right w:val="nil"/>
            </w:tcBorders>
            <w:noWrap/>
            <w:vAlign w:val="center"/>
            <w:hideMark/>
          </w:tcPr>
          <w:p w14:paraId="2891F2F0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p760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221B76F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Family relationships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286D36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969B59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769680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1C7E6F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14:paraId="2CF5AF69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7A9939CB" w14:textId="77777777" w:rsidTr="00D32C7C">
        <w:trPr>
          <w:trHeight w:val="280"/>
        </w:trPr>
        <w:tc>
          <w:tcPr>
            <w:tcW w:w="851" w:type="dxa"/>
            <w:tcBorders>
              <w:right w:val="nil"/>
            </w:tcBorders>
            <w:noWrap/>
            <w:vAlign w:val="center"/>
          </w:tcPr>
          <w:p w14:paraId="71DD87F3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p770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</w:tcPr>
          <w:p w14:paraId="5AB571CF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Intimate relationships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14:paraId="7DDBE7D7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785A148B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32D3190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6772DC4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</w:tcPr>
          <w:p w14:paraId="3C789FDA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</w:p>
        </w:tc>
      </w:tr>
      <w:tr w:rsidR="001F3925" w:rsidRPr="0008712C" w14:paraId="6A69FC71" w14:textId="77777777" w:rsidTr="00D32C7C">
        <w:trPr>
          <w:trHeight w:val="238"/>
        </w:trPr>
        <w:tc>
          <w:tcPr>
            <w:tcW w:w="851" w:type="dxa"/>
            <w:tcBorders>
              <w:right w:val="nil"/>
            </w:tcBorders>
            <w:noWrap/>
            <w:vAlign w:val="center"/>
          </w:tcPr>
          <w:p w14:paraId="634B2B83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p920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</w:tcPr>
          <w:p w14:paraId="55D129B7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Recreation and leisure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14:paraId="543A254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55B3E4E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7162991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6E98C3C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  <w:noWrap/>
            <w:vAlign w:val="center"/>
          </w:tcPr>
          <w:p w14:paraId="759B85D4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3B7E0EFC" w14:textId="77777777" w:rsidTr="00D32C7C"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066093" w14:textId="77777777" w:rsidR="001F3925" w:rsidRPr="0008712C" w:rsidRDefault="001F3925" w:rsidP="00D32C7C">
            <w:pPr>
              <w:spacing w:before="120" w:after="120"/>
              <w:rPr>
                <w:rFonts w:ascii="Times" w:hAnsi="Times"/>
                <w:b/>
                <w:color w:val="000000" w:themeColor="text1"/>
                <w:lang w:val="en-US"/>
              </w:rPr>
            </w:pPr>
          </w:p>
        </w:tc>
        <w:tc>
          <w:tcPr>
            <w:tcW w:w="9026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2B3EC54" w14:textId="77777777" w:rsidR="001F3925" w:rsidRPr="0008712C" w:rsidRDefault="001F3925" w:rsidP="00D32C7C">
            <w:pPr>
              <w:spacing w:before="120" w:after="120"/>
              <w:rPr>
                <w:rFonts w:ascii="Times" w:hAnsi="Times"/>
                <w:b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b/>
                <w:color w:val="000000" w:themeColor="text1"/>
                <w:lang w:val="en-US"/>
              </w:rPr>
              <w:t>ENVIRONMENTAL FACTORS</w:t>
            </w:r>
          </w:p>
        </w:tc>
      </w:tr>
      <w:tr w:rsidR="001F3925" w:rsidRPr="0008712C" w14:paraId="38A0938E" w14:textId="77777777" w:rsidTr="00D32C7C">
        <w:tc>
          <w:tcPr>
            <w:tcW w:w="851" w:type="dxa"/>
            <w:tcBorders>
              <w:bottom w:val="single" w:sz="4" w:space="0" w:color="auto"/>
              <w:right w:val="nil"/>
            </w:tcBorders>
            <w:vAlign w:val="center"/>
          </w:tcPr>
          <w:p w14:paraId="6E11A36C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e110</w:t>
            </w:r>
          </w:p>
        </w:tc>
        <w:tc>
          <w:tcPr>
            <w:tcW w:w="349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B76A2F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Products or substances for personal consumption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7161F8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C83938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47CFD0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FC60CA" w14:textId="77777777" w:rsidR="001F3925" w:rsidRPr="0008712C" w:rsidRDefault="001F3925" w:rsidP="00D32C7C">
            <w:pPr>
              <w:tabs>
                <w:tab w:val="left" w:pos="688"/>
              </w:tabs>
              <w:jc w:val="center"/>
              <w:rPr>
                <w:rFonts w:ascii="Times" w:hAnsi="Times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vAlign w:val="center"/>
          </w:tcPr>
          <w:p w14:paraId="0219F38A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</w:tr>
      <w:tr w:rsidR="001F3925" w:rsidRPr="0008712C" w14:paraId="58AA30CE" w14:textId="77777777" w:rsidTr="00D32C7C">
        <w:trPr>
          <w:trHeight w:val="29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497EB1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e165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8DF716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Assets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4CD5F9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B966C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A9D34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1A96D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01AA14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195F7E08" w14:textId="77777777" w:rsidTr="00D32C7C">
        <w:trPr>
          <w:trHeight w:val="3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1F2D06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e310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0EFF06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Immediate family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5A335D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715ABD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B2EA5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D4D1D0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481F9F8" w14:textId="77777777" w:rsidR="001F3925" w:rsidRPr="0008712C" w:rsidRDefault="001F3925" w:rsidP="00D32C7C">
            <w:pPr>
              <w:jc w:val="center"/>
              <w:rPr>
                <w:rFonts w:ascii="Times" w:hAnsi="Times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 X</w:t>
            </w:r>
          </w:p>
        </w:tc>
      </w:tr>
      <w:tr w:rsidR="001F3925" w:rsidRPr="0008712C" w14:paraId="36A3C468" w14:textId="77777777" w:rsidTr="00D32C7C">
        <w:trPr>
          <w:trHeight w:val="27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72B1B3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e320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181417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Friends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C79E2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0A47D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737DAB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A8CC2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1DADFBDB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21DC18FD" w14:textId="77777777" w:rsidTr="00D32C7C">
        <w:trPr>
          <w:trHeight w:val="3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B2A2AF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e340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17EE17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Personal care providers and personal assistants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15AC04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74F01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2C807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4A5A8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80F24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2226D8E3" w14:textId="77777777" w:rsidTr="00D32C7C">
        <w:trPr>
          <w:trHeight w:val="3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3B77169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e360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869844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Other professionals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8C61B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8D6A7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395D6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C0DE8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56DD8B05" w14:textId="77777777" w:rsidTr="00D32C7C">
        <w:trPr>
          <w:trHeight w:val="321"/>
        </w:trPr>
        <w:tc>
          <w:tcPr>
            <w:tcW w:w="851" w:type="dxa"/>
            <w:tcBorders>
              <w:top w:val="single" w:sz="4" w:space="0" w:color="auto"/>
              <w:right w:val="nil"/>
            </w:tcBorders>
            <w:noWrap/>
            <w:vAlign w:val="center"/>
            <w:hideMark/>
          </w:tcPr>
          <w:p w14:paraId="475B3423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e355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0EBFAFC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Health professionals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80847F9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0BDFEAB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3DF861E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128F5E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B6D9AE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712485A5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  <w:hideMark/>
          </w:tcPr>
          <w:p w14:paraId="0C2B1164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e410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B46E33F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Individual attitudes of immediate family members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1988D163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0D5933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C7D6D1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2CDCE9C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C7C21AB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6D238296" w14:textId="77777777" w:rsidTr="00D32C7C">
        <w:trPr>
          <w:trHeight w:val="238"/>
        </w:trPr>
        <w:tc>
          <w:tcPr>
            <w:tcW w:w="851" w:type="dxa"/>
            <w:tcBorders>
              <w:right w:val="nil"/>
            </w:tcBorders>
            <w:noWrap/>
            <w:vAlign w:val="center"/>
          </w:tcPr>
          <w:p w14:paraId="2127F3C5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e620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</w:tcPr>
          <w:p w14:paraId="14BF848A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Work situation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14:paraId="124C6FE9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196E05F4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2CE71FF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39C2BED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</w:tcPr>
          <w:p w14:paraId="7F1F419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</w:tr>
      <w:tr w:rsidR="001F3925" w:rsidRPr="0008712C" w14:paraId="34A2D6A4" w14:textId="77777777" w:rsidTr="00D32C7C">
        <w:trPr>
          <w:trHeight w:val="238"/>
        </w:trPr>
        <w:tc>
          <w:tcPr>
            <w:tcW w:w="851" w:type="dxa"/>
            <w:tcBorders>
              <w:right w:val="nil"/>
            </w:tcBorders>
            <w:noWrap/>
            <w:vAlign w:val="center"/>
          </w:tcPr>
          <w:p w14:paraId="06559AC6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e575</w:t>
            </w:r>
          </w:p>
        </w:tc>
        <w:tc>
          <w:tcPr>
            <w:tcW w:w="3498" w:type="dxa"/>
            <w:tcBorders>
              <w:left w:val="nil"/>
              <w:right w:val="nil"/>
            </w:tcBorders>
            <w:noWrap/>
            <w:vAlign w:val="center"/>
          </w:tcPr>
          <w:p w14:paraId="1D1F4F29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General social support services, systems and policies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14:paraId="552C985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</w:tcPr>
          <w:p w14:paraId="2ADCD6D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7529AC8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5ACD5F8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</w:tcPr>
          <w:p w14:paraId="13D6DB2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534DF0F2" w14:textId="77777777" w:rsidTr="00D32C7C">
        <w:tc>
          <w:tcPr>
            <w:tcW w:w="851" w:type="dxa"/>
            <w:tcBorders>
              <w:right w:val="nil"/>
            </w:tcBorders>
            <w:shd w:val="clear" w:color="auto" w:fill="auto"/>
            <w:vAlign w:val="center"/>
          </w:tcPr>
          <w:p w14:paraId="66111922" w14:textId="77777777" w:rsidR="001F3925" w:rsidRPr="0008712C" w:rsidRDefault="001F3925" w:rsidP="00D32C7C">
            <w:pPr>
              <w:spacing w:before="120" w:after="120"/>
              <w:rPr>
                <w:rFonts w:ascii="Times" w:hAnsi="Times"/>
                <w:b/>
                <w:color w:val="000000" w:themeColor="text1"/>
                <w:lang w:val="en-US"/>
              </w:rPr>
            </w:pPr>
          </w:p>
        </w:tc>
        <w:tc>
          <w:tcPr>
            <w:tcW w:w="34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FE1919" w14:textId="77777777" w:rsidR="001F3925" w:rsidRPr="0008712C" w:rsidRDefault="001F3925" w:rsidP="00D32C7C">
            <w:pPr>
              <w:spacing w:before="120" w:after="120"/>
              <w:rPr>
                <w:rFonts w:ascii="Times" w:hAnsi="Times"/>
                <w:b/>
                <w:color w:val="000000" w:themeColor="text1"/>
                <w:lang w:val="en-US"/>
              </w:rPr>
            </w:pPr>
            <w:r w:rsidRPr="0008712C">
              <w:rPr>
                <w:rFonts w:ascii="Times" w:hAnsi="Times"/>
                <w:b/>
                <w:color w:val="000000" w:themeColor="text1"/>
                <w:lang w:val="en-US"/>
              </w:rPr>
              <w:t>PERSONAL FACTORS</w:t>
            </w:r>
            <w:r w:rsidRPr="0008712C">
              <w:rPr>
                <w:rFonts w:ascii="Times" w:hAnsi="Times" w:cs="Times"/>
                <w:color w:val="000000" w:themeColor="text1"/>
                <w:vertAlign w:val="superscript"/>
                <w:lang w:val="en-US"/>
              </w:rPr>
              <w:t xml:space="preserve"> c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15B591" w14:textId="77777777" w:rsidR="001F3925" w:rsidRPr="0008712C" w:rsidRDefault="001F3925" w:rsidP="00D32C7C">
            <w:pPr>
              <w:spacing w:before="120" w:after="120"/>
              <w:jc w:val="center"/>
              <w:rPr>
                <w:rFonts w:ascii="Times" w:hAnsi="Times"/>
                <w:b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E33B37" w14:textId="77777777" w:rsidR="001F3925" w:rsidRPr="0008712C" w:rsidRDefault="001F3925" w:rsidP="00D32C7C">
            <w:pPr>
              <w:spacing w:before="120" w:after="120"/>
              <w:jc w:val="center"/>
              <w:rPr>
                <w:rFonts w:ascii="Times" w:hAnsi="Times"/>
                <w:b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38805" w14:textId="77777777" w:rsidR="001F3925" w:rsidRPr="0008712C" w:rsidRDefault="001F3925" w:rsidP="00D32C7C">
            <w:pPr>
              <w:spacing w:before="120" w:after="120"/>
              <w:jc w:val="center"/>
              <w:rPr>
                <w:rFonts w:ascii="Times" w:hAnsi="Times"/>
                <w:b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65F5E5" w14:textId="77777777" w:rsidR="001F3925" w:rsidRPr="0008712C" w:rsidRDefault="001F3925" w:rsidP="00D32C7C">
            <w:pPr>
              <w:spacing w:before="120" w:after="120"/>
              <w:jc w:val="center"/>
              <w:rPr>
                <w:rFonts w:ascii="Times" w:hAnsi="Times"/>
                <w:b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71003" w14:textId="77777777" w:rsidR="001F3925" w:rsidRPr="0008712C" w:rsidRDefault="001F3925" w:rsidP="00D32C7C">
            <w:pPr>
              <w:spacing w:before="120" w:after="120"/>
              <w:jc w:val="center"/>
              <w:rPr>
                <w:rFonts w:ascii="Times" w:hAnsi="Times"/>
                <w:b/>
                <w:color w:val="000000" w:themeColor="text1"/>
                <w:lang w:val="en-US"/>
              </w:rPr>
            </w:pPr>
          </w:p>
        </w:tc>
      </w:tr>
      <w:tr w:rsidR="001F3925" w:rsidRPr="0008712C" w14:paraId="55B400FF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  <w:hideMark/>
          </w:tcPr>
          <w:p w14:paraId="7021540B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pf410</w:t>
            </w:r>
          </w:p>
        </w:tc>
        <w:tc>
          <w:tcPr>
            <w:tcW w:w="349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A22BEC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Personal effectiveness 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7BD55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B5992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C0EF3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A500F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22FF9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  <w:tr w:rsidR="001F3925" w:rsidRPr="0008712C" w14:paraId="4C125A9D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  <w:hideMark/>
          </w:tcPr>
          <w:p w14:paraId="759718DD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pf450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A1DB82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Compliance to therapy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6EE29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F6B46F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74E56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91B3E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AE8433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</w:tr>
      <w:tr w:rsidR="001F3925" w:rsidRPr="0008712C" w14:paraId="4FC973A1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  <w:hideMark/>
          </w:tcPr>
          <w:p w14:paraId="772B1AD0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pf465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09F57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Knowledge of disease and functioning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DD9729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FCCF78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B004B0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B0A27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55707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</w:tr>
      <w:tr w:rsidR="001F3925" w:rsidRPr="0008712C" w14:paraId="17A3F033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  <w:hideMark/>
          </w:tcPr>
          <w:p w14:paraId="7E65D55E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pf610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B772A2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Smoking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B57184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D0A56C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672396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CCF502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DFF417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</w:tr>
      <w:tr w:rsidR="001F3925" w:rsidRPr="0008712C" w14:paraId="0A8F5D1C" w14:textId="77777777" w:rsidTr="00D32C7C">
        <w:trPr>
          <w:trHeight w:val="278"/>
        </w:trPr>
        <w:tc>
          <w:tcPr>
            <w:tcW w:w="851" w:type="dxa"/>
            <w:tcBorders>
              <w:right w:val="nil"/>
            </w:tcBorders>
            <w:noWrap/>
            <w:vAlign w:val="center"/>
            <w:hideMark/>
          </w:tcPr>
          <w:p w14:paraId="07428B4E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pf625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E6DA59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 xml:space="preserve">Use of medication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5345DA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AB748B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A2C2C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1619D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E9272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</w:tr>
      <w:tr w:rsidR="001F3925" w:rsidRPr="0008712C" w14:paraId="1BE10129" w14:textId="77777777" w:rsidTr="00D32C7C">
        <w:trPr>
          <w:trHeight w:val="320"/>
        </w:trPr>
        <w:tc>
          <w:tcPr>
            <w:tcW w:w="851" w:type="dxa"/>
            <w:tcBorders>
              <w:right w:val="nil"/>
            </w:tcBorders>
            <w:noWrap/>
            <w:vAlign w:val="center"/>
            <w:hideMark/>
          </w:tcPr>
          <w:p w14:paraId="38F3A429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pf630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ED7A14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Nutritional habits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715285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777888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57C66F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645FA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B7310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</w:tr>
      <w:tr w:rsidR="001F3925" w:rsidRPr="0008712C" w14:paraId="3FB15F47" w14:textId="77777777" w:rsidTr="00D32C7C">
        <w:trPr>
          <w:trHeight w:val="252"/>
        </w:trPr>
        <w:tc>
          <w:tcPr>
            <w:tcW w:w="851" w:type="dxa"/>
            <w:tcBorders>
              <w:right w:val="nil"/>
            </w:tcBorders>
            <w:noWrap/>
            <w:vAlign w:val="center"/>
          </w:tcPr>
          <w:p w14:paraId="21F6421C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pf645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F52F932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Verdana"/>
                <w:bCs/>
                <w:color w:val="000000" w:themeColor="text1"/>
                <w:sz w:val="22"/>
                <w:szCs w:val="22"/>
                <w:lang w:val="en-US" w:eastAsia="nl-NL"/>
              </w:rPr>
              <w:t>Hobbies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2D2EE8E1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BA8C0FF" w14:textId="77777777" w:rsidR="001F3925" w:rsidRPr="0008712C" w:rsidRDefault="001F3925" w:rsidP="00D32C7C">
            <w:pPr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400FEDC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  <w:r w:rsidRPr="0008712C">
              <w:rPr>
                <w:rFonts w:ascii="Times" w:eastAsia="Times New Roman" w:hAnsi="Times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53DFA18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35B018BA" w14:textId="77777777" w:rsidR="001F3925" w:rsidRPr="0008712C" w:rsidRDefault="001F3925" w:rsidP="00D32C7C">
            <w:pPr>
              <w:jc w:val="center"/>
              <w:rPr>
                <w:rFonts w:ascii="Times" w:eastAsia="Times New Roman" w:hAnsi="Times" w:cs="Times New Roman"/>
                <w:color w:val="000000" w:themeColor="text1"/>
                <w:lang w:val="en-US"/>
              </w:rPr>
            </w:pPr>
          </w:p>
        </w:tc>
      </w:tr>
    </w:tbl>
    <w:p w14:paraId="12A0FA1E" w14:textId="4EF40459" w:rsidR="001F3925" w:rsidRPr="0008712C" w:rsidRDefault="001F3925" w:rsidP="001F3925">
      <w:pPr>
        <w:widowControl w:val="0"/>
        <w:autoSpaceDE w:val="0"/>
        <w:autoSpaceDN w:val="0"/>
        <w:adjustRightInd w:val="0"/>
        <w:spacing w:before="120" w:line="480" w:lineRule="auto"/>
        <w:ind w:right="-715"/>
        <w:jc w:val="both"/>
        <w:outlineLvl w:val="0"/>
        <w:rPr>
          <w:rFonts w:ascii="Times" w:hAnsi="Times"/>
          <w:lang w:val="en-US"/>
        </w:rPr>
      </w:pPr>
      <w:r w:rsidRPr="0008712C">
        <w:rPr>
          <w:rFonts w:ascii="Times" w:hAnsi="Times" w:cs="Times"/>
          <w:color w:val="000000" w:themeColor="text1"/>
          <w:vertAlign w:val="superscript"/>
          <w:lang w:val="en-US"/>
        </w:rPr>
        <w:t xml:space="preserve">a </w:t>
      </w:r>
      <w:r w:rsidRPr="0008712C">
        <w:rPr>
          <w:rFonts w:ascii="Times" w:hAnsi="Times" w:cs="Times"/>
          <w:color w:val="000000" w:themeColor="text1"/>
          <w:lang w:val="en-US"/>
        </w:rPr>
        <w:t xml:space="preserve">Other medical areas included nephrology, </w:t>
      </w:r>
      <w:r w:rsidR="0008712C" w:rsidRPr="0008712C">
        <w:rPr>
          <w:rFonts w:ascii="Times" w:hAnsi="Times" w:cs="Times"/>
          <w:color w:val="000000" w:themeColor="text1"/>
          <w:lang w:val="en-US"/>
        </w:rPr>
        <w:t>pediatrics</w:t>
      </w:r>
      <w:r w:rsidRPr="0008712C">
        <w:rPr>
          <w:rFonts w:ascii="Times" w:hAnsi="Times" w:cs="Times"/>
          <w:color w:val="000000" w:themeColor="text1"/>
          <w:lang w:val="en-US"/>
        </w:rPr>
        <w:t xml:space="preserve">, neurology; </w:t>
      </w:r>
      <w:r w:rsidRPr="0008712C">
        <w:rPr>
          <w:rFonts w:ascii="Times" w:hAnsi="Times" w:cs="Times"/>
          <w:color w:val="000000" w:themeColor="text1"/>
          <w:vertAlign w:val="superscript"/>
          <w:lang w:val="en-US"/>
        </w:rPr>
        <w:t>b</w:t>
      </w:r>
      <w:r w:rsidRPr="0008712C">
        <w:rPr>
          <w:rFonts w:ascii="Times" w:hAnsi="Times" w:cs="Times"/>
          <w:color w:val="000000" w:themeColor="text1"/>
          <w:lang w:val="en-US"/>
        </w:rPr>
        <w:t xml:space="preserve"> In contrast to the original ICF where “Activities and Participation” begins with (d), the ICF-Dietetics differentiates between “Activities (a)” and “Participation (p)” as it is also given as an alternative optio</w:t>
      </w:r>
      <w:r w:rsidR="00C06663" w:rsidRPr="0008712C">
        <w:rPr>
          <w:rFonts w:ascii="Times" w:hAnsi="Times" w:cs="Times"/>
          <w:color w:val="000000" w:themeColor="text1"/>
          <w:lang w:val="en-US"/>
        </w:rPr>
        <w:t>n by World Health Organization (</w:t>
      </w:r>
      <w:r w:rsidR="00F23A8F">
        <w:rPr>
          <w:rFonts w:ascii="Times" w:hAnsi="Times" w:cs="Times"/>
          <w:color w:val="000000" w:themeColor="text1"/>
          <w:lang w:val="en-US"/>
        </w:rPr>
        <w:t>58</w:t>
      </w:r>
      <w:bookmarkStart w:id="0" w:name="_GoBack"/>
      <w:bookmarkEnd w:id="0"/>
      <w:r w:rsidR="00C06663" w:rsidRPr="0008712C">
        <w:rPr>
          <w:rFonts w:ascii="Times" w:hAnsi="Times" w:cs="Times"/>
          <w:color w:val="000000" w:themeColor="text1"/>
          <w:lang w:val="en-US"/>
        </w:rPr>
        <w:t>)</w:t>
      </w:r>
      <w:r w:rsidRPr="0008712C">
        <w:rPr>
          <w:rFonts w:ascii="Times" w:hAnsi="Times" w:cs="Times"/>
          <w:color w:val="000000" w:themeColor="text1"/>
          <w:lang w:val="en-US"/>
        </w:rPr>
        <w:t xml:space="preserve">; </w:t>
      </w:r>
      <w:r w:rsidRPr="0008712C">
        <w:rPr>
          <w:rFonts w:ascii="Times" w:hAnsi="Times" w:cs="Times"/>
          <w:color w:val="000000" w:themeColor="text1"/>
          <w:vertAlign w:val="superscript"/>
          <w:lang w:val="en-US"/>
        </w:rPr>
        <w:t xml:space="preserve">c </w:t>
      </w:r>
      <w:r w:rsidRPr="0008712C">
        <w:rPr>
          <w:rFonts w:ascii="Times" w:hAnsi="Times" w:cs="Times"/>
          <w:color w:val="000000" w:themeColor="text1"/>
          <w:lang w:val="en-US"/>
        </w:rPr>
        <w:t>ICF-Dietetics provides a first draft of codes covering “Personal Factors (pf)”</w:t>
      </w:r>
      <w:r w:rsidR="00F577E8">
        <w:rPr>
          <w:rFonts w:ascii="Times" w:hAnsi="Times" w:cs="Times"/>
          <w:color w:val="000000" w:themeColor="text1"/>
          <w:lang w:val="en-US"/>
        </w:rPr>
        <w:t>.</w:t>
      </w:r>
    </w:p>
    <w:p w14:paraId="44A803C6" w14:textId="77777777" w:rsidR="008B4D37" w:rsidRPr="0008712C" w:rsidRDefault="00F23A8F">
      <w:pPr>
        <w:rPr>
          <w:lang w:val="en-US"/>
        </w:rPr>
      </w:pPr>
    </w:p>
    <w:sectPr w:rsidR="008B4D37" w:rsidRPr="0008712C" w:rsidSect="009E644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925"/>
    <w:rsid w:val="0004032C"/>
    <w:rsid w:val="0008712C"/>
    <w:rsid w:val="000C396E"/>
    <w:rsid w:val="000F24CD"/>
    <w:rsid w:val="0016576E"/>
    <w:rsid w:val="001F3925"/>
    <w:rsid w:val="00396832"/>
    <w:rsid w:val="003B23E8"/>
    <w:rsid w:val="003B5081"/>
    <w:rsid w:val="004B66E0"/>
    <w:rsid w:val="00590FB2"/>
    <w:rsid w:val="005E7CFE"/>
    <w:rsid w:val="00640BFD"/>
    <w:rsid w:val="00650E74"/>
    <w:rsid w:val="0065684C"/>
    <w:rsid w:val="006E29BB"/>
    <w:rsid w:val="006F4F6C"/>
    <w:rsid w:val="007D62CD"/>
    <w:rsid w:val="007F14D9"/>
    <w:rsid w:val="0081467F"/>
    <w:rsid w:val="00840A46"/>
    <w:rsid w:val="00977ADF"/>
    <w:rsid w:val="009A1594"/>
    <w:rsid w:val="009B6CE7"/>
    <w:rsid w:val="009E644A"/>
    <w:rsid w:val="00A65F26"/>
    <w:rsid w:val="00AC55F8"/>
    <w:rsid w:val="00B501B1"/>
    <w:rsid w:val="00BD41A3"/>
    <w:rsid w:val="00C06663"/>
    <w:rsid w:val="00C06FA4"/>
    <w:rsid w:val="00C50A8A"/>
    <w:rsid w:val="00C76E31"/>
    <w:rsid w:val="00CC72D1"/>
    <w:rsid w:val="00D11A3E"/>
    <w:rsid w:val="00D21932"/>
    <w:rsid w:val="00DF0A4E"/>
    <w:rsid w:val="00E021B8"/>
    <w:rsid w:val="00E2186D"/>
    <w:rsid w:val="00E82B3B"/>
    <w:rsid w:val="00F23A8F"/>
    <w:rsid w:val="00F46785"/>
    <w:rsid w:val="00F577E8"/>
    <w:rsid w:val="00FA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1C392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1F3925"/>
    <w:rPr>
      <w:rFonts w:ascii="Times New Roman" w:hAnsi="Times New Roman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F3925"/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504</Words>
  <Characters>3180</Characters>
  <Application>Microsoft Macintosh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Additional file 3. List of applied second-level ICF-Dietetics categories in resp</vt:lpstr>
      <vt:lpstr>a Other medical areas included nephrology, paediatrics, neurology; b In contrast</vt:lpstr>
    </vt:vector>
  </TitlesOfParts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Gäbler</dc:creator>
  <cp:keywords/>
  <dc:description/>
  <cp:lastModifiedBy>Gabriele Gäbler</cp:lastModifiedBy>
  <cp:revision>7</cp:revision>
  <dcterms:created xsi:type="dcterms:W3CDTF">2018-08-24T19:05:00Z</dcterms:created>
  <dcterms:modified xsi:type="dcterms:W3CDTF">2019-09-30T07:26:00Z</dcterms:modified>
</cp:coreProperties>
</file>