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E9289" w14:textId="27F7EE1C" w:rsidR="00680746" w:rsidRPr="003234A5" w:rsidRDefault="003234A5">
      <w:pPr>
        <w:rPr>
          <w:rFonts w:ascii="Arial" w:hAnsi="Arial" w:cs="Arial"/>
          <w:b/>
          <w:sz w:val="24"/>
          <w:szCs w:val="20"/>
        </w:rPr>
      </w:pPr>
      <w:r w:rsidRPr="003234A5">
        <w:rPr>
          <w:rFonts w:ascii="Arial" w:hAnsi="Arial" w:cs="Arial"/>
          <w:b/>
          <w:sz w:val="24"/>
          <w:szCs w:val="20"/>
        </w:rPr>
        <w:t>Additional File 1</w:t>
      </w:r>
    </w:p>
    <w:p w14:paraId="00FB04FC" w14:textId="392A9291" w:rsidR="003234A5" w:rsidRPr="003234A5" w:rsidRDefault="003234A5">
      <w:pPr>
        <w:rPr>
          <w:rFonts w:ascii="Arial" w:hAnsi="Arial" w:cs="Arial"/>
          <w:sz w:val="24"/>
          <w:szCs w:val="20"/>
        </w:rPr>
      </w:pPr>
      <w:r w:rsidRPr="003234A5">
        <w:rPr>
          <w:rFonts w:ascii="Arial" w:hAnsi="Arial" w:cs="Arial"/>
          <w:b/>
          <w:sz w:val="24"/>
          <w:szCs w:val="20"/>
        </w:rPr>
        <w:t>Table 2:</w:t>
      </w:r>
      <w:r w:rsidRPr="003234A5">
        <w:rPr>
          <w:rFonts w:ascii="Arial" w:hAnsi="Arial" w:cs="Arial"/>
          <w:sz w:val="24"/>
          <w:szCs w:val="20"/>
        </w:rPr>
        <w:t xml:space="preserve"> All items from the World Health Organization Trial Registration Data Set. </w:t>
      </w:r>
    </w:p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2544"/>
        <w:gridCol w:w="7100"/>
      </w:tblGrid>
      <w:tr w:rsidR="003234A5" w:rsidRPr="003234A5" w14:paraId="7172D9B7" w14:textId="77777777" w:rsidTr="00443D83">
        <w:trPr>
          <w:trHeight w:val="519"/>
        </w:trPr>
        <w:tc>
          <w:tcPr>
            <w:tcW w:w="2544" w:type="dxa"/>
            <w:hideMark/>
          </w:tcPr>
          <w:p w14:paraId="38FAE1A8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en-AU"/>
              </w:rPr>
              <w:t>Data category</w:t>
            </w:r>
          </w:p>
        </w:tc>
        <w:tc>
          <w:tcPr>
            <w:tcW w:w="7100" w:type="dxa"/>
            <w:hideMark/>
          </w:tcPr>
          <w:p w14:paraId="0BAFC706" w14:textId="1EB1C85C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en-AU"/>
              </w:rPr>
              <w:t>Information</w:t>
            </w:r>
          </w:p>
        </w:tc>
      </w:tr>
      <w:tr w:rsidR="003234A5" w:rsidRPr="003234A5" w14:paraId="45013547" w14:textId="77777777" w:rsidTr="00443D83">
        <w:trPr>
          <w:trHeight w:val="778"/>
        </w:trPr>
        <w:tc>
          <w:tcPr>
            <w:tcW w:w="2544" w:type="dxa"/>
            <w:hideMark/>
          </w:tcPr>
          <w:p w14:paraId="5E172595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Primary registry and trial identifying number</w:t>
            </w:r>
          </w:p>
        </w:tc>
        <w:tc>
          <w:tcPr>
            <w:tcW w:w="7100" w:type="dxa"/>
            <w:hideMark/>
          </w:tcPr>
          <w:p w14:paraId="3BD1915F" w14:textId="167AC928" w:rsid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Australia and New Zealand Clinical Trials Registry</w:t>
            </w:r>
          </w:p>
          <w:p w14:paraId="3909B8BE" w14:textId="4AD72C76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ANZCTR12615000616572</w:t>
            </w:r>
          </w:p>
        </w:tc>
      </w:tr>
      <w:tr w:rsidR="003234A5" w:rsidRPr="003234A5" w14:paraId="1346461B" w14:textId="77777777" w:rsidTr="00443D83">
        <w:trPr>
          <w:trHeight w:val="519"/>
        </w:trPr>
        <w:tc>
          <w:tcPr>
            <w:tcW w:w="2544" w:type="dxa"/>
            <w:hideMark/>
          </w:tcPr>
          <w:p w14:paraId="5A65BFFB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Date of registration in primary registry</w:t>
            </w:r>
          </w:p>
        </w:tc>
        <w:tc>
          <w:tcPr>
            <w:tcW w:w="7100" w:type="dxa"/>
            <w:hideMark/>
          </w:tcPr>
          <w:p w14:paraId="0C82DC33" w14:textId="33ACD75A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12/06/2015</w:t>
            </w:r>
          </w:p>
        </w:tc>
      </w:tr>
      <w:tr w:rsidR="003234A5" w:rsidRPr="003234A5" w14:paraId="10D91D4D" w14:textId="77777777" w:rsidTr="00443D83">
        <w:trPr>
          <w:trHeight w:val="519"/>
        </w:trPr>
        <w:tc>
          <w:tcPr>
            <w:tcW w:w="2544" w:type="dxa"/>
            <w:hideMark/>
          </w:tcPr>
          <w:p w14:paraId="09FC286B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Secondary identifying numbers</w:t>
            </w:r>
          </w:p>
        </w:tc>
        <w:tc>
          <w:tcPr>
            <w:tcW w:w="7100" w:type="dxa"/>
            <w:hideMark/>
          </w:tcPr>
          <w:p w14:paraId="29A74399" w14:textId="7332AE6D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N/A</w:t>
            </w:r>
            <w:bookmarkStart w:id="0" w:name="_GoBack"/>
            <w:bookmarkEnd w:id="0"/>
          </w:p>
        </w:tc>
      </w:tr>
      <w:tr w:rsidR="003234A5" w:rsidRPr="003234A5" w14:paraId="3BBA80D2" w14:textId="77777777" w:rsidTr="00443D83">
        <w:trPr>
          <w:trHeight w:val="519"/>
        </w:trPr>
        <w:tc>
          <w:tcPr>
            <w:tcW w:w="2544" w:type="dxa"/>
            <w:hideMark/>
          </w:tcPr>
          <w:p w14:paraId="7445C8D8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Source(s) of monetary or material support</w:t>
            </w:r>
          </w:p>
        </w:tc>
        <w:tc>
          <w:tcPr>
            <w:tcW w:w="7100" w:type="dxa"/>
            <w:hideMark/>
          </w:tcPr>
          <w:p w14:paraId="3436F750" w14:textId="278A3A89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National Health and Medical Research Council</w:t>
            </w:r>
          </w:p>
        </w:tc>
      </w:tr>
      <w:tr w:rsidR="003234A5" w:rsidRPr="003234A5" w14:paraId="683C1EF4" w14:textId="77777777" w:rsidTr="00443D83">
        <w:trPr>
          <w:trHeight w:val="519"/>
        </w:trPr>
        <w:tc>
          <w:tcPr>
            <w:tcW w:w="2544" w:type="dxa"/>
            <w:hideMark/>
          </w:tcPr>
          <w:p w14:paraId="7CECBA13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Primary sponsor</w:t>
            </w:r>
          </w:p>
        </w:tc>
        <w:tc>
          <w:tcPr>
            <w:tcW w:w="7100" w:type="dxa"/>
            <w:hideMark/>
          </w:tcPr>
          <w:p w14:paraId="20AB572D" w14:textId="761CE012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La Trobe University</w:t>
            </w:r>
            <w:r w:rsidR="003B047D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, La Trobe University, Bundoora, VIC, 3086</w:t>
            </w:r>
          </w:p>
        </w:tc>
      </w:tr>
      <w:tr w:rsidR="003234A5" w:rsidRPr="003234A5" w14:paraId="5D6B24CA" w14:textId="77777777" w:rsidTr="00443D83">
        <w:trPr>
          <w:trHeight w:val="519"/>
        </w:trPr>
        <w:tc>
          <w:tcPr>
            <w:tcW w:w="2544" w:type="dxa"/>
            <w:hideMark/>
          </w:tcPr>
          <w:p w14:paraId="657C6D06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Secondary sponsor(s)</w:t>
            </w:r>
          </w:p>
        </w:tc>
        <w:tc>
          <w:tcPr>
            <w:tcW w:w="7100" w:type="dxa"/>
            <w:hideMark/>
          </w:tcPr>
          <w:p w14:paraId="716F7F14" w14:textId="71D0C4A1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N/A</w:t>
            </w:r>
          </w:p>
        </w:tc>
      </w:tr>
      <w:tr w:rsidR="003234A5" w:rsidRPr="003234A5" w14:paraId="27E5322A" w14:textId="77777777" w:rsidTr="00443D83">
        <w:trPr>
          <w:trHeight w:val="519"/>
        </w:trPr>
        <w:tc>
          <w:tcPr>
            <w:tcW w:w="2544" w:type="dxa"/>
            <w:hideMark/>
          </w:tcPr>
          <w:p w14:paraId="726F4367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Contact for public queries</w:t>
            </w:r>
          </w:p>
        </w:tc>
        <w:tc>
          <w:tcPr>
            <w:tcW w:w="7100" w:type="dxa"/>
            <w:hideMark/>
          </w:tcPr>
          <w:p w14:paraId="3179C772" w14:textId="7471DA70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A/Prof Natasha Lannin </w:t>
            </w: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A/Prof Natasha Lannin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,</w:t>
            </w: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 Alfred Health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, </w:t>
            </w: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N.Lannin@latrobe.edu.au</w:t>
            </w:r>
          </w:p>
        </w:tc>
      </w:tr>
      <w:tr w:rsidR="003234A5" w:rsidRPr="003234A5" w14:paraId="5E8B50F8" w14:textId="77777777" w:rsidTr="00443D83">
        <w:trPr>
          <w:trHeight w:val="778"/>
        </w:trPr>
        <w:tc>
          <w:tcPr>
            <w:tcW w:w="2544" w:type="dxa"/>
            <w:hideMark/>
          </w:tcPr>
          <w:p w14:paraId="1EC22F41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Contact for scientific queries</w:t>
            </w:r>
          </w:p>
        </w:tc>
        <w:tc>
          <w:tcPr>
            <w:tcW w:w="7100" w:type="dxa"/>
            <w:hideMark/>
          </w:tcPr>
          <w:p w14:paraId="1A9B9AB8" w14:textId="6DB11AD3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A/Prof Natasha Lannin </w:t>
            </w: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A/Prof Natasha Lannin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,</w:t>
            </w: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 Alfred Health</w:t>
            </w:r>
            <w:r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, </w:t>
            </w: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N.Lannin@latrobe.edu.au</w:t>
            </w:r>
          </w:p>
        </w:tc>
      </w:tr>
      <w:tr w:rsidR="003234A5" w:rsidRPr="003234A5" w14:paraId="738E77E9" w14:textId="77777777" w:rsidTr="00443D83">
        <w:trPr>
          <w:trHeight w:val="778"/>
        </w:trPr>
        <w:tc>
          <w:tcPr>
            <w:tcW w:w="2544" w:type="dxa"/>
            <w:hideMark/>
          </w:tcPr>
          <w:p w14:paraId="21AE28EA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Public title</w:t>
            </w:r>
          </w:p>
        </w:tc>
        <w:tc>
          <w:tcPr>
            <w:tcW w:w="7100" w:type="dxa"/>
            <w:hideMark/>
          </w:tcPr>
          <w:p w14:paraId="31646549" w14:textId="777C7A6F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Intensive rehabilitation after botulinum toxin-A injections in stroke.</w:t>
            </w:r>
          </w:p>
        </w:tc>
      </w:tr>
      <w:tr w:rsidR="003234A5" w:rsidRPr="003234A5" w14:paraId="4D731B12" w14:textId="77777777" w:rsidTr="00443D83">
        <w:trPr>
          <w:trHeight w:val="778"/>
        </w:trPr>
        <w:tc>
          <w:tcPr>
            <w:tcW w:w="2544" w:type="dxa"/>
            <w:hideMark/>
          </w:tcPr>
          <w:p w14:paraId="3B9B100B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Scientific title</w:t>
            </w:r>
          </w:p>
        </w:tc>
        <w:tc>
          <w:tcPr>
            <w:tcW w:w="7100" w:type="dxa"/>
            <w:hideMark/>
          </w:tcPr>
          <w:p w14:paraId="46C34D23" w14:textId="1AFF8CF2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Effect of adding intensive upper limb rehabilitation to botulinum toxin-A on upper limb activity after stroke: </w:t>
            </w:r>
            <w:proofErr w:type="gramStart"/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>the</w:t>
            </w:r>
            <w:proofErr w:type="gramEnd"/>
            <w:r w:rsidRPr="003234A5">
              <w:rPr>
                <w:rFonts w:ascii="Arial" w:eastAsia="Times New Roman" w:hAnsi="Arial" w:cs="Arial"/>
                <w:i/>
                <w:iCs/>
                <w:color w:val="333333"/>
                <w:sz w:val="20"/>
                <w:szCs w:val="20"/>
                <w:lang w:eastAsia="en-AU"/>
              </w:rPr>
              <w:t xml:space="preserve"> InTENSE trial.</w:t>
            </w:r>
          </w:p>
        </w:tc>
      </w:tr>
      <w:tr w:rsidR="003234A5" w:rsidRPr="003234A5" w14:paraId="02094D21" w14:textId="77777777" w:rsidTr="00443D83">
        <w:trPr>
          <w:trHeight w:val="519"/>
        </w:trPr>
        <w:tc>
          <w:tcPr>
            <w:tcW w:w="2544" w:type="dxa"/>
            <w:hideMark/>
          </w:tcPr>
          <w:p w14:paraId="53E255D5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Countries of recruitment</w:t>
            </w:r>
          </w:p>
        </w:tc>
        <w:tc>
          <w:tcPr>
            <w:tcW w:w="7100" w:type="dxa"/>
            <w:hideMark/>
          </w:tcPr>
          <w:p w14:paraId="2D03B37B" w14:textId="32216975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Australia</w:t>
            </w:r>
          </w:p>
        </w:tc>
      </w:tr>
      <w:tr w:rsidR="003234A5" w:rsidRPr="003234A5" w14:paraId="106489BC" w14:textId="77777777" w:rsidTr="00443D83">
        <w:trPr>
          <w:trHeight w:val="519"/>
        </w:trPr>
        <w:tc>
          <w:tcPr>
            <w:tcW w:w="2544" w:type="dxa"/>
            <w:hideMark/>
          </w:tcPr>
          <w:p w14:paraId="39E09D7E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Health condition(s) or problem(s) studied</w:t>
            </w:r>
          </w:p>
        </w:tc>
        <w:tc>
          <w:tcPr>
            <w:tcW w:w="7100" w:type="dxa"/>
            <w:hideMark/>
          </w:tcPr>
          <w:p w14:paraId="7906AE95" w14:textId="06DC9498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Stroke</w:t>
            </w:r>
          </w:p>
        </w:tc>
      </w:tr>
      <w:tr w:rsidR="003234A5" w:rsidRPr="003234A5" w14:paraId="08293FAF" w14:textId="77777777" w:rsidTr="00443D83">
        <w:trPr>
          <w:trHeight w:val="1038"/>
        </w:trPr>
        <w:tc>
          <w:tcPr>
            <w:tcW w:w="2544" w:type="dxa"/>
            <w:hideMark/>
          </w:tcPr>
          <w:p w14:paraId="7C04B1A8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Intervention(s)</w:t>
            </w:r>
          </w:p>
        </w:tc>
        <w:tc>
          <w:tcPr>
            <w:tcW w:w="7100" w:type="dxa"/>
            <w:hideMark/>
          </w:tcPr>
          <w:p w14:paraId="0CEAB1D4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An evidence-based therapy program is provided for 12 weeks immediately following botulinum toxin-A injection. The program commences with:</w:t>
            </w:r>
          </w:p>
          <w:p w14:paraId="22B4CAE3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(1) Up to 3 serial casts applied to place the wrist in maximum extension for 2 weeks. Cast is applied the first working day following botulinum toxin-A injection; followed by</w:t>
            </w:r>
          </w:p>
          <w:p w14:paraId="5A5015A9" w14:textId="77777777" w:rsid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(2) </w:t>
            </w:r>
            <w:proofErr w:type="gramStart"/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10 weeks of movement training,</w:t>
            </w:r>
            <w:proofErr w:type="gramEnd"/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 aimed at decreasing weakness (electrical stimulation and progressive resistance exercises) and improving movement (task-specific practice). Participants are encouraged to practice for 1 hour per day, 7 days a week during the 10 weeks (ie, approximately 70 hours in total 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lastRenderedPageBreak/>
              <w:t xml:space="preserve">inclusive of </w:t>
            </w:r>
            <w:proofErr w:type="gramStart"/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clinic based</w:t>
            </w:r>
            <w:proofErr w:type="gramEnd"/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 sessions). Participants are supported by a mix of clinic-based sessions, home visits, and phone calls. Clinic-based sessions will be conducted by a trained physical or occupational therapist (duration 1 hour, frequency decreasing (3 x per week initially, but decreasing to 1 x week by week 7)). Participants will receive a booklet outlining their movement training and a training log to record the number of minutes of practice daily.</w:t>
            </w:r>
          </w:p>
          <w:p w14:paraId="5B207B5B" w14:textId="3F466D8E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Comparator: 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Written instructions plus follow-up telephone call post-clinic, as per usual care in Australia. Participants will receive a booklet containing 7 stretches, and 8 arm and hand exercises and a training log to record the number of minutes of practice daily.</w:t>
            </w:r>
          </w:p>
        </w:tc>
      </w:tr>
      <w:tr w:rsidR="003234A5" w:rsidRPr="003234A5" w14:paraId="068B7CA0" w14:textId="77777777" w:rsidTr="00443D83">
        <w:trPr>
          <w:trHeight w:val="2076"/>
        </w:trPr>
        <w:tc>
          <w:tcPr>
            <w:tcW w:w="2544" w:type="dxa"/>
            <w:hideMark/>
          </w:tcPr>
          <w:p w14:paraId="317CC616" w14:textId="77777777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lastRenderedPageBreak/>
              <w:t>Key inclusion and exclusion criteria</w:t>
            </w:r>
          </w:p>
        </w:tc>
        <w:tc>
          <w:tcPr>
            <w:tcW w:w="7100" w:type="dxa"/>
            <w:hideMark/>
          </w:tcPr>
          <w:p w14:paraId="0E42CBFE" w14:textId="3B6EAF86" w:rsid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Key inclusion criteria:</w:t>
            </w:r>
          </w:p>
          <w:p w14:paraId="35B58E84" w14:textId="7F4ED4B3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Scheduled to receive a botulinum toxin-A injection to a muscle(s) that crosses the wrist</w:t>
            </w:r>
          </w:p>
          <w:p w14:paraId="1129407D" w14:textId="77777777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Agreed to receive BoNT-A injections as part of their usual care</w:t>
            </w:r>
          </w:p>
          <w:p w14:paraId="769BA96A" w14:textId="77777777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Date of stroke three or more months prior.</w:t>
            </w:r>
          </w:p>
          <w:p w14:paraId="4CBF3594" w14:textId="77777777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Not currently receiving upper limb rehabilitation</w:t>
            </w:r>
          </w:p>
          <w:p w14:paraId="5F58CD30" w14:textId="77777777" w:rsid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Absence of significant cognitive impairment (as assessed by a score of less than five adjusted errors on the Short Portable Mental Status Questionnaire).</w:t>
            </w:r>
          </w:p>
          <w:p w14:paraId="261CD09E" w14:textId="77777777" w:rsid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&gt;18 years</w:t>
            </w:r>
          </w:p>
          <w:p w14:paraId="6A3B483A" w14:textId="77777777" w:rsid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Both males and females eligible</w:t>
            </w:r>
          </w:p>
          <w:p w14:paraId="15439531" w14:textId="77777777" w:rsid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</w:p>
          <w:p w14:paraId="43318400" w14:textId="424968BB" w:rsid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Key exclusion criteria: </w:t>
            </w:r>
          </w:p>
          <w:p w14:paraId="4CA71442" w14:textId="05CC5A70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Unable to attend clinic at least 1/wk.</w:t>
            </w:r>
          </w:p>
          <w:p w14:paraId="40C0FB13" w14:textId="77777777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- </w:t>
            </w:r>
            <w:proofErr w:type="gramStart"/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Other</w:t>
            </w:r>
            <w:proofErr w:type="gramEnd"/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 significant upper limb impairment eg. Fracture or frozen shoulder within 6 months, severe arthritis, amputation.</w:t>
            </w:r>
          </w:p>
          <w:p w14:paraId="466CCC3D" w14:textId="77777777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Presence of any and all contraindications to botulinum toxin-A injections.</w:t>
            </w:r>
          </w:p>
          <w:p w14:paraId="1AC80599" w14:textId="56E40CD0" w:rsidR="003234A5" w:rsidRPr="003234A5" w:rsidRDefault="003234A5" w:rsidP="003234A5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- Botulinum toxin-A injections and/or serial casts in the past 6 months.</w:t>
            </w:r>
          </w:p>
        </w:tc>
      </w:tr>
      <w:tr w:rsidR="003234A5" w:rsidRPr="003234A5" w14:paraId="6F675A7B" w14:textId="77777777" w:rsidTr="00443D83">
        <w:trPr>
          <w:trHeight w:val="1816"/>
        </w:trPr>
        <w:tc>
          <w:tcPr>
            <w:tcW w:w="2544" w:type="dxa"/>
            <w:hideMark/>
          </w:tcPr>
          <w:p w14:paraId="3038C8E3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Study type</w:t>
            </w:r>
          </w:p>
        </w:tc>
        <w:tc>
          <w:tcPr>
            <w:tcW w:w="7100" w:type="dxa"/>
            <w:hideMark/>
          </w:tcPr>
          <w:p w14:paraId="0D7F803D" w14:textId="6774606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Interventional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br/>
              <w:t>Allocation: randomized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br/>
              <w:t>Intervention model: parallel assignment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br/>
              <w:t xml:space="preserve">Masking: 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Blinded (masking used)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br/>
              <w:t xml:space="preserve">Primary purpose: </w:t>
            </w:r>
            <w:r w:rsid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treatment</w:t>
            </w: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br/>
              <w:t>Phase III</w:t>
            </w:r>
          </w:p>
        </w:tc>
      </w:tr>
      <w:tr w:rsidR="003234A5" w:rsidRPr="003234A5" w14:paraId="1C563191" w14:textId="77777777" w:rsidTr="00443D83">
        <w:trPr>
          <w:trHeight w:val="519"/>
        </w:trPr>
        <w:tc>
          <w:tcPr>
            <w:tcW w:w="2544" w:type="dxa"/>
            <w:hideMark/>
          </w:tcPr>
          <w:p w14:paraId="6B0714F8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Date of first enrolment</w:t>
            </w:r>
          </w:p>
        </w:tc>
        <w:tc>
          <w:tcPr>
            <w:tcW w:w="7100" w:type="dxa"/>
            <w:hideMark/>
          </w:tcPr>
          <w:p w14:paraId="09BC6AB4" w14:textId="610C12D5" w:rsidR="003234A5" w:rsidRPr="003234A5" w:rsidRDefault="0087093E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3/07/2015</w:t>
            </w:r>
          </w:p>
        </w:tc>
      </w:tr>
      <w:tr w:rsidR="003234A5" w:rsidRPr="003234A5" w14:paraId="382EDD3D" w14:textId="77777777" w:rsidTr="00443D83">
        <w:trPr>
          <w:trHeight w:val="519"/>
        </w:trPr>
        <w:tc>
          <w:tcPr>
            <w:tcW w:w="2544" w:type="dxa"/>
            <w:hideMark/>
          </w:tcPr>
          <w:p w14:paraId="31B847AA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Target sample size</w:t>
            </w:r>
          </w:p>
        </w:tc>
        <w:tc>
          <w:tcPr>
            <w:tcW w:w="7100" w:type="dxa"/>
            <w:hideMark/>
          </w:tcPr>
          <w:p w14:paraId="05A2233F" w14:textId="6D9487C4" w:rsidR="003234A5" w:rsidRPr="003234A5" w:rsidRDefault="0087093E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136</w:t>
            </w:r>
          </w:p>
        </w:tc>
      </w:tr>
      <w:tr w:rsidR="003234A5" w:rsidRPr="003234A5" w14:paraId="069301A4" w14:textId="77777777" w:rsidTr="00443D83">
        <w:trPr>
          <w:trHeight w:val="519"/>
        </w:trPr>
        <w:tc>
          <w:tcPr>
            <w:tcW w:w="2544" w:type="dxa"/>
            <w:hideMark/>
          </w:tcPr>
          <w:p w14:paraId="78EA2D38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Recruitment status</w:t>
            </w:r>
          </w:p>
        </w:tc>
        <w:tc>
          <w:tcPr>
            <w:tcW w:w="7100" w:type="dxa"/>
            <w:hideMark/>
          </w:tcPr>
          <w:p w14:paraId="4AD5C929" w14:textId="5CEF04CA" w:rsidR="003234A5" w:rsidRPr="003234A5" w:rsidRDefault="0087093E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Recruitment completed. </w:t>
            </w:r>
          </w:p>
        </w:tc>
      </w:tr>
      <w:tr w:rsidR="003234A5" w:rsidRPr="003234A5" w14:paraId="59926898" w14:textId="77777777" w:rsidTr="00443D83">
        <w:trPr>
          <w:trHeight w:val="778"/>
        </w:trPr>
        <w:tc>
          <w:tcPr>
            <w:tcW w:w="2544" w:type="dxa"/>
            <w:hideMark/>
          </w:tcPr>
          <w:p w14:paraId="50B29897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Primary outcome(s)</w:t>
            </w:r>
          </w:p>
        </w:tc>
        <w:tc>
          <w:tcPr>
            <w:tcW w:w="7100" w:type="dxa"/>
            <w:hideMark/>
          </w:tcPr>
          <w:p w14:paraId="27D6CF8F" w14:textId="2B99A8B0" w:rsidR="003234A5" w:rsidRDefault="0087093E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Upper limb activity will be measured using the Box and Block Test at Baseline (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pre randomisation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), 12 weeks and 12 months. </w:t>
            </w:r>
          </w:p>
          <w:p w14:paraId="6E94B28B" w14:textId="2687E506" w:rsidR="0087093E" w:rsidRPr="003234A5" w:rsidRDefault="0087093E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Individualised achievement of goals will be measured using the Goal Attainment Scale at 12 weeks and 12 months. </w:t>
            </w:r>
          </w:p>
        </w:tc>
      </w:tr>
      <w:tr w:rsidR="003234A5" w:rsidRPr="003234A5" w14:paraId="0D9E2149" w14:textId="77777777" w:rsidTr="00443D83">
        <w:trPr>
          <w:trHeight w:val="778"/>
        </w:trPr>
        <w:tc>
          <w:tcPr>
            <w:tcW w:w="2544" w:type="dxa"/>
            <w:hideMark/>
          </w:tcPr>
          <w:p w14:paraId="60C370D9" w14:textId="77777777" w:rsidR="003234A5" w:rsidRPr="003234A5" w:rsidRDefault="003234A5" w:rsidP="003234A5">
            <w:pPr>
              <w:spacing w:after="270"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3234A5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Key secondary outcomes</w:t>
            </w:r>
          </w:p>
        </w:tc>
        <w:tc>
          <w:tcPr>
            <w:tcW w:w="7100" w:type="dxa"/>
            <w:hideMark/>
          </w:tcPr>
          <w:p w14:paraId="01B2E35C" w14:textId="77777777" w:rsidR="0087093E" w:rsidRPr="0087093E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Spasticity will be measured using the Tardieu scale</w:t>
            </w:r>
          </w:p>
          <w:p w14:paraId="238CCF66" w14:textId="55E0B586" w:rsidR="0087093E" w:rsidRPr="0087093E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Passive wrist extension will be measured using torque-controlled goniometry.</w:t>
            </w:r>
          </w:p>
          <w:p w14:paraId="6DD2A685" w14:textId="36B412EA" w:rsidR="0087093E" w:rsidRPr="0087093E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Health related quality of life will be measured using the EQ-5D</w:t>
            </w:r>
          </w:p>
          <w:p w14:paraId="711B9A8C" w14:textId="6BEEEFA3" w:rsidR="0087093E" w:rsidRPr="0087093E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lastRenderedPageBreak/>
              <w:t>Grip strength will be measured as a maximum voluntary contraction using dynamometry</w:t>
            </w:r>
          </w:p>
          <w:p w14:paraId="126FA588" w14:textId="7BBC5CF1" w:rsidR="0087093E" w:rsidRPr="0087093E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Pain will be measured using a 10-cm visual analogue scale</w:t>
            </w:r>
          </w:p>
          <w:p w14:paraId="624B0DC3" w14:textId="718D6B65" w:rsidR="0087093E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 w:rsidRPr="0087093E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>Burden of care will be measured using the Carer Burden Scale</w:t>
            </w:r>
          </w:p>
          <w:p w14:paraId="44CD28AC" w14:textId="479F02AE" w:rsidR="003234A5" w:rsidRPr="003234A5" w:rsidRDefault="0087093E" w:rsidP="0087093E">
            <w:pPr>
              <w:spacing w:line="27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en-AU"/>
              </w:rPr>
              <w:t xml:space="preserve">All these outcomes will be measured at Baseline (pre-randomisation), 12 weeks and 12 months. </w:t>
            </w:r>
          </w:p>
        </w:tc>
      </w:tr>
    </w:tbl>
    <w:p w14:paraId="6D767319" w14:textId="066F95FC" w:rsidR="003234A5" w:rsidRPr="003234A5" w:rsidRDefault="003234A5">
      <w:pPr>
        <w:rPr>
          <w:rFonts w:ascii="Arial" w:hAnsi="Arial" w:cs="Arial"/>
          <w:sz w:val="20"/>
          <w:szCs w:val="20"/>
        </w:rPr>
      </w:pPr>
      <w:r w:rsidRPr="003234A5">
        <w:rPr>
          <w:rFonts w:ascii="Arial" w:hAnsi="Arial" w:cs="Arial"/>
          <w:sz w:val="20"/>
          <w:szCs w:val="20"/>
        </w:rPr>
        <w:lastRenderedPageBreak/>
        <w:t xml:space="preserve"> </w:t>
      </w:r>
    </w:p>
    <w:sectPr w:rsidR="003234A5" w:rsidRPr="00323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A5"/>
    <w:rsid w:val="003234A5"/>
    <w:rsid w:val="003A155E"/>
    <w:rsid w:val="003B047D"/>
    <w:rsid w:val="00443D83"/>
    <w:rsid w:val="00680746"/>
    <w:rsid w:val="0087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4F03D"/>
  <w15:chartTrackingRefBased/>
  <w15:docId w15:val="{DCC6A561-0480-4BAD-A6AE-23BF762D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34A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234A5"/>
    <w:rPr>
      <w:i/>
      <w:iCs/>
    </w:rPr>
  </w:style>
  <w:style w:type="table" w:styleId="TableGrid">
    <w:name w:val="Table Grid"/>
    <w:basedOn w:val="TableNormal"/>
    <w:uiPriority w:val="39"/>
    <w:rsid w:val="00443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9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0162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451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973704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826812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5235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674061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447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6942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9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4097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42253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6164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7381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4571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202888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</w:divsChild>
    </w:div>
    <w:div w:id="13543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299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736">
          <w:marLeft w:val="0"/>
          <w:marRight w:val="0"/>
          <w:marTop w:val="0"/>
          <w:marBottom w:val="0"/>
          <w:divBdr>
            <w:top w:val="none" w:sz="0" w:space="4" w:color="auto"/>
            <w:left w:val="single" w:sz="12" w:space="4" w:color="FFFFFF"/>
            <w:bottom w:val="none" w:sz="0" w:space="4" w:color="auto"/>
            <w:right w:val="none" w:sz="0" w:space="4" w:color="auto"/>
          </w:divBdr>
        </w:div>
      </w:divsChild>
    </w:div>
    <w:div w:id="1816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91599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1821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51182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5861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1252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500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70449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6244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5528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162264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10789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5696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97041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55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3737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7344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17609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8077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281450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18694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791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02206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363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96391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91057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868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61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5821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16409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92237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66028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  <w:div w:id="6166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2338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247095">
                  <w:marLeft w:val="0"/>
                  <w:marRight w:val="0"/>
                  <w:marTop w:val="0"/>
                  <w:marBottom w:val="0"/>
                  <w:divBdr>
                    <w:top w:val="none" w:sz="0" w:space="4" w:color="auto"/>
                    <w:left w:val="single" w:sz="12" w:space="4" w:color="FFFFFF"/>
                    <w:bottom w:val="none" w:sz="0" w:space="4" w:color="auto"/>
                    <w:right w:val="none" w:sz="0" w:space="4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Milte</dc:creator>
  <cp:keywords/>
  <dc:description/>
  <cp:lastModifiedBy>Rachel Milte</cp:lastModifiedBy>
  <cp:revision>4</cp:revision>
  <dcterms:created xsi:type="dcterms:W3CDTF">2019-03-08T05:01:00Z</dcterms:created>
  <dcterms:modified xsi:type="dcterms:W3CDTF">2019-03-08T08:42:00Z</dcterms:modified>
</cp:coreProperties>
</file>