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AF620" w14:textId="237B8362" w:rsidR="002F66AF" w:rsidRPr="000B4C36" w:rsidRDefault="00AB4E02" w:rsidP="002F66AF">
      <w:pPr>
        <w:rPr>
          <w:rFonts w:asciiTheme="majorHAnsi" w:hAnsiTheme="majorHAnsi" w:cstheme="majorHAnsi"/>
          <w:b/>
          <w:bCs/>
        </w:rPr>
      </w:pPr>
      <w:r w:rsidRPr="000B4C36">
        <w:rPr>
          <w:rFonts w:asciiTheme="majorHAnsi" w:hAnsiTheme="majorHAnsi" w:cstheme="majorHAnsi"/>
          <w:b/>
          <w:bCs/>
        </w:rPr>
        <w:t>ADDITIONAL</w:t>
      </w:r>
      <w:r w:rsidR="002F66AF" w:rsidRPr="000B4C36">
        <w:rPr>
          <w:rFonts w:asciiTheme="majorHAnsi" w:hAnsiTheme="majorHAnsi" w:cstheme="majorHAnsi"/>
          <w:b/>
          <w:bCs/>
        </w:rPr>
        <w:t xml:space="preserve"> FILE 1</w:t>
      </w:r>
      <w:r w:rsidR="007E5990" w:rsidRPr="000B4C36">
        <w:rPr>
          <w:rFonts w:asciiTheme="majorHAnsi" w:hAnsiTheme="majorHAnsi" w:cstheme="majorHAnsi"/>
          <w:b/>
          <w:bCs/>
        </w:rPr>
        <w:t>0</w:t>
      </w:r>
      <w:r w:rsidR="002F66AF" w:rsidRPr="000B4C36">
        <w:rPr>
          <w:rFonts w:asciiTheme="majorHAnsi" w:hAnsiTheme="majorHAnsi" w:cstheme="majorHAnsi"/>
          <w:b/>
          <w:bCs/>
        </w:rPr>
        <w:t>. DEFINITION AND KEY EXAMPLES OF BARRIERS AND FACILITATORS IDENTIFIED IN THE NEGOTIATING INITIATIVE PROCESSES THEME.</w:t>
      </w:r>
    </w:p>
    <w:p w14:paraId="4DA26C58" w14:textId="77777777" w:rsidR="00AE0199" w:rsidRPr="000B4C36" w:rsidRDefault="00AE0199" w:rsidP="001E3D26">
      <w:pPr>
        <w:rPr>
          <w:rFonts w:asciiTheme="majorHAnsi" w:hAnsiTheme="majorHAnsi" w:cstheme="majorHAnsi"/>
          <w:b/>
          <w:bCs/>
        </w:rPr>
      </w:pPr>
      <w:bookmarkStart w:id="0" w:name="_GoBack"/>
      <w:bookmarkEnd w:id="0"/>
    </w:p>
    <w:tbl>
      <w:tblPr>
        <w:tblStyle w:val="TableGrid"/>
        <w:tblpPr w:leftFromText="180" w:rightFromText="180" w:vertAnchor="text" w:horzAnchor="margin" w:tblpY="901"/>
        <w:tblW w:w="0" w:type="auto"/>
        <w:tblLook w:val="04A0" w:firstRow="1" w:lastRow="0" w:firstColumn="1" w:lastColumn="0" w:noHBand="0" w:noVBand="1"/>
      </w:tblPr>
      <w:tblGrid>
        <w:gridCol w:w="562"/>
        <w:gridCol w:w="1560"/>
        <w:gridCol w:w="2693"/>
        <w:gridCol w:w="4536"/>
        <w:gridCol w:w="4599"/>
      </w:tblGrid>
      <w:tr w:rsidR="00870329" w:rsidRPr="000B4C36" w14:paraId="6775013C" w14:textId="77777777" w:rsidTr="00BC3385">
        <w:trPr>
          <w:trHeight w:val="274"/>
          <w:tblHeader/>
        </w:trPr>
        <w:tc>
          <w:tcPr>
            <w:tcW w:w="562" w:type="dxa"/>
            <w:vMerge w:val="restart"/>
            <w:textDirection w:val="btLr"/>
            <w:vAlign w:val="center"/>
          </w:tcPr>
          <w:p w14:paraId="2E17E3EA" w14:textId="77777777" w:rsidR="00870329" w:rsidRPr="000B4C36" w:rsidRDefault="00870329" w:rsidP="00BC3385">
            <w:pPr>
              <w:ind w:left="113" w:right="113"/>
              <w:jc w:val="center"/>
              <w:rPr>
                <w:rFonts w:asciiTheme="majorHAnsi" w:hAnsiTheme="majorHAnsi" w:cstheme="majorHAnsi"/>
                <w:b/>
                <w:bCs/>
              </w:rPr>
            </w:pPr>
            <w:r w:rsidRPr="000B4C36">
              <w:rPr>
                <w:rFonts w:asciiTheme="majorHAnsi" w:hAnsiTheme="majorHAnsi" w:cstheme="majorHAnsi"/>
                <w:b/>
                <w:bCs/>
              </w:rPr>
              <w:lastRenderedPageBreak/>
              <w:t>Theme: Negotiating initiative processes</w:t>
            </w:r>
          </w:p>
        </w:tc>
        <w:tc>
          <w:tcPr>
            <w:tcW w:w="1560" w:type="dxa"/>
          </w:tcPr>
          <w:p w14:paraId="658F5555" w14:textId="77777777" w:rsidR="00870329" w:rsidRPr="000B4C36" w:rsidRDefault="00870329" w:rsidP="00BC3385">
            <w:pPr>
              <w:rPr>
                <w:rFonts w:asciiTheme="majorHAnsi" w:hAnsiTheme="majorHAnsi" w:cstheme="majorHAnsi"/>
                <w:b/>
                <w:bCs/>
              </w:rPr>
            </w:pPr>
            <w:r w:rsidRPr="000B4C36">
              <w:rPr>
                <w:rFonts w:asciiTheme="majorHAnsi" w:hAnsiTheme="majorHAnsi" w:cstheme="majorHAnsi"/>
                <w:b/>
                <w:bCs/>
              </w:rPr>
              <w:t>CONSTRUCT</w:t>
            </w:r>
          </w:p>
        </w:tc>
        <w:tc>
          <w:tcPr>
            <w:tcW w:w="2693" w:type="dxa"/>
          </w:tcPr>
          <w:p w14:paraId="46C9891A" w14:textId="77777777" w:rsidR="00870329" w:rsidRPr="000B4C36" w:rsidRDefault="00870329" w:rsidP="00BC3385">
            <w:pPr>
              <w:rPr>
                <w:rFonts w:asciiTheme="majorHAnsi" w:hAnsiTheme="majorHAnsi" w:cstheme="majorHAnsi"/>
                <w:b/>
                <w:bCs/>
              </w:rPr>
            </w:pPr>
            <w:r w:rsidRPr="000B4C36">
              <w:rPr>
                <w:rFonts w:asciiTheme="majorHAnsi" w:hAnsiTheme="majorHAnsi" w:cstheme="majorHAnsi"/>
                <w:b/>
                <w:bCs/>
              </w:rPr>
              <w:t xml:space="preserve">DEFINITION </w:t>
            </w:r>
            <w:r w:rsidRPr="000B4C36">
              <w:rPr>
                <w:rFonts w:asciiTheme="majorHAnsi" w:hAnsiTheme="majorHAnsi" w:cstheme="majorHAnsi"/>
                <w:b/>
                <w:bCs/>
                <w:sz w:val="20"/>
                <w:szCs w:val="20"/>
              </w:rPr>
              <w:t xml:space="preserve"> (AS DESCRIBED BY LENNOX ET AL. 2018)</w:t>
            </w:r>
            <w:r w:rsidRPr="000B4C36">
              <w:rPr>
                <w:rFonts w:asciiTheme="majorHAnsi" w:hAnsiTheme="majorHAnsi" w:cstheme="majorHAnsi"/>
                <w:b/>
                <w:bCs/>
                <w:sz w:val="20"/>
                <w:szCs w:val="20"/>
              </w:rPr>
              <w:fldChar w:fldCharType="begin"/>
            </w:r>
            <w:r w:rsidRPr="000B4C36">
              <w:rPr>
                <w:rFonts w:asciiTheme="majorHAnsi" w:hAnsiTheme="majorHAnsi" w:cstheme="majorHAnsi"/>
                <w:b/>
                <w:bCs/>
                <w:sz w:val="20"/>
                <w:szCs w:val="20"/>
              </w:rPr>
              <w:instrText xml:space="preserve"> ADDIN EN.CITE &lt;EndNote&gt;&lt;Cite&gt;&lt;Author&gt;Lennox&lt;/Author&gt;&lt;Year&gt;2018&lt;/Year&gt;&lt;RecNum&gt;101&lt;/RecNum&gt;&lt;DisplayText&gt;(1)&lt;/DisplayText&gt;&lt;record&gt;&lt;rec-number&gt;101&lt;/rec-number&gt;&lt;foreign-keys&gt;&lt;key app="EN" db-id="5rvs2rr9m5pae4e09rpv5z5uxtzxsdz00pes" timestamp="1529516779"&gt;101&lt;/key&gt;&lt;/foreign-keys&gt;&lt;ref-type name="Journal Article"&gt;17&lt;/ref-type&gt;&lt;contributors&gt;&lt;authors&gt;&lt;author&gt;Lennox, L.&lt;/author&gt;&lt;author&gt;Maher, L.&lt;/author&gt;&lt;author&gt;Reed, J.&lt;/author&gt;&lt;/authors&gt;&lt;/contributors&gt;&lt;auth-address&gt;NIHR CLAHRC North West London, 369 Fulham Road, London, SW10 9NH, United Kingdom. l.lennox@imperial.ac.uk.&amp;#xD;Department of Primary Care and Public Health, Imperial College London, 369 Fulham Road, London, United Kingdom. l.lennox@imperial.ac.uk.&amp;#xD;Ko Awatea I Health System Innovation and Improvement, Middlemore Hospital, 100 Hospital Road, Otahuhu, New Zealand.&amp;#xD;NIHR CLAHRC North West London, 369 Fulham Road, London, SW10 9NH, United Kingdom.&lt;/auth-address&gt;&lt;titles&gt;&lt;title&gt;Navigating the sustainability landscape: a systematic review of sustainability approaches in healthcare&lt;/title&gt;&lt;secondary-title&gt;Implement Sci&lt;/secondary-title&gt;&lt;/titles&gt;&lt;periodical&gt;&lt;full-title&gt;Implement Sci&lt;/full-title&gt;&lt;/periodical&gt;&lt;pages&gt;27&lt;/pages&gt;&lt;volume&gt;13&lt;/volume&gt;&lt;number&gt;1&lt;/number&gt;&lt;keywords&gt;&lt;keyword&gt;Assessment&lt;/keyword&gt;&lt;keyword&gt;Framework&lt;/keyword&gt;&lt;keyword&gt;Method&lt;/keyword&gt;&lt;keyword&gt;Model&lt;/keyword&gt;&lt;keyword&gt;Quality improvement&lt;/keyword&gt;&lt;keyword&gt;Sustainability&lt;/keyword&gt;&lt;keyword&gt;Tool&lt;/keyword&gt;&lt;/keywords&gt;&lt;dates&gt;&lt;year&gt;2018&lt;/year&gt;&lt;pub-dates&gt;&lt;date&gt;Feb 9&lt;/date&gt;&lt;/pub-dates&gt;&lt;/dates&gt;&lt;isbn&gt;1748-5908 (Electronic)&amp;#xD;1748-5908 (Linking)&lt;/isbn&gt;&lt;accession-num&gt;29426341&lt;/accession-num&gt;&lt;urls&gt;&lt;related-urls&gt;&lt;url&gt;https://www.ncbi.nlm.nih.gov/pubmed/29426341&lt;/url&gt;&lt;/related-urls&gt;&lt;/urls&gt;&lt;custom2&gt;PMC5810192&lt;/custom2&gt;&lt;electronic-resource-num&gt;10.1186/s13012-017-0707-4&lt;/electronic-resource-num&gt;&lt;/record&gt;&lt;/Cite&gt;&lt;/EndNote&gt;</w:instrText>
            </w:r>
            <w:r w:rsidRPr="000B4C36">
              <w:rPr>
                <w:rFonts w:asciiTheme="majorHAnsi" w:hAnsiTheme="majorHAnsi" w:cstheme="majorHAnsi"/>
                <w:b/>
                <w:bCs/>
                <w:sz w:val="20"/>
                <w:szCs w:val="20"/>
              </w:rPr>
              <w:fldChar w:fldCharType="separate"/>
            </w:r>
            <w:r w:rsidRPr="000B4C36">
              <w:rPr>
                <w:rFonts w:asciiTheme="majorHAnsi" w:hAnsiTheme="majorHAnsi" w:cstheme="majorHAnsi"/>
                <w:b/>
                <w:bCs/>
                <w:noProof/>
                <w:sz w:val="20"/>
                <w:szCs w:val="20"/>
              </w:rPr>
              <w:t>(1)</w:t>
            </w:r>
            <w:r w:rsidRPr="000B4C36">
              <w:rPr>
                <w:rFonts w:asciiTheme="majorHAnsi" w:hAnsiTheme="majorHAnsi" w:cstheme="majorHAnsi"/>
                <w:b/>
                <w:bCs/>
                <w:sz w:val="20"/>
                <w:szCs w:val="20"/>
              </w:rPr>
              <w:fldChar w:fldCharType="end"/>
            </w:r>
          </w:p>
        </w:tc>
        <w:tc>
          <w:tcPr>
            <w:tcW w:w="4536" w:type="dxa"/>
          </w:tcPr>
          <w:p w14:paraId="3C9D8183" w14:textId="77777777" w:rsidR="00870329" w:rsidRPr="000B4C36" w:rsidRDefault="00870329" w:rsidP="00BC3385">
            <w:pPr>
              <w:rPr>
                <w:rFonts w:asciiTheme="majorHAnsi" w:hAnsiTheme="majorHAnsi" w:cstheme="majorHAnsi"/>
                <w:b/>
                <w:bCs/>
              </w:rPr>
            </w:pPr>
            <w:r w:rsidRPr="000B4C36">
              <w:rPr>
                <w:rFonts w:asciiTheme="majorHAnsi" w:hAnsiTheme="majorHAnsi" w:cstheme="majorHAnsi"/>
                <w:b/>
                <w:bCs/>
              </w:rPr>
              <w:t>KEY EXAMPLE (BARRIERS)</w:t>
            </w:r>
          </w:p>
        </w:tc>
        <w:tc>
          <w:tcPr>
            <w:tcW w:w="4599" w:type="dxa"/>
          </w:tcPr>
          <w:p w14:paraId="017E5AFB" w14:textId="77777777" w:rsidR="00870329" w:rsidRPr="000B4C36" w:rsidRDefault="00870329" w:rsidP="00BC3385">
            <w:pPr>
              <w:rPr>
                <w:rFonts w:asciiTheme="majorHAnsi" w:hAnsiTheme="majorHAnsi" w:cstheme="majorHAnsi"/>
                <w:b/>
                <w:bCs/>
              </w:rPr>
            </w:pPr>
            <w:r w:rsidRPr="000B4C36">
              <w:rPr>
                <w:rFonts w:asciiTheme="majorHAnsi" w:hAnsiTheme="majorHAnsi" w:cstheme="majorHAnsi"/>
                <w:b/>
                <w:bCs/>
              </w:rPr>
              <w:t>KEY EXAMPLES (FACILITATORS)</w:t>
            </w:r>
          </w:p>
        </w:tc>
      </w:tr>
      <w:tr w:rsidR="00870329" w:rsidRPr="000B4C36" w14:paraId="39CD0F46" w14:textId="77777777" w:rsidTr="00BC3385">
        <w:tc>
          <w:tcPr>
            <w:tcW w:w="562" w:type="dxa"/>
            <w:vMerge/>
          </w:tcPr>
          <w:p w14:paraId="0EBD4187" w14:textId="77777777" w:rsidR="00870329" w:rsidRPr="000B4C36" w:rsidRDefault="00870329" w:rsidP="00BC3385">
            <w:pPr>
              <w:rPr>
                <w:rFonts w:asciiTheme="majorHAnsi" w:hAnsiTheme="majorHAnsi" w:cstheme="majorHAnsi"/>
                <w:sz w:val="18"/>
                <w:szCs w:val="18"/>
              </w:rPr>
            </w:pPr>
          </w:p>
        </w:tc>
        <w:tc>
          <w:tcPr>
            <w:tcW w:w="1560" w:type="dxa"/>
            <w:vAlign w:val="center"/>
          </w:tcPr>
          <w:p w14:paraId="0D87981C"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Accountability of roles and responsibilities</w:t>
            </w:r>
          </w:p>
        </w:tc>
        <w:tc>
          <w:tcPr>
            <w:tcW w:w="2693" w:type="dxa"/>
            <w:vAlign w:val="center"/>
          </w:tcPr>
          <w:p w14:paraId="25E32943"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Roles and responsibilities involved in the initiative are clearly defined and outlines with necessary distribution across teams as necessary so there is no reliance on specific individuals. </w:t>
            </w:r>
          </w:p>
        </w:tc>
        <w:tc>
          <w:tcPr>
            <w:tcW w:w="4536" w:type="dxa"/>
            <w:vAlign w:val="center"/>
          </w:tcPr>
          <w:p w14:paraId="16B2C6EF"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Not all ideas were implemented in practice, which appeared to be linked with uncertainty about whose role it was to realise them or to authorise them (Bridges 2017, p974)</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&lt;EndNote&gt;&lt;Cite&gt;&lt;Author&gt;Bridges&lt;/Author&gt;&lt;Year&gt;2017&lt;/Year&gt;&lt;RecNum&gt;4&lt;/RecNum&gt;&lt;DisplayText&gt;(2)&lt;/DisplayText&gt;&lt;record&gt;&lt;rec-number&gt;4&lt;/rec-number&gt;&lt;foreign-keys&gt;&lt;key app="EN" db-id="5rvs2rr9m5pae4e09rpv5z5uxtzxsdz00pes" timestamp="1524578998"&gt;4&lt;/key&gt;&lt;/foreign-keys&gt;&lt;ref-type name="Journal Article"&gt;17&lt;/ref-type&gt;&lt;contributors&gt;&lt;authors&gt;&lt;author&gt;Bridges, J.&lt;/author&gt;&lt;author&gt;May, C.&lt;/author&gt;&lt;author&gt;Fuller, A.&lt;/author&gt;&lt;author&gt;Griffiths, P.&lt;/author&gt;&lt;author&gt;Wigley, W.&lt;/author&gt;&lt;author&gt;Gould, L.&lt;/author&gt;&lt;author&gt;Barker, H.&lt;/author&gt;&lt;author&gt;Libberton, P.&lt;/author&gt;&lt;/authors&gt;&lt;/contributors&gt;&lt;auth-address&gt;Faculty of Health Sciences, University of Southampton, Southampton, UK.&amp;#xD;NIHR CLAHRC Wessex, Southampton, UK.&amp;#xD;Institute of Education, University College London, London, UK.&lt;/auth-address&gt;&lt;titles&gt;&lt;title&gt;Optimising impact and sustainability: a qualitative process evaluation of a complex intervention targeted at compassionate care&lt;/title&gt;&lt;secondary-title&gt;BMJ Qual Saf&lt;/secondary-title&gt;&lt;/titles&gt;&lt;periodical&gt;&lt;full-title&gt;BMJ Qual Saf&lt;/full-title&gt;&lt;/periodical&gt;&lt;pages&gt;970-977&lt;/pages&gt;&lt;volume&gt;26&lt;/volume&gt;&lt;number&gt;12&lt;/number&gt;&lt;edition&gt;2017/09/17&lt;/edition&gt;&lt;keywords&gt;&lt;keyword&gt;health professions education&lt;/keyword&gt;&lt;keyword&gt;humaneness&lt;/keyword&gt;&lt;keyword&gt;implementation science&lt;/keyword&gt;&lt;keyword&gt;organizational theory&lt;/keyword&gt;&lt;keyword&gt;teamwork&lt;/keyword&gt;&lt;/keywords&gt;&lt;dates&gt;&lt;year&gt;2017&lt;/year&gt;&lt;pub-dates&gt;&lt;date&gt;Dec&lt;/date&gt;&lt;/pub-dates&gt;&lt;/dates&gt;&lt;isbn&gt;2044-5423 (Electronic)&amp;#xD;2044-5415 (Linking)&lt;/isbn&gt;&lt;accession-num&gt;28916581&lt;/accession-num&gt;&lt;urls&gt;&lt;related-urls&gt;&lt;url&gt;https://www.ncbi.nlm.nih.gov/pubmed/28916581&lt;/url&gt;&lt;/related-urls&gt;&lt;/urls&gt;&lt;custom2&gt;PMC5750433&lt;/custom2&gt;&lt;electronic-resource-num&gt;10.1136/bmjqs-2017-006702&lt;/electronic-resource-num&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(2)</w:t>
            </w:r>
            <w:r w:rsidRPr="000B4C36">
              <w:rPr>
                <w:rFonts w:asciiTheme="majorHAnsi" w:hAnsiTheme="majorHAnsi" w:cstheme="majorHAnsi"/>
                <w:sz w:val="18"/>
                <w:szCs w:val="18"/>
              </w:rPr>
              <w:fldChar w:fldCharType="end"/>
            </w:r>
          </w:p>
        </w:tc>
        <w:tc>
          <w:tcPr>
            <w:tcW w:w="4599" w:type="dxa"/>
            <w:vAlign w:val="center"/>
          </w:tcPr>
          <w:p w14:paraId="63867F43"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To assure a firm commitment to uptake, hospital and ED administrators at selected sites signed a memorandum of understanding detailing responsibilities and deliverable services (Bernstein, 2009, 1227)</w:t>
            </w:r>
            <w:r w:rsidRPr="000B4C36">
              <w:rPr>
                <w:rFonts w:asciiTheme="majorHAnsi" w:hAnsiTheme="majorHAnsi" w:cstheme="majorHAnsi"/>
                <w:sz w:val="18"/>
                <w:szCs w:val="18"/>
              </w:rPr>
              <w:fldChar w:fldCharType="begin">
                <w:fldData xml:space="preserve">PEVuZE5vdGU+PENpdGU+PEF1dGhvcj5CZXJuc3RlaW48L0F1dGhvcj48WWVhcj4yMDA5PC9ZZWFy
PjxSZWNOdW0+NTU8L1JlY051bT48RGlzcGxheVRleHQ+KDMpPC9EaXNwbGF5VGV4dD48cmVjb3Jk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PEVuZE5vdGU+PENpdGU+PEF1dGhvcj5CZXJuc3RlaW48L0F1dGhvcj48WWVhcj4yMDA5PC9ZZWFy
PjxSZWNOdW0+NTU8L1JlY051bT48RGlzcGxheVRleHQ+KDMpPC9EaXNwbGF5VGV4dD48cmVjb3Jk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(3)</w:t>
            </w:r>
            <w:r w:rsidRPr="000B4C36">
              <w:rPr>
                <w:rFonts w:asciiTheme="majorHAnsi" w:hAnsiTheme="majorHAnsi" w:cstheme="majorHAnsi"/>
                <w:sz w:val="18"/>
                <w:szCs w:val="18"/>
              </w:rPr>
              <w:fldChar w:fldCharType="end"/>
            </w:r>
          </w:p>
        </w:tc>
      </w:tr>
      <w:tr w:rsidR="00870329" w:rsidRPr="000B4C36" w14:paraId="36552C6C" w14:textId="77777777" w:rsidTr="00BC3385">
        <w:tc>
          <w:tcPr>
            <w:tcW w:w="562" w:type="dxa"/>
            <w:vMerge/>
          </w:tcPr>
          <w:p w14:paraId="0ACFB36B" w14:textId="77777777" w:rsidR="00870329" w:rsidRPr="000B4C36" w:rsidRDefault="00870329" w:rsidP="00BC3385">
            <w:pPr>
              <w:rPr>
                <w:rFonts w:asciiTheme="majorHAnsi" w:hAnsiTheme="majorHAnsi" w:cstheme="majorHAnsi"/>
                <w:sz w:val="18"/>
                <w:szCs w:val="18"/>
              </w:rPr>
            </w:pPr>
          </w:p>
        </w:tc>
        <w:tc>
          <w:tcPr>
            <w:tcW w:w="1560" w:type="dxa"/>
            <w:vAlign w:val="center"/>
          </w:tcPr>
          <w:p w14:paraId="5D22D22E"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Belief in the initiative</w:t>
            </w:r>
          </w:p>
        </w:tc>
        <w:tc>
          <w:tcPr>
            <w:tcW w:w="2693" w:type="dxa"/>
            <w:vAlign w:val="center"/>
          </w:tcPr>
          <w:p w14:paraId="1BE62566"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The belief that, the initiative will be of value, it will produce the benefits intended and deliver the stated improvements to care. </w:t>
            </w:r>
          </w:p>
        </w:tc>
        <w:tc>
          <w:tcPr>
            <w:tcW w:w="4536" w:type="dxa"/>
            <w:vAlign w:val="center"/>
          </w:tcPr>
          <w:p w14:paraId="6735891A"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Most nurses were initially resistant to try the innovations; they did not trust the practice change(s). They were angry that their workload would be even more demanding… Nurses expressed doubts and fears about the effectiveness and safety of the practice changes...It was challenging to change long-standing practices...They explained that this lasted approximately 4 months, at which time the grumbling stopped and practice changes occurred. This did not occur in the minimal uptake site as no change process was experienced for them. (Matthew-</w:t>
            </w:r>
            <w:proofErr w:type="spellStart"/>
            <w:r w:rsidRPr="000B4C36">
              <w:rPr>
                <w:rFonts w:asciiTheme="majorHAnsi" w:hAnsiTheme="majorHAnsi" w:cstheme="majorHAnsi"/>
                <w:sz w:val="18"/>
                <w:szCs w:val="18"/>
              </w:rPr>
              <w:t>Maich</w:t>
            </w:r>
            <w:proofErr w:type="spellEnd"/>
            <w:r w:rsidRPr="000B4C36">
              <w:rPr>
                <w:rFonts w:asciiTheme="majorHAnsi" w:hAnsiTheme="majorHAnsi" w:cstheme="majorHAnsi"/>
                <w:sz w:val="18"/>
                <w:szCs w:val="18"/>
              </w:rPr>
              <w:t>, 2013, p110)</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&lt;EndNote&gt;&lt;Cite&gt;&lt;Author&gt;Matthew-Maich&lt;/Author&gt;&lt;Year&gt;2013&lt;/Year&gt;&lt;RecNum&gt;70&lt;/RecNum&gt;&lt;DisplayText&gt;(4)&lt;/DisplayText&gt;&lt;record&gt;&lt;rec-number&gt;70&lt;/rec-number&gt;&lt;foreign-keys&gt;&lt;key app="EN" db-id="5rvs2rr9m5pae4e09rpv5z5uxtzxsdz00pes" timestamp="1527537951"&gt;70&lt;/key&gt;&lt;/foreign-keys&gt;&lt;ref-type name="Journal Article"&gt;17&lt;/ref-type&gt;&lt;contributors&gt;&lt;authors&gt;&lt;author&gt;Matthew-Maich, N.&lt;/author&gt;&lt;author&gt;Ploeg, J.&lt;/author&gt;&lt;author&gt;Dobbins, M.&lt;/author&gt;&lt;author&gt;Jack, S.&lt;/author&gt;&lt;/authors&gt;&lt;/contributors&gt;&lt;auth-address&gt;School of Nursing, Faculty of Health Sciences, Mohawk College, McMaster-Mohawk Institute for Applied Health Sciences, Hamilton, ON, Canada. nancy.maich@mohawkcollege.ca&lt;/auth-address&gt;&lt;titles&gt;&lt;title&gt;Supporting the Uptake of Nursing Guidelines: what you really need to know to move nursing guidelines into practice&lt;/title&gt;&lt;secondary-title&gt;Worldviews Evid Based Nurs&lt;/secondary-title&gt;&lt;/titles&gt;&lt;pages&gt;104-15&lt;/pages&gt;&lt;volume&gt;10&lt;/volume&gt;&lt;number&gt;2&lt;/number&gt;&lt;keywords&gt;&lt;keyword&gt;Adult&lt;/keyword&gt;&lt;keyword&gt;*Breast Feeding&lt;/keyword&gt;&lt;keyword&gt;Canada&lt;/keyword&gt;&lt;keyword&gt;Female&lt;/keyword&gt;&lt;keyword&gt;Guideline Adherence/*organization &amp;amp; administration&lt;/keyword&gt;&lt;keyword&gt;Health Plan Implementation/*methods&lt;/keyword&gt;&lt;keyword&gt;Humans&lt;/keyword&gt;&lt;keyword&gt;Leadership&lt;/keyword&gt;&lt;keyword&gt;Nurse Administrators/*organization &amp;amp; administration/*standards&lt;/keyword&gt;&lt;keyword&gt;Nursing Care/*standards&lt;/keyword&gt;&lt;keyword&gt;*Practice Guidelines as Topic&lt;/keyword&gt;&lt;/keywords&gt;&lt;dates&gt;&lt;year&gt;2013&lt;/year&gt;&lt;pub-dates&gt;&lt;date&gt;May&lt;/date&gt;&lt;/pub-dates&gt;&lt;/dates&gt;&lt;pub-location&gt;United States&lt;/pub-location&gt;&lt;isbn&gt;1741-6787 (Electronic)&amp;#xD;1545-102X (Linking)&lt;/isbn&gt;&lt;accession-num&gt;22731122&lt;/accession-num&gt;&lt;urls&gt;&lt;related-urls&gt;&lt;url&gt;https://www.ncbi.nlm.nih.gov/pubmed/22731122&lt;/url&gt;&lt;/related-urls&gt;&lt;/urls&gt;&lt;electronic-resource-num&gt;10.1111/j.1741-6787.2012.00259.x&lt;/electronic-resource-num&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(4)</w:t>
            </w:r>
            <w:r w:rsidRPr="000B4C36">
              <w:rPr>
                <w:rFonts w:asciiTheme="majorHAnsi" w:hAnsiTheme="majorHAnsi" w:cstheme="majorHAnsi"/>
                <w:sz w:val="18"/>
                <w:szCs w:val="18"/>
              </w:rPr>
              <w:fldChar w:fldCharType="end"/>
            </w:r>
          </w:p>
        </w:tc>
        <w:tc>
          <w:tcPr>
            <w:tcW w:w="4599" w:type="dxa"/>
            <w:vAlign w:val="center"/>
          </w:tcPr>
          <w:p w14:paraId="0BD99C7D"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The nurses believed that because the BPG was research-based and came from the nurses' provincial, professional association, this rendered it credible and relevant for their practice. (Matthew-</w:t>
            </w:r>
            <w:proofErr w:type="spellStart"/>
            <w:r w:rsidRPr="000B4C36">
              <w:rPr>
                <w:rFonts w:asciiTheme="majorHAnsi" w:hAnsiTheme="majorHAnsi" w:cstheme="majorHAnsi"/>
                <w:sz w:val="18"/>
                <w:szCs w:val="18"/>
              </w:rPr>
              <w:t>Maich</w:t>
            </w:r>
            <w:proofErr w:type="spellEnd"/>
            <w:r w:rsidRPr="000B4C36">
              <w:rPr>
                <w:rFonts w:asciiTheme="majorHAnsi" w:hAnsiTheme="majorHAnsi" w:cstheme="majorHAnsi"/>
                <w:sz w:val="18"/>
                <w:szCs w:val="18"/>
              </w:rPr>
              <w:t xml:space="preserve">, 2013, p107) </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&lt;EndNote&gt;&lt;Cite&gt;&lt;Author&gt;Matthew-Maich&lt;/Author&gt;&lt;Year&gt;2013&lt;/Year&gt;&lt;RecNum&gt;70&lt;/RecNum&gt;&lt;DisplayText&gt;(4)&lt;/DisplayText&gt;&lt;record&gt;&lt;rec-number&gt;70&lt;/rec-number&gt;&lt;foreign-keys&gt;&lt;key app="EN" db-id="5rvs2rr9m5pae4e09rpv5z5uxtzxsdz00pes" timestamp="1527537951"&gt;70&lt;/key&gt;&lt;/foreign-keys&gt;&lt;ref-type name="Journal Article"&gt;17&lt;/ref-type&gt;&lt;contributors&gt;&lt;authors&gt;&lt;author&gt;Matthew-Maich, N.&lt;/author&gt;&lt;author&gt;Ploeg, J.&lt;/author&gt;&lt;author&gt;Dobbins, M.&lt;/author&gt;&lt;author&gt;Jack, S.&lt;/author&gt;&lt;/authors&gt;&lt;/contributors&gt;&lt;auth-address&gt;School of Nursing, Faculty of Health Sciences, Mohawk College, McMaster-Mohawk Institute for Applied Health Sciences, Hamilton, ON, Canada. nancy.maich@mohawkcollege.ca&lt;/auth-address&gt;&lt;titles&gt;&lt;title&gt;Supporting the Uptake of Nursing Guidelines: what you really need to know to move nursing guidelines into practice&lt;/title&gt;&lt;secondary-title&gt;Worldviews Evid Based Nurs&lt;/secondary-title&gt;&lt;/titles&gt;&lt;pages&gt;104-15&lt;/pages&gt;&lt;volume&gt;10&lt;/volume&gt;&lt;number&gt;2&lt;/number&gt;&lt;keywords&gt;&lt;keyword&gt;Adult&lt;/keyword&gt;&lt;keyword&gt;*Breast Feeding&lt;/keyword&gt;&lt;keyword&gt;Canada&lt;/keyword&gt;&lt;keyword&gt;Female&lt;/keyword&gt;&lt;keyword&gt;Guideline Adherence/*organization &amp;amp; administration&lt;/keyword&gt;&lt;keyword&gt;Health Plan Implementation/*methods&lt;/keyword&gt;&lt;keyword&gt;Humans&lt;/keyword&gt;&lt;keyword&gt;Leadership&lt;/keyword&gt;&lt;keyword&gt;Nurse Administrators/*organization &amp;amp; administration/*standards&lt;/keyword&gt;&lt;keyword&gt;Nursing Care/*standards&lt;/keyword&gt;&lt;keyword&gt;*Practice Guidelines as Topic&lt;/keyword&gt;&lt;/keywords&gt;&lt;dates&gt;&lt;year&gt;2013&lt;/year&gt;&lt;pub-dates&gt;&lt;date&gt;May&lt;/date&gt;&lt;/pub-dates&gt;&lt;/dates&gt;&lt;pub-location&gt;United States&lt;/pub-location&gt;&lt;isbn&gt;1741-6787 (Electronic)&amp;#xD;1545-102X (Linking)&lt;/isbn&gt;&lt;accession-num&gt;22731122&lt;/accession-num&gt;&lt;urls&gt;&lt;related-urls&gt;&lt;url&gt;https://www.ncbi.nlm.nih.gov/pubmed/22731122&lt;/url&gt;&lt;/related-urls&gt;&lt;/urls&gt;&lt;electronic-resource-num&gt;10.1111/j.1741-6787.2012.00259.x&lt;/electronic-resource-num&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(4)</w:t>
            </w:r>
            <w:r w:rsidRPr="000B4C36">
              <w:rPr>
                <w:rFonts w:asciiTheme="majorHAnsi" w:hAnsiTheme="majorHAnsi" w:cstheme="majorHAnsi"/>
                <w:sz w:val="18"/>
                <w:szCs w:val="18"/>
              </w:rPr>
              <w:fldChar w:fldCharType="end"/>
            </w:r>
          </w:p>
        </w:tc>
      </w:tr>
      <w:tr w:rsidR="00870329" w:rsidRPr="000B4C36" w14:paraId="002E0CC3" w14:textId="77777777" w:rsidTr="00BC3385">
        <w:tc>
          <w:tcPr>
            <w:tcW w:w="562" w:type="dxa"/>
            <w:vMerge/>
          </w:tcPr>
          <w:p w14:paraId="7C95E9DF" w14:textId="77777777" w:rsidR="00870329" w:rsidRPr="000B4C36" w:rsidRDefault="00870329" w:rsidP="00BC3385">
            <w:pPr>
              <w:rPr>
                <w:rFonts w:asciiTheme="majorHAnsi" w:hAnsiTheme="majorHAnsi" w:cstheme="majorHAnsi"/>
                <w:sz w:val="18"/>
                <w:szCs w:val="18"/>
              </w:rPr>
            </w:pPr>
          </w:p>
        </w:tc>
        <w:tc>
          <w:tcPr>
            <w:tcW w:w="1560" w:type="dxa"/>
            <w:vAlign w:val="center"/>
          </w:tcPr>
          <w:p w14:paraId="1E3A0A86"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Complexity</w:t>
            </w:r>
          </w:p>
        </w:tc>
        <w:tc>
          <w:tcPr>
            <w:tcW w:w="2693" w:type="dxa"/>
            <w:vAlign w:val="center"/>
          </w:tcPr>
          <w:p w14:paraId="33B2698F"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The difficulty and complexity of understanding, delivering and maintaining the initiative. </w:t>
            </w:r>
          </w:p>
        </w:tc>
        <w:tc>
          <w:tcPr>
            <w:tcW w:w="4536" w:type="dxa"/>
            <w:vAlign w:val="center"/>
          </w:tcPr>
          <w:p w14:paraId="5E88533C"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Complex work processes / In both 2010 and 2013, the complexity of the work processes at the ED made it difficult to foresee how changes in one area would affect the other. (</w:t>
            </w:r>
            <w:proofErr w:type="spellStart"/>
            <w:r w:rsidRPr="000B4C36">
              <w:rPr>
                <w:rFonts w:asciiTheme="majorHAnsi" w:hAnsiTheme="majorHAnsi" w:cstheme="majorHAnsi"/>
                <w:sz w:val="18"/>
                <w:szCs w:val="18"/>
              </w:rPr>
              <w:t>Frykman</w:t>
            </w:r>
            <w:proofErr w:type="spellEnd"/>
            <w:r w:rsidRPr="000B4C36">
              <w:rPr>
                <w:rFonts w:asciiTheme="majorHAnsi" w:hAnsiTheme="majorHAnsi" w:cstheme="majorHAnsi"/>
                <w:sz w:val="18"/>
                <w:szCs w:val="18"/>
              </w:rPr>
              <w:t xml:space="preserve"> 2017, p73)</w:t>
            </w:r>
            <w:r w:rsidRPr="000B4C36">
              <w:rPr>
                <w:rFonts w:asciiTheme="majorHAnsi" w:hAnsiTheme="majorHAnsi" w:cstheme="majorHAnsi"/>
                <w:sz w:val="18"/>
                <w:szCs w:val="18"/>
              </w:rPr>
              <w:fldChar w:fldCharType="begin">
                <w:fldData xml:space="preserve">PEVuZE5vdGU+PENpdGU+PEF1dGhvcj5GcnlrbWFuPC9BdXRob3I+PFllYXI+MjAxNzwvWWVhcj48
UmVjTnVtPjc4PC9SZWNOdW0+PERpc3BsYXlUZXh0Pig1KTwvRGlzcGxheVRleHQ+PHJlY29yZD48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PEVuZE5vdGU+PENpdGU+PEF1dGhvcj5GcnlrbWFuPC9BdXRob3I+PFllYXI+MjAxNzwvWWVhcj48
UmVjTnVtPjc4PC9SZWNOdW0+PERpc3BsYXlUZXh0Pig1KTwvRGlzcGxheVRleHQ+PHJlY29yZD48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(5)</w:t>
            </w:r>
            <w:r w:rsidRPr="000B4C36">
              <w:rPr>
                <w:rFonts w:asciiTheme="majorHAnsi" w:hAnsiTheme="majorHAnsi" w:cstheme="majorHAnsi"/>
                <w:sz w:val="18"/>
                <w:szCs w:val="18"/>
              </w:rPr>
              <w:fldChar w:fldCharType="end"/>
            </w:r>
          </w:p>
        </w:tc>
        <w:tc>
          <w:tcPr>
            <w:tcW w:w="4599" w:type="dxa"/>
            <w:vAlign w:val="center"/>
          </w:tcPr>
          <w:p w14:paraId="2EEE1F28"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The improved team working reduced the burden for some staff and provided opportunities to undertake [patient care] activities that previously would have been rare occurrences. (Bridges 2017, p975)</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&lt;EndNote&gt;&lt;Cite&gt;&lt;Author&gt;Bridges&lt;/Author&gt;&lt;Year&gt;2017&lt;/Year&gt;&lt;RecNum&gt;4&lt;/RecNum&gt;&lt;DisplayText&gt;(2)&lt;/DisplayText&gt;&lt;record&gt;&lt;rec-number&gt;4&lt;/rec-number&gt;&lt;foreign-keys&gt;&lt;key app="EN" db-id="5rvs2rr9m5pae4e09rpv5z5uxtzxsdz00pes" timestamp="1524578998"&gt;4&lt;/key&gt;&lt;/foreign-keys&gt;&lt;ref-type name="Journal Article"&gt;17&lt;/ref-type&gt;&lt;contributors&gt;&lt;authors&gt;&lt;author&gt;Bridges, J.&lt;/author&gt;&lt;author&gt;May, C.&lt;/author&gt;&lt;author&gt;Fuller, A.&lt;/author&gt;&lt;author&gt;Griffiths, P.&lt;/author&gt;&lt;author&gt;Wigley, W.&lt;/author&gt;&lt;author&gt;Gould, L.&lt;/author&gt;&lt;author&gt;Barker, H.&lt;/author&gt;&lt;author&gt;Libberton, P.&lt;/author&gt;&lt;/authors&gt;&lt;/contributors&gt;&lt;auth-address&gt;Faculty of Health Sciences, University of Southampton, Southampton, UK.&amp;#xD;NIHR CLAHRC Wessex, Southampton, UK.&amp;#xD;Institute of Education, University College London, London, UK.&lt;/auth-address&gt;&lt;titles&gt;&lt;title&gt;Optimising impact and sustainability: a qualitative process evaluation of a complex intervention targeted at compassionate care&lt;/title&gt;&lt;secondary-title&gt;BMJ Qual Saf&lt;/secondary-title&gt;&lt;/titles&gt;&lt;periodical&gt;&lt;full-title&gt;BMJ Qual Saf&lt;/full-title&gt;&lt;/periodical&gt;&lt;pages&gt;970-977&lt;/pages&gt;&lt;volume&gt;26&lt;/volume&gt;&lt;number&gt;12&lt;/number&gt;&lt;edition&gt;2017/09/17&lt;/edition&gt;&lt;keywords&gt;&lt;keyword&gt;health professions education&lt;/keyword&gt;&lt;keyword&gt;humaneness&lt;/keyword&gt;&lt;keyword&gt;implementation science&lt;/keyword&gt;&lt;keyword&gt;organizational theory&lt;/keyword&gt;&lt;keyword&gt;teamwork&lt;/keyword&gt;&lt;/keywords&gt;&lt;dates&gt;&lt;year&gt;2017&lt;/year&gt;&lt;pub-dates&gt;&lt;date&gt;Dec&lt;/date&gt;&lt;/pub-dates&gt;&lt;/dates&gt;&lt;isbn&gt;2044-5423 (Electronic)&amp;#xD;2044-5415 (Linking)&lt;/isbn&gt;&lt;accession-num&gt;28916581&lt;/accession-num&gt;&lt;urls&gt;&lt;related-urls&gt;&lt;url&gt;https://www.ncbi.nlm.nih.gov/pubmed/28916581&lt;/url&gt;&lt;/related-urls&gt;&lt;/urls&gt;&lt;custom2&gt;PMC5750433&lt;/custom2&gt;&lt;electronic-resource-num&gt;10.1136/bmjqs-2017-006702&lt;/electronic-resource-num&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(2)</w:t>
            </w:r>
            <w:r w:rsidRPr="000B4C36">
              <w:rPr>
                <w:rFonts w:asciiTheme="majorHAnsi" w:hAnsiTheme="majorHAnsi" w:cstheme="majorHAnsi"/>
                <w:sz w:val="18"/>
                <w:szCs w:val="18"/>
              </w:rPr>
              <w:fldChar w:fldCharType="end"/>
            </w:r>
          </w:p>
        </w:tc>
      </w:tr>
      <w:tr w:rsidR="00870329" w:rsidRPr="000B4C36" w14:paraId="1324BF2C" w14:textId="77777777" w:rsidTr="00BC3385">
        <w:tc>
          <w:tcPr>
            <w:tcW w:w="562" w:type="dxa"/>
            <w:vMerge/>
          </w:tcPr>
          <w:p w14:paraId="01AC5668" w14:textId="77777777" w:rsidR="00870329" w:rsidRPr="000B4C36" w:rsidRDefault="00870329" w:rsidP="00BC3385">
            <w:pPr>
              <w:rPr>
                <w:rFonts w:asciiTheme="majorHAnsi" w:hAnsiTheme="majorHAnsi" w:cstheme="majorHAnsi"/>
                <w:sz w:val="18"/>
                <w:szCs w:val="18"/>
              </w:rPr>
            </w:pPr>
          </w:p>
        </w:tc>
        <w:tc>
          <w:tcPr>
            <w:tcW w:w="1560" w:type="dxa"/>
            <w:vAlign w:val="center"/>
          </w:tcPr>
          <w:p w14:paraId="4B7B84C9"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Defining aims and shared vision</w:t>
            </w:r>
          </w:p>
        </w:tc>
        <w:tc>
          <w:tcPr>
            <w:tcW w:w="2693" w:type="dxa"/>
            <w:vAlign w:val="center"/>
          </w:tcPr>
          <w:p w14:paraId="5CA1F34A"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Taking the time to define and understand what people want to achieve and why. Working with stakeholders to establish a shared aim and vision. </w:t>
            </w:r>
          </w:p>
        </w:tc>
        <w:tc>
          <w:tcPr>
            <w:tcW w:w="4536" w:type="dxa"/>
            <w:vAlign w:val="center"/>
          </w:tcPr>
          <w:p w14:paraId="4BFF4775"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In 2013, staff had different views on whether teamwork was the formal way of working, what teamwork encompassed, and how teamwork was connected to the goals at the ED. Direction was weakened as the connection between teamwork and the overall goals of the ED became increasingly unclear to staff. (</w:t>
            </w:r>
            <w:proofErr w:type="spellStart"/>
            <w:r w:rsidRPr="000B4C36">
              <w:rPr>
                <w:rFonts w:asciiTheme="majorHAnsi" w:hAnsiTheme="majorHAnsi" w:cstheme="majorHAnsi"/>
                <w:sz w:val="18"/>
                <w:szCs w:val="18"/>
              </w:rPr>
              <w:t>Frykman</w:t>
            </w:r>
            <w:proofErr w:type="spellEnd"/>
            <w:r w:rsidRPr="000B4C36">
              <w:rPr>
                <w:rFonts w:asciiTheme="majorHAnsi" w:hAnsiTheme="majorHAnsi" w:cstheme="majorHAnsi"/>
                <w:sz w:val="18"/>
                <w:szCs w:val="18"/>
              </w:rPr>
              <w:t xml:space="preserve"> 2017, p72)</w:t>
            </w:r>
            <w:r w:rsidRPr="000B4C36">
              <w:rPr>
                <w:rFonts w:asciiTheme="majorHAnsi" w:hAnsiTheme="majorHAnsi" w:cstheme="majorHAnsi"/>
                <w:sz w:val="18"/>
                <w:szCs w:val="18"/>
              </w:rPr>
              <w:fldChar w:fldCharType="begin">
                <w:fldData xml:space="preserve">PEVuZE5vdGU+PENpdGU+PEF1dGhvcj5GcnlrbWFuPC9BdXRob3I+PFllYXI+MjAxNzwvWWVhcj48
UmVjTnVtPjc4PC9SZWNOdW0+PERpc3BsYXlUZXh0Pig1KTwvRGlzcGxheVRleHQ+PHJlY29yZD48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PEVuZE5vdGU+PENpdGU+PEF1dGhvcj5GcnlrbWFuPC9BdXRob3I+PFllYXI+MjAxNzwvWWVhcj48
UmVjTnVtPjc4PC9SZWNOdW0+PERpc3BsYXlUZXh0Pig1KTwvRGlzcGxheVRleHQ+PHJlY29yZD48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(5)</w:t>
            </w:r>
            <w:r w:rsidRPr="000B4C36">
              <w:rPr>
                <w:rFonts w:asciiTheme="majorHAnsi" w:hAnsiTheme="majorHAnsi" w:cstheme="majorHAnsi"/>
                <w:sz w:val="18"/>
                <w:szCs w:val="18"/>
              </w:rPr>
              <w:fldChar w:fldCharType="end"/>
            </w:r>
          </w:p>
        </w:tc>
        <w:tc>
          <w:tcPr>
            <w:tcW w:w="4599" w:type="dxa"/>
            <w:vAlign w:val="center"/>
          </w:tcPr>
          <w:p w14:paraId="1B652AB9" w14:textId="77777777" w:rsidR="00870329" w:rsidRPr="000B4C36" w:rsidRDefault="00870329" w:rsidP="00BC3385">
            <w:pPr>
              <w:rPr>
                <w:rFonts w:asciiTheme="majorHAnsi" w:hAnsiTheme="majorHAnsi" w:cstheme="majorHAnsi"/>
                <w:color w:val="000000"/>
                <w:sz w:val="18"/>
                <w:szCs w:val="18"/>
              </w:rPr>
            </w:pPr>
            <w:r w:rsidRPr="000B4C36">
              <w:rPr>
                <w:rFonts w:asciiTheme="majorHAnsi" w:hAnsiTheme="majorHAnsi" w:cstheme="majorHAnsi"/>
                <w:color w:val="000000"/>
                <w:sz w:val="18"/>
                <w:szCs w:val="18"/>
              </w:rPr>
              <w:t xml:space="preserve">Findings from both stages emphasised that value was placed on a collaborative goal working approach and service user feedback, as this improved inter-staff relationships, performance and a sense of shared ownership. </w:t>
            </w:r>
            <w:r w:rsidRPr="000B4C36">
              <w:rPr>
                <w:rFonts w:asciiTheme="majorHAnsi" w:hAnsiTheme="majorHAnsi" w:cstheme="majorHAnsi"/>
                <w:sz w:val="18"/>
                <w:szCs w:val="18"/>
              </w:rPr>
              <w:t>(</w:t>
            </w:r>
            <w:proofErr w:type="spellStart"/>
            <w:r w:rsidRPr="000B4C36">
              <w:rPr>
                <w:rFonts w:asciiTheme="majorHAnsi" w:hAnsiTheme="majorHAnsi" w:cstheme="majorHAnsi"/>
                <w:sz w:val="18"/>
                <w:szCs w:val="18"/>
              </w:rPr>
              <w:t>Bhanbro</w:t>
            </w:r>
            <w:proofErr w:type="spellEnd"/>
            <w:r w:rsidRPr="000B4C36">
              <w:rPr>
                <w:rFonts w:asciiTheme="majorHAnsi" w:hAnsiTheme="majorHAnsi" w:cstheme="majorHAnsi"/>
                <w:sz w:val="18"/>
                <w:szCs w:val="18"/>
              </w:rPr>
              <w:t xml:space="preserve"> 2016, p12)</w:t>
            </w:r>
            <w:r w:rsidRPr="000B4C36">
              <w:rPr>
                <w:rFonts w:asciiTheme="majorHAnsi" w:hAnsiTheme="majorHAnsi" w:cstheme="majorHAnsi"/>
                <w:sz w:val="18"/>
                <w:szCs w:val="18"/>
              </w:rPr>
              <w:fldChar w:fldCharType="begin">
                <w:fldData xml:space="preserve">PEVuZE5vdGU+PENpdGU+PEF1dGhvcj5CaGFuYmhybzwvQXV0aG9yPjxZZWFyPjIwMTY8L1llYXI+
PFJlY051bT42NzwvUmVjTnVtPjxEaXNwbGF5VGV4dD4oNik8L0Rpc3BsYXlUZXh0PjxyZWNvcmQ+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PEVuZE5vdGU+PENpdGU+PEF1dGhvcj5CaGFuYmhybzwvQXV0aG9yPjxZZWFyPjIwMTY8L1llYXI+
PFJlY051bT42NzwvUmVjTnVtPjxEaXNwbGF5VGV4dD4oNik8L0Rpc3BsYXlUZXh0PjxyZWNvcmQ+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(6)</w:t>
            </w:r>
            <w:r w:rsidRPr="000B4C36">
              <w:rPr>
                <w:rFonts w:asciiTheme="majorHAnsi" w:hAnsiTheme="majorHAnsi" w:cstheme="majorHAnsi"/>
                <w:sz w:val="18"/>
                <w:szCs w:val="18"/>
              </w:rPr>
              <w:fldChar w:fldCharType="end"/>
            </w:r>
          </w:p>
        </w:tc>
      </w:tr>
      <w:tr w:rsidR="00870329" w:rsidRPr="000B4C36" w14:paraId="53166951" w14:textId="77777777" w:rsidTr="00BC3385">
        <w:tc>
          <w:tcPr>
            <w:tcW w:w="562" w:type="dxa"/>
            <w:vMerge/>
          </w:tcPr>
          <w:p w14:paraId="03C6A4CC" w14:textId="77777777" w:rsidR="00870329" w:rsidRPr="000B4C36" w:rsidRDefault="00870329" w:rsidP="00BC3385">
            <w:pPr>
              <w:rPr>
                <w:rFonts w:asciiTheme="majorHAnsi" w:hAnsiTheme="majorHAnsi" w:cstheme="majorHAnsi"/>
                <w:sz w:val="18"/>
                <w:szCs w:val="18"/>
              </w:rPr>
            </w:pPr>
          </w:p>
        </w:tc>
        <w:tc>
          <w:tcPr>
            <w:tcW w:w="1560" w:type="dxa"/>
            <w:vAlign w:val="center"/>
          </w:tcPr>
          <w:p w14:paraId="76ACE738"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Incentives</w:t>
            </w:r>
          </w:p>
        </w:tc>
        <w:tc>
          <w:tcPr>
            <w:tcW w:w="2693" w:type="dxa"/>
            <w:vAlign w:val="center"/>
          </w:tcPr>
          <w:p w14:paraId="622F49A0"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Motivation gained from rewards or benefits that drive individuals and organisations to engage with an initiative and continue to deliver it overtime. </w:t>
            </w:r>
          </w:p>
        </w:tc>
        <w:tc>
          <w:tcPr>
            <w:tcW w:w="4536" w:type="dxa"/>
            <w:vAlign w:val="center"/>
          </w:tcPr>
          <w:p w14:paraId="4B2869BF"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Junior doctors were rarely involved in a structured and sustained way, often with no formal recognition as part of the implementation team. (Green 2017, p4)</w:t>
            </w:r>
            <w:r w:rsidRPr="000B4C36">
              <w:rPr>
                <w:rFonts w:asciiTheme="majorHAnsi" w:hAnsiTheme="majorHAnsi" w:cstheme="majorHAnsi"/>
                <w:sz w:val="18"/>
                <w:szCs w:val="18"/>
              </w:rPr>
              <w:fldChar w:fldCharType="begin">
                <w:fldData xml:space="preserve">PEVuZE5vdGU+PENpdGU+PEF1dGhvcj5HcmVlbjwvQXV0aG9yPjxZZWFyPjIwMTc8L1llYXI+PFJl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PEVuZE5vdGU+PENpdGU+PEF1dGhvcj5HcmVlbjwvQXV0aG9yPjxZZWFyPjIwMTc8L1llYXI+PFJl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(7)</w:t>
            </w:r>
            <w:r w:rsidRPr="000B4C36">
              <w:rPr>
                <w:rFonts w:asciiTheme="majorHAnsi" w:hAnsiTheme="majorHAnsi" w:cstheme="majorHAnsi"/>
                <w:sz w:val="18"/>
                <w:szCs w:val="18"/>
              </w:rPr>
              <w:fldChar w:fldCharType="end"/>
            </w:r>
          </w:p>
        </w:tc>
        <w:tc>
          <w:tcPr>
            <w:tcW w:w="4599" w:type="dxa"/>
            <w:vAlign w:val="center"/>
          </w:tcPr>
          <w:p w14:paraId="686DB06E"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Value-added services played a strong role in three hospitals agreeing after 1 year of operation to underwrite part of the HPA salary cost. (Bernstein, 2009, p1231)</w:t>
            </w:r>
            <w:r w:rsidRPr="000B4C36">
              <w:rPr>
                <w:rFonts w:asciiTheme="majorHAnsi" w:hAnsiTheme="majorHAnsi" w:cstheme="majorHAnsi"/>
                <w:sz w:val="18"/>
                <w:szCs w:val="18"/>
              </w:rPr>
              <w:fldChar w:fldCharType="begin">
                <w:fldData xml:space="preserve">PEVuZE5vdGU+PENpdGU+PEF1dGhvcj5CZXJuc3RlaW48L0F1dGhvcj48WWVhcj4yMDA5PC9ZZWFy
PjxSZWNOdW0+NTU8L1JlY051bT48RGlzcGxheVRleHQ+KDMpPC9EaXNwbGF5VGV4dD48cmVjb3Jk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PEVuZE5vdGU+PENpdGU+PEF1dGhvcj5CZXJuc3RlaW48L0F1dGhvcj48WWVhcj4yMDA5PC9ZZWFy
PjxSZWNOdW0+NTU8L1JlY051bT48RGlzcGxheVRleHQ+KDMpPC9EaXNwbGF5VGV4dD48cmVjb3Jk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(3)</w:t>
            </w:r>
            <w:r w:rsidRPr="000B4C36">
              <w:rPr>
                <w:rFonts w:asciiTheme="majorHAnsi" w:hAnsiTheme="majorHAnsi" w:cstheme="majorHAnsi"/>
                <w:sz w:val="18"/>
                <w:szCs w:val="18"/>
              </w:rPr>
              <w:fldChar w:fldCharType="end"/>
            </w:r>
          </w:p>
        </w:tc>
      </w:tr>
      <w:tr w:rsidR="00870329" w:rsidRPr="000B4C36" w14:paraId="65A3327A" w14:textId="77777777" w:rsidTr="00BC3385">
        <w:tc>
          <w:tcPr>
            <w:tcW w:w="562" w:type="dxa"/>
            <w:vMerge/>
          </w:tcPr>
          <w:p w14:paraId="1DD31DD9" w14:textId="77777777" w:rsidR="00870329" w:rsidRPr="000B4C36" w:rsidRDefault="00870329" w:rsidP="00BC3385">
            <w:pPr>
              <w:rPr>
                <w:rFonts w:asciiTheme="majorHAnsi" w:hAnsiTheme="majorHAnsi" w:cstheme="majorHAnsi"/>
                <w:sz w:val="18"/>
                <w:szCs w:val="18"/>
              </w:rPr>
            </w:pPr>
          </w:p>
        </w:tc>
        <w:tc>
          <w:tcPr>
            <w:tcW w:w="1560" w:type="dxa"/>
            <w:vAlign w:val="center"/>
          </w:tcPr>
          <w:p w14:paraId="472CC401"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Job requirements</w:t>
            </w:r>
          </w:p>
        </w:tc>
        <w:tc>
          <w:tcPr>
            <w:tcW w:w="2693" w:type="dxa"/>
            <w:vAlign w:val="center"/>
          </w:tcPr>
          <w:p w14:paraId="1B6840B8"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Specific job requirements have been established and included in </w:t>
            </w:r>
            <w:r w:rsidRPr="000B4C36">
              <w:rPr>
                <w:rFonts w:asciiTheme="majorHAnsi" w:hAnsiTheme="majorHAnsi" w:cstheme="majorHAnsi"/>
                <w:sz w:val="18"/>
                <w:szCs w:val="18"/>
              </w:rPr>
              <w:lastRenderedPageBreak/>
              <w:t xml:space="preserve">job descriptions and roles which are able to be accomplished with the given skills set of workers. </w:t>
            </w:r>
          </w:p>
        </w:tc>
        <w:tc>
          <w:tcPr>
            <w:tcW w:w="4536" w:type="dxa"/>
            <w:vAlign w:val="center"/>
          </w:tcPr>
          <w:p w14:paraId="09878AF8"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lastRenderedPageBreak/>
              <w:t xml:space="preserve">Team-based work was also viewed by some nurses as "too inflexible" compared to the way work was organised </w:t>
            </w:r>
            <w:r w:rsidRPr="000B4C36">
              <w:rPr>
                <w:rFonts w:asciiTheme="majorHAnsi" w:hAnsiTheme="majorHAnsi" w:cstheme="majorHAnsi"/>
                <w:sz w:val="18"/>
                <w:szCs w:val="18"/>
              </w:rPr>
              <w:lastRenderedPageBreak/>
              <w:t>before. [need for more than one nurse in the team] (</w:t>
            </w:r>
            <w:proofErr w:type="spellStart"/>
            <w:r w:rsidRPr="000B4C36">
              <w:rPr>
                <w:rFonts w:asciiTheme="majorHAnsi" w:hAnsiTheme="majorHAnsi" w:cstheme="majorHAnsi"/>
                <w:sz w:val="18"/>
                <w:szCs w:val="18"/>
              </w:rPr>
              <w:t>Mazzocato</w:t>
            </w:r>
            <w:proofErr w:type="spellEnd"/>
            <w:r w:rsidRPr="000B4C36">
              <w:rPr>
                <w:rFonts w:asciiTheme="majorHAnsi" w:hAnsiTheme="majorHAnsi" w:cstheme="majorHAnsi"/>
                <w:sz w:val="18"/>
                <w:szCs w:val="18"/>
              </w:rPr>
              <w:t xml:space="preserve"> 2012, p10)</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&lt;EndNote&gt;&lt;Cite&gt;&lt;Author&gt;Mazzocato&lt;/Author&gt;&lt;Year&gt;2012&lt;/Year&gt;&lt;RecNum&gt;84&lt;/RecNum&gt;&lt;DisplayText&gt;(8)&lt;/DisplayText&gt;&lt;record&gt;&lt;rec-number&gt;84&lt;/rec-number&gt;&lt;foreign-keys&gt;&lt;key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(8)</w:t>
            </w:r>
            <w:r w:rsidRPr="000B4C36">
              <w:rPr>
                <w:rFonts w:asciiTheme="majorHAnsi" w:hAnsiTheme="majorHAnsi" w:cstheme="majorHAnsi"/>
                <w:sz w:val="18"/>
                <w:szCs w:val="18"/>
              </w:rPr>
              <w:fldChar w:fldCharType="end"/>
            </w:r>
          </w:p>
        </w:tc>
        <w:tc>
          <w:tcPr>
            <w:tcW w:w="4599" w:type="dxa"/>
            <w:vAlign w:val="center"/>
          </w:tcPr>
          <w:p w14:paraId="2FEB0172"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lastRenderedPageBreak/>
              <w:t xml:space="preserve">The volume of work now associated with the programme meant that all sites were working to expand towards PW </w:t>
            </w:r>
            <w:r w:rsidRPr="000B4C36">
              <w:rPr>
                <w:rFonts w:asciiTheme="majorHAnsi" w:hAnsiTheme="majorHAnsi" w:cstheme="majorHAnsi"/>
                <w:sz w:val="18"/>
                <w:szCs w:val="18"/>
              </w:rPr>
              <w:lastRenderedPageBreak/>
              <w:t>teams with substantive posts and dedicated functions (Robert 2011, p1202)</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&lt;EndNote&gt;&lt;Cite&gt;&lt;Author&gt;Robert&lt;/Author&gt;&lt;Year&gt;2011&lt;/Year&gt;&lt;RecNum&gt;25&lt;/RecNum&gt;&lt;DisplayText&gt;(9)&lt;/DisplayText&gt;&lt;record&gt;&lt;rec-number&gt;25&lt;/rec-number&gt;&lt;foreign-keys&gt;&lt;key app="EN" db-id="5rvs2rr9m5pae4e09rpv5z5uxtzxsdz00pes" timestamp="1524578998"&gt;25&lt;/key&gt;&lt;/foreign-keys&gt;&lt;ref-type name="Journal Article"&gt;17&lt;/ref-type&gt;&lt;contributors&gt;&lt;authors&gt;&lt;author&gt;Robert, G.&lt;/author&gt;&lt;author&gt;Morrow, E.&lt;/author&gt;&lt;author&gt;Maben, J.&lt;/author&gt;&lt;author&gt;Griffiths, P.&lt;/author&gt;&lt;author&gt;Callard, L.&lt;/author&gt;&lt;/authors&gt;&lt;/contributors&gt;&lt;auth-address&gt;National Nursing Research Unit, King&amp;apos;s College London, UK. glenn.robert@kcl.ac.uk&lt;/auth-address&gt;&lt;titles&gt;&lt;title&gt;The adoption, local implementation and assimilation into routine nursing practice of a national quality improvement programme: the Productive Ward in England&lt;/title&gt;&lt;secondary-title&gt;J Clin Nurs&lt;/secondary-title&gt;&lt;/titles&gt;&lt;periodical&gt;&lt;full-title&gt;J Clin Nurs&lt;/full-title&gt;&lt;/periodical&gt;&lt;pages&gt;1196-207&lt;/pages&gt;&lt;volume&gt;20&lt;/volume&gt;&lt;number&gt;7-8&lt;/number&gt;&lt;edition&gt;2011/02/16&lt;/edition&gt;&lt;keywords&gt;&lt;keyword&gt;*Diffusion of Innovation&lt;/keyword&gt;&lt;keyword&gt;England&lt;/keyword&gt;&lt;keyword&gt;*Nursing&lt;/keyword&gt;&lt;keyword&gt;*Quality of Health Care&lt;/keyword&gt;&lt;keyword&gt;State Medicine&lt;/keyword&gt;&lt;/keywords&gt;&lt;dates&gt;&lt;year&gt;2011&lt;/year&gt;&lt;pub-dates&gt;&lt;date&gt;Apr&lt;/date&gt;&lt;/pub-dates&gt;&lt;/dates&gt;&lt;isbn&gt;1365-2702 (Electronic)&amp;#xD;0962-1067 (Linking)&lt;/isbn&gt;&lt;accession-num&gt;21320218&lt;/accession-num&gt;&lt;urls&gt;&lt;related-urls&gt;&lt;url&gt;https://www.ncbi.nlm.nih.gov/pubmed/21320218&lt;/url&gt;&lt;/related-urls&gt;&lt;/urls&gt;&lt;electronic-resource-num&gt;10.1111/j.1365-2702.2010.03480.x&lt;/electronic-resource-num&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(9)</w:t>
            </w:r>
            <w:r w:rsidRPr="000B4C36">
              <w:rPr>
                <w:rFonts w:asciiTheme="majorHAnsi" w:hAnsiTheme="majorHAnsi" w:cstheme="majorHAnsi"/>
                <w:sz w:val="18"/>
                <w:szCs w:val="18"/>
              </w:rPr>
              <w:fldChar w:fldCharType="end"/>
            </w:r>
          </w:p>
        </w:tc>
      </w:tr>
      <w:tr w:rsidR="00870329" w:rsidRPr="000B4C36" w14:paraId="4C9D1576" w14:textId="77777777" w:rsidTr="00BC3385">
        <w:tc>
          <w:tcPr>
            <w:tcW w:w="562" w:type="dxa"/>
            <w:vMerge/>
          </w:tcPr>
          <w:p w14:paraId="40D457C6" w14:textId="77777777" w:rsidR="00870329" w:rsidRPr="000B4C36" w:rsidRDefault="00870329" w:rsidP="00BC3385">
            <w:pPr>
              <w:rPr>
                <w:rFonts w:asciiTheme="majorHAnsi" w:hAnsiTheme="majorHAnsi" w:cstheme="majorHAnsi"/>
                <w:sz w:val="18"/>
                <w:szCs w:val="18"/>
              </w:rPr>
            </w:pPr>
          </w:p>
        </w:tc>
        <w:tc>
          <w:tcPr>
            <w:tcW w:w="1560" w:type="dxa"/>
            <w:vAlign w:val="center"/>
          </w:tcPr>
          <w:p w14:paraId="2D381E86" w14:textId="77777777" w:rsidR="00870329" w:rsidRPr="000B4C36" w:rsidRDefault="00870329" w:rsidP="00BC3385">
            <w:pPr>
              <w:rPr>
                <w:rFonts w:asciiTheme="majorHAnsi" w:hAnsiTheme="majorHAnsi" w:cstheme="majorHAnsi"/>
                <w:b/>
                <w:bCs/>
                <w:sz w:val="18"/>
                <w:szCs w:val="18"/>
              </w:rPr>
            </w:pPr>
            <w:r w:rsidRPr="000B4C36">
              <w:rPr>
                <w:rFonts w:asciiTheme="majorHAnsi" w:hAnsiTheme="majorHAnsi" w:cstheme="majorHAnsi"/>
                <w:b/>
                <w:bCs/>
                <w:sz w:val="18"/>
                <w:szCs w:val="18"/>
              </w:rPr>
              <w:t>Workload</w:t>
            </w:r>
          </w:p>
        </w:tc>
        <w:tc>
          <w:tcPr>
            <w:tcW w:w="2693" w:type="dxa"/>
            <w:vAlign w:val="center"/>
          </w:tcPr>
          <w:p w14:paraId="5CF7BB1E" w14:textId="77777777" w:rsidR="00870329" w:rsidRPr="000B4C36" w:rsidRDefault="00870329" w:rsidP="00BC3385">
            <w:pPr>
              <w:pStyle w:val="NormalWeb"/>
              <w:rPr>
                <w:rFonts w:asciiTheme="majorHAnsi" w:hAnsiTheme="majorHAnsi" w:cstheme="majorHAnsi"/>
                <w:sz w:val="18"/>
                <w:szCs w:val="18"/>
              </w:rPr>
            </w:pPr>
            <w:r w:rsidRPr="000B4C36">
              <w:rPr>
                <w:rFonts w:asciiTheme="majorHAnsi" w:hAnsiTheme="majorHAnsi" w:cstheme="majorHAnsi"/>
                <w:sz w:val="18"/>
                <w:szCs w:val="18"/>
              </w:rPr>
              <w:t xml:space="preserve">The added effort and change to workload when a new initiative in implemented. Staff have the necessary time to complete tasks and the initiative has fair divisions of labour and does not require special or extra effort. </w:t>
            </w:r>
          </w:p>
        </w:tc>
        <w:tc>
          <w:tcPr>
            <w:tcW w:w="4536" w:type="dxa"/>
            <w:vAlign w:val="center"/>
          </w:tcPr>
          <w:p w14:paraId="26D24FD5"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Limited sustainability: Challenges to sustainability were discussed by many of the participants, citing issues such as workload, organizational structures, and lack of accountability. (</w:t>
            </w:r>
            <w:proofErr w:type="spellStart"/>
            <w:r w:rsidRPr="000B4C36">
              <w:rPr>
                <w:rFonts w:asciiTheme="majorHAnsi" w:hAnsiTheme="majorHAnsi" w:cstheme="majorHAnsi"/>
                <w:sz w:val="18"/>
                <w:szCs w:val="18"/>
              </w:rPr>
              <w:t>Rotteau</w:t>
            </w:r>
            <w:proofErr w:type="spellEnd"/>
            <w:r w:rsidRPr="000B4C36">
              <w:rPr>
                <w:rFonts w:asciiTheme="majorHAnsi" w:hAnsiTheme="majorHAnsi" w:cstheme="majorHAnsi"/>
                <w:sz w:val="18"/>
                <w:szCs w:val="18"/>
              </w:rPr>
              <w:t xml:space="preserve"> 2015, p726)</w:t>
            </w:r>
            <w:r w:rsidRPr="000B4C36">
              <w:rPr>
                <w:rFonts w:asciiTheme="majorHAnsi" w:hAnsiTheme="majorHAnsi" w:cstheme="majorHAnsi"/>
                <w:sz w:val="18"/>
                <w:szCs w:val="18"/>
              </w:rPr>
              <w:fldChar w:fldCharType="begin">
                <w:fldData xml:space="preserve">PEVuZE5vdGU+PENpdGU+PEF1dGhvcj5Sb3R0ZWF1PC9BdXRob3I+PFllYXI+MjAxNTwvWWVhcj48
UmVjTnVtPjc0PC9SZWNOdW0+PERpc3BsYXlUZXh0PigxMCk8L0Rpc3BsYXlUZXh0PjxyZWNvcmQ+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Pr="000B4C36">
              <w:rPr>
                <w:rFonts w:asciiTheme="majorHAnsi" w:hAnsiTheme="majorHAnsi" w:cstheme="majorHAnsi"/>
                <w:sz w:val="18"/>
                <w:szCs w:val="18"/>
              </w:rPr>
              <w:instrText xml:space="preserve"> ADDIN EN.CITE </w:instrText>
            </w:r>
            <w:r w:rsidRPr="000B4C36">
              <w:rPr>
                <w:rFonts w:asciiTheme="majorHAnsi" w:hAnsiTheme="majorHAnsi" w:cstheme="majorHAnsi"/>
                <w:sz w:val="18"/>
                <w:szCs w:val="18"/>
              </w:rPr>
              <w:fldChar w:fldCharType="begin">
                <w:fldData xml:space="preserve">PEVuZE5vdGU+PENpdGU+PEF1dGhvcj5Sb3R0ZWF1PC9BdXRob3I+PFllYXI+MjAxNTwvWWVhcj48
UmVjTnVtPjc0PC9SZWNOdW0+PERpc3BsYXlUZXh0PigxMCk8L0Rpc3BsYXlUZXh0PjxyZWNvcmQ+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Pr="000B4C36">
              <w:rPr>
                <w:rFonts w:asciiTheme="majorHAnsi" w:hAnsiTheme="majorHAnsi" w:cstheme="majorHAnsi"/>
                <w:sz w:val="18"/>
                <w:szCs w:val="18"/>
              </w:rPr>
              <w:instrText xml:space="preserve"> ADDIN EN.CITE.DATA </w:instrText>
            </w:r>
            <w:r w:rsidRPr="000B4C36">
              <w:rPr>
                <w:rFonts w:asciiTheme="majorHAnsi" w:hAnsiTheme="majorHAnsi" w:cstheme="majorHAnsi"/>
                <w:sz w:val="18"/>
                <w:szCs w:val="18"/>
              </w:rPr>
            </w:r>
            <w:r w:rsidRPr="000B4C36">
              <w:rPr>
                <w:rFonts w:asciiTheme="majorHAnsi" w:hAnsiTheme="majorHAnsi" w:cstheme="majorHAnsi"/>
                <w:sz w:val="18"/>
                <w:szCs w:val="18"/>
              </w:rPr>
              <w:fldChar w:fldCharType="end"/>
            </w:r>
            <w:r w:rsidRPr="000B4C36">
              <w:rPr>
                <w:rFonts w:asciiTheme="majorHAnsi" w:hAnsiTheme="majorHAnsi" w:cstheme="majorHAnsi"/>
                <w:sz w:val="18"/>
                <w:szCs w:val="18"/>
              </w:rPr>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(10)</w:t>
            </w:r>
            <w:r w:rsidRPr="000B4C36">
              <w:rPr>
                <w:rFonts w:asciiTheme="majorHAnsi" w:hAnsiTheme="majorHAnsi" w:cstheme="majorHAnsi"/>
                <w:sz w:val="18"/>
                <w:szCs w:val="18"/>
              </w:rPr>
              <w:fldChar w:fldCharType="end"/>
            </w:r>
          </w:p>
        </w:tc>
        <w:tc>
          <w:tcPr>
            <w:tcW w:w="4599" w:type="dxa"/>
            <w:vAlign w:val="center"/>
          </w:tcPr>
          <w:p w14:paraId="6D4D615D" w14:textId="77777777" w:rsidR="00870329" w:rsidRPr="000B4C36" w:rsidRDefault="00870329" w:rsidP="00BC3385">
            <w:pPr>
              <w:rPr>
                <w:rFonts w:asciiTheme="majorHAnsi" w:hAnsiTheme="majorHAnsi" w:cstheme="majorHAnsi"/>
                <w:sz w:val="18"/>
                <w:szCs w:val="18"/>
              </w:rPr>
            </w:pPr>
            <w:r w:rsidRPr="000B4C36">
              <w:rPr>
                <w:rFonts w:asciiTheme="majorHAnsi" w:hAnsiTheme="majorHAnsi" w:cstheme="majorHAnsi"/>
                <w:sz w:val="18"/>
                <w:szCs w:val="18"/>
              </w:rPr>
              <w:t>The team-based care approach also contributed to the achievement of simple and direct work and patient flows as it connected all care givers involved in a patient's care process. Indeed, some informants argued that the care team approach improved continuity of care as less people were involved in each case. Moreover, as team members were responsible to carry out all the work required to meet the needs of a designated patient, ambiguity was reduced. (</w:t>
            </w:r>
            <w:proofErr w:type="spellStart"/>
            <w:r w:rsidRPr="000B4C36">
              <w:rPr>
                <w:rFonts w:asciiTheme="majorHAnsi" w:hAnsiTheme="majorHAnsi" w:cstheme="majorHAnsi"/>
                <w:sz w:val="18"/>
                <w:szCs w:val="18"/>
              </w:rPr>
              <w:t>Mazzocato</w:t>
            </w:r>
            <w:proofErr w:type="spellEnd"/>
            <w:r w:rsidRPr="000B4C36">
              <w:rPr>
                <w:rFonts w:asciiTheme="majorHAnsi" w:hAnsiTheme="majorHAnsi" w:cstheme="majorHAnsi"/>
                <w:sz w:val="18"/>
                <w:szCs w:val="18"/>
              </w:rPr>
              <w:t xml:space="preserve"> 2012, p10)</w:t>
            </w:r>
            <w:r w:rsidRPr="000B4C36">
              <w:rPr>
                <w:rFonts w:asciiTheme="majorHAnsi" w:hAnsiTheme="majorHAnsi" w:cstheme="majorHAnsi"/>
                <w:sz w:val="18"/>
                <w:szCs w:val="18"/>
              </w:rPr>
              <w:fldChar w:fldCharType="begin"/>
            </w:r>
            <w:r w:rsidRPr="000B4C36">
              <w:rPr>
                <w:rFonts w:asciiTheme="majorHAnsi" w:hAnsiTheme="majorHAnsi" w:cstheme="majorHAnsi"/>
                <w:sz w:val="18"/>
                <w:szCs w:val="18"/>
              </w:rPr>
              <w:instrText xml:space="preserve"> ADDIN EN.CITE &lt;EndNote&gt;&lt;Cite&gt;&lt;Author&gt;Mazzocato&lt;/Author&gt;&lt;Year&gt;2012&lt;/Year&gt;&lt;RecNum&gt;84&lt;/RecNum&gt;&lt;DisplayText&gt;(8)&lt;/DisplayText&gt;&lt;record&gt;&lt;rec-number&gt;84&lt;/rec-number&gt;&lt;foreign-keys&gt;&lt;key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Pr="000B4C36">
              <w:rPr>
                <w:rFonts w:asciiTheme="majorHAnsi" w:hAnsiTheme="majorHAnsi" w:cstheme="majorHAnsi"/>
                <w:sz w:val="18"/>
                <w:szCs w:val="18"/>
              </w:rPr>
              <w:fldChar w:fldCharType="separate"/>
            </w:r>
            <w:r w:rsidRPr="000B4C36">
              <w:rPr>
                <w:rFonts w:asciiTheme="majorHAnsi" w:hAnsiTheme="majorHAnsi" w:cstheme="majorHAnsi"/>
                <w:noProof/>
                <w:sz w:val="18"/>
                <w:szCs w:val="18"/>
              </w:rPr>
              <w:t>(8)</w:t>
            </w:r>
            <w:r w:rsidRPr="000B4C36">
              <w:rPr>
                <w:rFonts w:asciiTheme="majorHAnsi" w:hAnsiTheme="majorHAnsi" w:cstheme="majorHAnsi"/>
                <w:sz w:val="18"/>
                <w:szCs w:val="18"/>
              </w:rPr>
              <w:fldChar w:fldCharType="end"/>
            </w:r>
          </w:p>
        </w:tc>
      </w:tr>
    </w:tbl>
    <w:p w14:paraId="109877B6" w14:textId="77777777" w:rsidR="008123A4" w:rsidRPr="000B4C36" w:rsidRDefault="008123A4">
      <w:pPr>
        <w:rPr>
          <w:rFonts w:asciiTheme="majorHAnsi" w:hAnsiTheme="majorHAnsi" w:cstheme="majorHAnsi"/>
        </w:rPr>
      </w:pPr>
    </w:p>
    <w:p w14:paraId="4ABBFF89" w14:textId="77777777" w:rsidR="008123A4" w:rsidRPr="000B4C36" w:rsidRDefault="008123A4">
      <w:pPr>
        <w:rPr>
          <w:rFonts w:asciiTheme="majorHAnsi" w:hAnsiTheme="majorHAnsi" w:cstheme="majorHAnsi"/>
        </w:rPr>
      </w:pPr>
    </w:p>
    <w:p w14:paraId="2CF31474" w14:textId="77777777" w:rsidR="000B4C36" w:rsidRPr="000B4C36" w:rsidRDefault="008123A4" w:rsidP="000B4C36">
      <w:pPr>
        <w:pStyle w:val="EndNoteBibliographyTitle"/>
        <w:rPr>
          <w:rFonts w:asciiTheme="majorHAnsi" w:hAnsiTheme="majorHAnsi" w:cstheme="majorHAnsi"/>
          <w:b/>
          <w:bCs/>
          <w:noProof/>
        </w:rPr>
      </w:pPr>
      <w:r w:rsidRPr="000B4C36">
        <w:rPr>
          <w:rFonts w:asciiTheme="majorHAnsi" w:hAnsiTheme="majorHAnsi" w:cstheme="majorHAnsi"/>
        </w:rPr>
        <w:fldChar w:fldCharType="begin"/>
      </w:r>
      <w:r w:rsidRPr="000B4C36">
        <w:rPr>
          <w:rFonts w:asciiTheme="majorHAnsi" w:hAnsiTheme="majorHAnsi" w:cstheme="majorHAnsi"/>
        </w:rPr>
        <w:instrText xml:space="preserve"> ADDIN EN.REFLIST </w:instrText>
      </w:r>
      <w:r w:rsidRPr="000B4C36">
        <w:rPr>
          <w:rFonts w:asciiTheme="majorHAnsi" w:hAnsiTheme="majorHAnsi" w:cstheme="majorHAnsi"/>
        </w:rPr>
        <w:fldChar w:fldCharType="separate"/>
      </w:r>
      <w:r w:rsidR="000B4C36" w:rsidRPr="000B4C36">
        <w:rPr>
          <w:rFonts w:asciiTheme="majorHAnsi" w:hAnsiTheme="majorHAnsi" w:cstheme="majorHAnsi"/>
          <w:b/>
          <w:bCs/>
          <w:noProof/>
        </w:rPr>
        <w:t>REFERENCES</w:t>
      </w:r>
    </w:p>
    <w:p w14:paraId="1A8C6007" w14:textId="77777777" w:rsidR="000B4C36" w:rsidRPr="000B4C36" w:rsidRDefault="000B4C36" w:rsidP="000B4C36">
      <w:pPr>
        <w:pStyle w:val="EndNoteBibliographyTitle"/>
        <w:rPr>
          <w:rFonts w:asciiTheme="majorHAnsi" w:hAnsiTheme="majorHAnsi" w:cstheme="majorHAnsi"/>
          <w:noProof/>
        </w:rPr>
      </w:pPr>
    </w:p>
    <w:p w14:paraId="1F1680B2"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1.</w:t>
      </w:r>
      <w:r w:rsidRPr="000B4C36">
        <w:rPr>
          <w:rFonts w:asciiTheme="majorHAnsi" w:hAnsiTheme="majorHAnsi" w:cstheme="majorHAnsi"/>
          <w:noProof/>
        </w:rPr>
        <w:tab/>
        <w:t>Lennox L, Maher L, Reed J. Navigating the sustainability landscape: a systematic review of sustainability approaches in healthcare. Implement Sci. 2018;13(1):27.</w:t>
      </w:r>
    </w:p>
    <w:p w14:paraId="4E456E9B"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2.</w:t>
      </w:r>
      <w:r w:rsidRPr="000B4C36">
        <w:rPr>
          <w:rFonts w:asciiTheme="majorHAnsi" w:hAnsiTheme="majorHAnsi" w:cstheme="majorHAnsi"/>
          <w:noProof/>
        </w:rPr>
        <w:tab/>
        <w:t>Bridges J, May C, Fuller A, Griffiths P, Wigley W, Gould L, et al. Optimising impact and sustainability: a qualitative process evaluation of a complex intervention targeted at compassionate care. BMJ Qual Saf. 2017;26(12):970-7.</w:t>
      </w:r>
    </w:p>
    <w:p w14:paraId="151BD503"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3.</w:t>
      </w:r>
      <w:r w:rsidRPr="000B4C36">
        <w:rPr>
          <w:rFonts w:asciiTheme="majorHAnsi" w:hAnsiTheme="majorHAnsi" w:cstheme="majorHAnsi"/>
          <w:noProof/>
        </w:rPr>
        <w:tab/>
        <w:t>Bernstein E, Topp D, Shaw E, Girard C, Pressman K, Woolcock E, et al. A preliminary report of knowledge translation: lessons from taking screening and brief intervention techniques from the research setting into regional systems of care. Acad Emerg Med. 2009;16(11):1225-33.</w:t>
      </w:r>
    </w:p>
    <w:p w14:paraId="4B48392C"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4.</w:t>
      </w:r>
      <w:r w:rsidRPr="000B4C36">
        <w:rPr>
          <w:rFonts w:asciiTheme="majorHAnsi" w:hAnsiTheme="majorHAnsi" w:cstheme="majorHAnsi"/>
          <w:noProof/>
        </w:rPr>
        <w:tab/>
        <w:t>Matthew-Maich N, Ploeg J, Dobbins M, Jack S. Supporting the Uptake of Nursing Guidelines: what you really need to know to move nursing guidelines into practice. Worldviews Evid Based Nurs. 2013;10(2):104-15.</w:t>
      </w:r>
    </w:p>
    <w:p w14:paraId="5442AC95"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5.</w:t>
      </w:r>
      <w:r w:rsidRPr="000B4C36">
        <w:rPr>
          <w:rFonts w:asciiTheme="majorHAnsi" w:hAnsiTheme="majorHAnsi" w:cstheme="majorHAnsi"/>
          <w:noProof/>
        </w:rPr>
        <w:tab/>
        <w:t>Frykman M, von Thiele Schwarz U, Muntlin Athlin A, Hasson H, Mazzocato P. The work is never ending: uncovering teamwork sustainability using realistic evaluation. J Health Organ Manag. 2017;31(1):64-81.</w:t>
      </w:r>
    </w:p>
    <w:p w14:paraId="2F9DBCB3"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6.</w:t>
      </w:r>
      <w:r w:rsidRPr="000B4C36">
        <w:rPr>
          <w:rFonts w:asciiTheme="majorHAnsi" w:hAnsiTheme="majorHAnsi" w:cstheme="majorHAnsi"/>
          <w:noProof/>
        </w:rPr>
        <w:tab/>
        <w:t>Bhanbhro S, Gee M, Cook S, Marston L, Lean M, Killaspy H. Recovery-based staff training intervention within mental health rehabilitation units: a two-stage analysis using realistic evaluation principles and framework approach. BMC Psychiatry. 2016;16:292.</w:t>
      </w:r>
    </w:p>
    <w:p w14:paraId="4FFAB8AB"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7.</w:t>
      </w:r>
      <w:r w:rsidRPr="000B4C36">
        <w:rPr>
          <w:rFonts w:asciiTheme="majorHAnsi" w:hAnsiTheme="majorHAnsi" w:cstheme="majorHAnsi"/>
          <w:noProof/>
        </w:rPr>
        <w:tab/>
        <w:t>Green SA, Bell D, Mays N. Identification of factors that support successful implementation of care bundles in the acute medical setting: a qualitative study. BMC Health Serv Res. 2017;17(1):120.</w:t>
      </w:r>
    </w:p>
    <w:p w14:paraId="7750875C"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8.</w:t>
      </w:r>
      <w:r w:rsidRPr="000B4C36">
        <w:rPr>
          <w:rFonts w:asciiTheme="majorHAnsi" w:hAnsiTheme="majorHAnsi" w:cstheme="majorHAnsi"/>
          <w:noProof/>
        </w:rPr>
        <w:tab/>
        <w:t>Mazzocato PH, R. J.;Brommels, M.;Aronsson, H.;Backman, U.;Elg, M.;Thor, J. How does lean work in emergency care? A case study of a lean-inspired intervention at the Astrid Lindgren Children's hospital, Stockholm, Sweden. BMC health services research. 2012;12:28.</w:t>
      </w:r>
    </w:p>
    <w:p w14:paraId="529614EA"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lastRenderedPageBreak/>
        <w:t>9.</w:t>
      </w:r>
      <w:r w:rsidRPr="000B4C36">
        <w:rPr>
          <w:rFonts w:asciiTheme="majorHAnsi" w:hAnsiTheme="majorHAnsi" w:cstheme="majorHAnsi"/>
          <w:noProof/>
        </w:rPr>
        <w:tab/>
        <w:t>Robert G, Morrow E, Maben J, Griffiths P, Callard L. The adoption, local implementation and assimilation into routine nursing practice of a national quality improvement programme: the Productive Ward in England. J Clin Nurs. 2011;20(7-8):1196-207.</w:t>
      </w:r>
    </w:p>
    <w:p w14:paraId="29B44374" w14:textId="77777777" w:rsidR="000B4C36" w:rsidRPr="000B4C36" w:rsidRDefault="000B4C36" w:rsidP="000B4C36">
      <w:pPr>
        <w:pStyle w:val="EndNoteBibliography"/>
        <w:rPr>
          <w:rFonts w:asciiTheme="majorHAnsi" w:hAnsiTheme="majorHAnsi" w:cstheme="majorHAnsi"/>
          <w:noProof/>
        </w:rPr>
      </w:pPr>
      <w:r w:rsidRPr="000B4C36">
        <w:rPr>
          <w:rFonts w:asciiTheme="majorHAnsi" w:hAnsiTheme="majorHAnsi" w:cstheme="majorHAnsi"/>
          <w:noProof/>
        </w:rPr>
        <w:t>10.</w:t>
      </w:r>
      <w:r w:rsidRPr="000B4C36">
        <w:rPr>
          <w:rFonts w:asciiTheme="majorHAnsi" w:hAnsiTheme="majorHAnsi" w:cstheme="majorHAnsi"/>
          <w:noProof/>
        </w:rPr>
        <w:tab/>
        <w:t>Rotteau L, Webster F, Salkeld E, Hellings C, Guttmann A, Vermeulen MJ, et al. Ontario's emergency department process improvement program: the experience of implementation. Acad Emerg Med. 2015;22(6):720-9.</w:t>
      </w:r>
    </w:p>
    <w:p w14:paraId="7594C1AD" w14:textId="62AD3417" w:rsidR="00FA3E92" w:rsidRPr="000B4C36" w:rsidRDefault="008123A4">
      <w:pPr>
        <w:rPr>
          <w:rFonts w:asciiTheme="majorHAnsi" w:hAnsiTheme="majorHAnsi" w:cstheme="majorHAnsi"/>
        </w:rPr>
      </w:pPr>
      <w:r w:rsidRPr="000B4C36">
        <w:rPr>
          <w:rFonts w:asciiTheme="majorHAnsi" w:hAnsiTheme="majorHAnsi" w:cstheme="majorHAnsi"/>
        </w:rPr>
        <w:fldChar w:fldCharType="end"/>
      </w:r>
    </w:p>
    <w:sectPr w:rsidR="00FA3E92" w:rsidRPr="000B4C36" w:rsidSect="00432A32">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0000000000000000000"/>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4&lt;/item&gt;&lt;item&gt;25&lt;/item&gt;&lt;item&gt;55&lt;/item&gt;&lt;item&gt;67&lt;/item&gt;&lt;item&gt;70&lt;/item&gt;&lt;item&gt;74&lt;/item&gt;&lt;item&gt;77&lt;/item&gt;&lt;item&gt;78&lt;/item&gt;&lt;item&gt;84&lt;/item&gt;&lt;item&gt;101&lt;/item&gt;&lt;/record-ids&gt;&lt;/item&gt;&lt;/Libraries&gt;"/>
  </w:docVars>
  <w:rsids>
    <w:rsidRoot w:val="001E3D26"/>
    <w:rsid w:val="00046FF0"/>
    <w:rsid w:val="000A2BDC"/>
    <w:rsid w:val="000B4C36"/>
    <w:rsid w:val="000D6A7F"/>
    <w:rsid w:val="00152A5C"/>
    <w:rsid w:val="001740B9"/>
    <w:rsid w:val="001E3D26"/>
    <w:rsid w:val="00234879"/>
    <w:rsid w:val="002B37CC"/>
    <w:rsid w:val="002F66AF"/>
    <w:rsid w:val="003B340F"/>
    <w:rsid w:val="00400AF5"/>
    <w:rsid w:val="00405863"/>
    <w:rsid w:val="00710B61"/>
    <w:rsid w:val="007E5990"/>
    <w:rsid w:val="00805224"/>
    <w:rsid w:val="008123A4"/>
    <w:rsid w:val="008474E5"/>
    <w:rsid w:val="00870329"/>
    <w:rsid w:val="00874482"/>
    <w:rsid w:val="008A62B6"/>
    <w:rsid w:val="00922104"/>
    <w:rsid w:val="00AB4E02"/>
    <w:rsid w:val="00AE0199"/>
    <w:rsid w:val="00BB2BA4"/>
    <w:rsid w:val="00C05529"/>
    <w:rsid w:val="00C54BCA"/>
    <w:rsid w:val="00C94C14"/>
    <w:rsid w:val="00CF68E5"/>
    <w:rsid w:val="00D569AF"/>
    <w:rsid w:val="00EC6A9C"/>
    <w:rsid w:val="00F8251C"/>
    <w:rsid w:val="00FA3E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F46D"/>
  <w15:chartTrackingRefBased/>
  <w15:docId w15:val="{8E684DB1-95E3-1B49-A9CD-7DAB4C38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9AF"/>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2104"/>
    <w:pPr>
      <w:spacing w:before="100" w:beforeAutospacing="1" w:after="100" w:afterAutospacing="1"/>
    </w:pPr>
  </w:style>
  <w:style w:type="paragraph" w:customStyle="1" w:styleId="EndNoteBibliographyTitle">
    <w:name w:val="EndNote Bibliography Title"/>
    <w:basedOn w:val="Normal"/>
    <w:link w:val="EndNoteBibliographyTitleChar"/>
    <w:rsid w:val="008123A4"/>
    <w:pPr>
      <w:jc w:val="center"/>
    </w:pPr>
    <w:rPr>
      <w:rFonts w:ascii="Calibri" w:eastAsiaTheme="minorEastAsia" w:hAnsi="Calibri" w:cs="Calibri"/>
      <w:lang w:eastAsia="zh-CN"/>
    </w:rPr>
  </w:style>
  <w:style w:type="character" w:customStyle="1" w:styleId="EndNoteBibliographyTitleChar">
    <w:name w:val="EndNote Bibliography Title Char"/>
    <w:basedOn w:val="DefaultParagraphFont"/>
    <w:link w:val="EndNoteBibliographyTitle"/>
    <w:rsid w:val="008123A4"/>
    <w:rPr>
      <w:rFonts w:ascii="Calibri" w:hAnsi="Calibri" w:cs="Calibri"/>
    </w:rPr>
  </w:style>
  <w:style w:type="paragraph" w:customStyle="1" w:styleId="EndNoteBibliography">
    <w:name w:val="EndNote Bibliography"/>
    <w:basedOn w:val="Normal"/>
    <w:link w:val="EndNoteBibliographyChar"/>
    <w:rsid w:val="008123A4"/>
    <w:rPr>
      <w:rFonts w:ascii="Calibri" w:eastAsiaTheme="minorEastAsia" w:hAnsi="Calibri" w:cs="Calibri"/>
      <w:lang w:eastAsia="zh-CN"/>
    </w:rPr>
  </w:style>
  <w:style w:type="character" w:customStyle="1" w:styleId="EndNoteBibliographyChar">
    <w:name w:val="EndNote Bibliography Char"/>
    <w:basedOn w:val="DefaultParagraphFont"/>
    <w:link w:val="EndNoteBibliography"/>
    <w:rsid w:val="008123A4"/>
    <w:rPr>
      <w:rFonts w:ascii="Calibri" w:hAnsi="Calibri" w:cs="Calibri"/>
    </w:rPr>
  </w:style>
  <w:style w:type="paragraph" w:styleId="BalloonText">
    <w:name w:val="Balloon Text"/>
    <w:basedOn w:val="Normal"/>
    <w:link w:val="BalloonTextChar"/>
    <w:uiPriority w:val="99"/>
    <w:semiHidden/>
    <w:unhideWhenUsed/>
    <w:rsid w:val="003B340F"/>
    <w:rPr>
      <w:sz w:val="18"/>
      <w:szCs w:val="18"/>
    </w:rPr>
  </w:style>
  <w:style w:type="character" w:customStyle="1" w:styleId="BalloonTextChar">
    <w:name w:val="Balloon Text Char"/>
    <w:basedOn w:val="DefaultParagraphFont"/>
    <w:link w:val="BalloonText"/>
    <w:uiPriority w:val="99"/>
    <w:semiHidden/>
    <w:rsid w:val="003B340F"/>
    <w:rPr>
      <w:rFonts w:ascii="Times New Roman" w:eastAsia="Times New Roman"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90123">
      <w:bodyDiv w:val="1"/>
      <w:marLeft w:val="0"/>
      <w:marRight w:val="0"/>
      <w:marTop w:val="0"/>
      <w:marBottom w:val="0"/>
      <w:divBdr>
        <w:top w:val="none" w:sz="0" w:space="0" w:color="auto"/>
        <w:left w:val="none" w:sz="0" w:space="0" w:color="auto"/>
        <w:bottom w:val="none" w:sz="0" w:space="0" w:color="auto"/>
        <w:right w:val="none" w:sz="0" w:space="0" w:color="auto"/>
      </w:divBdr>
      <w:divsChild>
        <w:div w:id="1281181374">
          <w:marLeft w:val="0"/>
          <w:marRight w:val="0"/>
          <w:marTop w:val="0"/>
          <w:marBottom w:val="0"/>
          <w:divBdr>
            <w:top w:val="none" w:sz="0" w:space="0" w:color="auto"/>
            <w:left w:val="none" w:sz="0" w:space="0" w:color="auto"/>
            <w:bottom w:val="none" w:sz="0" w:space="0" w:color="auto"/>
            <w:right w:val="none" w:sz="0" w:space="0" w:color="auto"/>
          </w:divBdr>
          <w:divsChild>
            <w:div w:id="1819766166">
              <w:marLeft w:val="0"/>
              <w:marRight w:val="0"/>
              <w:marTop w:val="0"/>
              <w:marBottom w:val="0"/>
              <w:divBdr>
                <w:top w:val="none" w:sz="0" w:space="0" w:color="auto"/>
                <w:left w:val="none" w:sz="0" w:space="0" w:color="auto"/>
                <w:bottom w:val="none" w:sz="0" w:space="0" w:color="auto"/>
                <w:right w:val="none" w:sz="0" w:space="0" w:color="auto"/>
              </w:divBdr>
              <w:divsChild>
                <w:div w:id="403184995">
                  <w:marLeft w:val="0"/>
                  <w:marRight w:val="0"/>
                  <w:marTop w:val="0"/>
                  <w:marBottom w:val="0"/>
                  <w:divBdr>
                    <w:top w:val="none" w:sz="0" w:space="0" w:color="auto"/>
                    <w:left w:val="none" w:sz="0" w:space="0" w:color="auto"/>
                    <w:bottom w:val="none" w:sz="0" w:space="0" w:color="auto"/>
                    <w:right w:val="none" w:sz="0" w:space="0" w:color="auto"/>
                  </w:divBdr>
                  <w:divsChild>
                    <w:div w:id="13980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316394">
      <w:bodyDiv w:val="1"/>
      <w:marLeft w:val="0"/>
      <w:marRight w:val="0"/>
      <w:marTop w:val="0"/>
      <w:marBottom w:val="0"/>
      <w:divBdr>
        <w:top w:val="none" w:sz="0" w:space="0" w:color="auto"/>
        <w:left w:val="none" w:sz="0" w:space="0" w:color="auto"/>
        <w:bottom w:val="none" w:sz="0" w:space="0" w:color="auto"/>
        <w:right w:val="none" w:sz="0" w:space="0" w:color="auto"/>
      </w:divBdr>
    </w:div>
    <w:div w:id="789711097">
      <w:bodyDiv w:val="1"/>
      <w:marLeft w:val="0"/>
      <w:marRight w:val="0"/>
      <w:marTop w:val="0"/>
      <w:marBottom w:val="0"/>
      <w:divBdr>
        <w:top w:val="none" w:sz="0" w:space="0" w:color="auto"/>
        <w:left w:val="none" w:sz="0" w:space="0" w:color="auto"/>
        <w:bottom w:val="none" w:sz="0" w:space="0" w:color="auto"/>
        <w:right w:val="none" w:sz="0" w:space="0" w:color="auto"/>
      </w:divBdr>
      <w:divsChild>
        <w:div w:id="220024078">
          <w:marLeft w:val="0"/>
          <w:marRight w:val="0"/>
          <w:marTop w:val="0"/>
          <w:marBottom w:val="0"/>
          <w:divBdr>
            <w:top w:val="none" w:sz="0" w:space="0" w:color="auto"/>
            <w:left w:val="none" w:sz="0" w:space="0" w:color="auto"/>
            <w:bottom w:val="none" w:sz="0" w:space="0" w:color="auto"/>
            <w:right w:val="none" w:sz="0" w:space="0" w:color="auto"/>
          </w:divBdr>
          <w:divsChild>
            <w:div w:id="1130853995">
              <w:marLeft w:val="0"/>
              <w:marRight w:val="0"/>
              <w:marTop w:val="0"/>
              <w:marBottom w:val="0"/>
              <w:divBdr>
                <w:top w:val="none" w:sz="0" w:space="0" w:color="auto"/>
                <w:left w:val="none" w:sz="0" w:space="0" w:color="auto"/>
                <w:bottom w:val="none" w:sz="0" w:space="0" w:color="auto"/>
                <w:right w:val="none" w:sz="0" w:space="0" w:color="auto"/>
              </w:divBdr>
              <w:divsChild>
                <w:div w:id="716588542">
                  <w:marLeft w:val="0"/>
                  <w:marRight w:val="0"/>
                  <w:marTop w:val="0"/>
                  <w:marBottom w:val="0"/>
                  <w:divBdr>
                    <w:top w:val="none" w:sz="0" w:space="0" w:color="auto"/>
                    <w:left w:val="none" w:sz="0" w:space="0" w:color="auto"/>
                    <w:bottom w:val="none" w:sz="0" w:space="0" w:color="auto"/>
                    <w:right w:val="none" w:sz="0" w:space="0" w:color="auto"/>
                  </w:divBdr>
                  <w:divsChild>
                    <w:div w:id="8002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1593">
      <w:bodyDiv w:val="1"/>
      <w:marLeft w:val="0"/>
      <w:marRight w:val="0"/>
      <w:marTop w:val="0"/>
      <w:marBottom w:val="0"/>
      <w:divBdr>
        <w:top w:val="none" w:sz="0" w:space="0" w:color="auto"/>
        <w:left w:val="none" w:sz="0" w:space="0" w:color="auto"/>
        <w:bottom w:val="none" w:sz="0" w:space="0" w:color="auto"/>
        <w:right w:val="none" w:sz="0" w:space="0" w:color="auto"/>
      </w:divBdr>
      <w:divsChild>
        <w:div w:id="2025476827">
          <w:marLeft w:val="0"/>
          <w:marRight w:val="0"/>
          <w:marTop w:val="0"/>
          <w:marBottom w:val="0"/>
          <w:divBdr>
            <w:top w:val="none" w:sz="0" w:space="0" w:color="auto"/>
            <w:left w:val="none" w:sz="0" w:space="0" w:color="auto"/>
            <w:bottom w:val="none" w:sz="0" w:space="0" w:color="auto"/>
            <w:right w:val="none" w:sz="0" w:space="0" w:color="auto"/>
          </w:divBdr>
          <w:divsChild>
            <w:div w:id="545919537">
              <w:marLeft w:val="0"/>
              <w:marRight w:val="0"/>
              <w:marTop w:val="0"/>
              <w:marBottom w:val="0"/>
              <w:divBdr>
                <w:top w:val="none" w:sz="0" w:space="0" w:color="auto"/>
                <w:left w:val="none" w:sz="0" w:space="0" w:color="auto"/>
                <w:bottom w:val="none" w:sz="0" w:space="0" w:color="auto"/>
                <w:right w:val="none" w:sz="0" w:space="0" w:color="auto"/>
              </w:divBdr>
              <w:divsChild>
                <w:div w:id="1735396360">
                  <w:marLeft w:val="0"/>
                  <w:marRight w:val="0"/>
                  <w:marTop w:val="0"/>
                  <w:marBottom w:val="0"/>
                  <w:divBdr>
                    <w:top w:val="none" w:sz="0" w:space="0" w:color="auto"/>
                    <w:left w:val="none" w:sz="0" w:space="0" w:color="auto"/>
                    <w:bottom w:val="none" w:sz="0" w:space="0" w:color="auto"/>
                    <w:right w:val="none" w:sz="0" w:space="0" w:color="auto"/>
                  </w:divBdr>
                  <w:divsChild>
                    <w:div w:id="7601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107007">
      <w:bodyDiv w:val="1"/>
      <w:marLeft w:val="0"/>
      <w:marRight w:val="0"/>
      <w:marTop w:val="0"/>
      <w:marBottom w:val="0"/>
      <w:divBdr>
        <w:top w:val="none" w:sz="0" w:space="0" w:color="auto"/>
        <w:left w:val="none" w:sz="0" w:space="0" w:color="auto"/>
        <w:bottom w:val="none" w:sz="0" w:space="0" w:color="auto"/>
        <w:right w:val="none" w:sz="0" w:space="0" w:color="auto"/>
      </w:divBdr>
      <w:divsChild>
        <w:div w:id="2119137761">
          <w:marLeft w:val="0"/>
          <w:marRight w:val="0"/>
          <w:marTop w:val="0"/>
          <w:marBottom w:val="0"/>
          <w:divBdr>
            <w:top w:val="none" w:sz="0" w:space="0" w:color="auto"/>
            <w:left w:val="none" w:sz="0" w:space="0" w:color="auto"/>
            <w:bottom w:val="none" w:sz="0" w:space="0" w:color="auto"/>
            <w:right w:val="none" w:sz="0" w:space="0" w:color="auto"/>
          </w:divBdr>
          <w:divsChild>
            <w:div w:id="606960195">
              <w:marLeft w:val="0"/>
              <w:marRight w:val="0"/>
              <w:marTop w:val="0"/>
              <w:marBottom w:val="0"/>
              <w:divBdr>
                <w:top w:val="none" w:sz="0" w:space="0" w:color="auto"/>
                <w:left w:val="none" w:sz="0" w:space="0" w:color="auto"/>
                <w:bottom w:val="none" w:sz="0" w:space="0" w:color="auto"/>
                <w:right w:val="none" w:sz="0" w:space="0" w:color="auto"/>
              </w:divBdr>
              <w:divsChild>
                <w:div w:id="1798333077">
                  <w:marLeft w:val="0"/>
                  <w:marRight w:val="0"/>
                  <w:marTop w:val="0"/>
                  <w:marBottom w:val="0"/>
                  <w:divBdr>
                    <w:top w:val="none" w:sz="0" w:space="0" w:color="auto"/>
                    <w:left w:val="none" w:sz="0" w:space="0" w:color="auto"/>
                    <w:bottom w:val="none" w:sz="0" w:space="0" w:color="auto"/>
                    <w:right w:val="none" w:sz="0" w:space="0" w:color="auto"/>
                  </w:divBdr>
                  <w:divsChild>
                    <w:div w:id="12607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98518">
      <w:bodyDiv w:val="1"/>
      <w:marLeft w:val="0"/>
      <w:marRight w:val="0"/>
      <w:marTop w:val="0"/>
      <w:marBottom w:val="0"/>
      <w:divBdr>
        <w:top w:val="none" w:sz="0" w:space="0" w:color="auto"/>
        <w:left w:val="none" w:sz="0" w:space="0" w:color="auto"/>
        <w:bottom w:val="none" w:sz="0" w:space="0" w:color="auto"/>
        <w:right w:val="none" w:sz="0" w:space="0" w:color="auto"/>
      </w:divBdr>
      <w:divsChild>
        <w:div w:id="1487672063">
          <w:marLeft w:val="0"/>
          <w:marRight w:val="0"/>
          <w:marTop w:val="0"/>
          <w:marBottom w:val="0"/>
          <w:divBdr>
            <w:top w:val="none" w:sz="0" w:space="0" w:color="auto"/>
            <w:left w:val="none" w:sz="0" w:space="0" w:color="auto"/>
            <w:bottom w:val="none" w:sz="0" w:space="0" w:color="auto"/>
            <w:right w:val="none" w:sz="0" w:space="0" w:color="auto"/>
          </w:divBdr>
          <w:divsChild>
            <w:div w:id="563877158">
              <w:marLeft w:val="0"/>
              <w:marRight w:val="0"/>
              <w:marTop w:val="0"/>
              <w:marBottom w:val="0"/>
              <w:divBdr>
                <w:top w:val="none" w:sz="0" w:space="0" w:color="auto"/>
                <w:left w:val="none" w:sz="0" w:space="0" w:color="auto"/>
                <w:bottom w:val="none" w:sz="0" w:space="0" w:color="auto"/>
                <w:right w:val="none" w:sz="0" w:space="0" w:color="auto"/>
              </w:divBdr>
              <w:divsChild>
                <w:div w:id="1111627748">
                  <w:marLeft w:val="0"/>
                  <w:marRight w:val="0"/>
                  <w:marTop w:val="0"/>
                  <w:marBottom w:val="0"/>
                  <w:divBdr>
                    <w:top w:val="none" w:sz="0" w:space="0" w:color="auto"/>
                    <w:left w:val="none" w:sz="0" w:space="0" w:color="auto"/>
                    <w:bottom w:val="none" w:sz="0" w:space="0" w:color="auto"/>
                    <w:right w:val="none" w:sz="0" w:space="0" w:color="auto"/>
                  </w:divBdr>
                  <w:divsChild>
                    <w:div w:id="13060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21493">
      <w:bodyDiv w:val="1"/>
      <w:marLeft w:val="0"/>
      <w:marRight w:val="0"/>
      <w:marTop w:val="0"/>
      <w:marBottom w:val="0"/>
      <w:divBdr>
        <w:top w:val="none" w:sz="0" w:space="0" w:color="auto"/>
        <w:left w:val="none" w:sz="0" w:space="0" w:color="auto"/>
        <w:bottom w:val="none" w:sz="0" w:space="0" w:color="auto"/>
        <w:right w:val="none" w:sz="0" w:space="0" w:color="auto"/>
      </w:divBdr>
      <w:divsChild>
        <w:div w:id="1142308253">
          <w:marLeft w:val="0"/>
          <w:marRight w:val="0"/>
          <w:marTop w:val="0"/>
          <w:marBottom w:val="0"/>
          <w:divBdr>
            <w:top w:val="none" w:sz="0" w:space="0" w:color="auto"/>
            <w:left w:val="none" w:sz="0" w:space="0" w:color="auto"/>
            <w:bottom w:val="none" w:sz="0" w:space="0" w:color="auto"/>
            <w:right w:val="none" w:sz="0" w:space="0" w:color="auto"/>
          </w:divBdr>
          <w:divsChild>
            <w:div w:id="1843203775">
              <w:marLeft w:val="0"/>
              <w:marRight w:val="0"/>
              <w:marTop w:val="0"/>
              <w:marBottom w:val="0"/>
              <w:divBdr>
                <w:top w:val="none" w:sz="0" w:space="0" w:color="auto"/>
                <w:left w:val="none" w:sz="0" w:space="0" w:color="auto"/>
                <w:bottom w:val="none" w:sz="0" w:space="0" w:color="auto"/>
                <w:right w:val="none" w:sz="0" w:space="0" w:color="auto"/>
              </w:divBdr>
              <w:divsChild>
                <w:div w:id="619996997">
                  <w:marLeft w:val="0"/>
                  <w:marRight w:val="0"/>
                  <w:marTop w:val="0"/>
                  <w:marBottom w:val="0"/>
                  <w:divBdr>
                    <w:top w:val="none" w:sz="0" w:space="0" w:color="auto"/>
                    <w:left w:val="none" w:sz="0" w:space="0" w:color="auto"/>
                    <w:bottom w:val="none" w:sz="0" w:space="0" w:color="auto"/>
                    <w:right w:val="none" w:sz="0" w:space="0" w:color="auto"/>
                  </w:divBdr>
                  <w:divsChild>
                    <w:div w:id="6501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766954">
      <w:bodyDiv w:val="1"/>
      <w:marLeft w:val="0"/>
      <w:marRight w:val="0"/>
      <w:marTop w:val="0"/>
      <w:marBottom w:val="0"/>
      <w:divBdr>
        <w:top w:val="none" w:sz="0" w:space="0" w:color="auto"/>
        <w:left w:val="none" w:sz="0" w:space="0" w:color="auto"/>
        <w:bottom w:val="none" w:sz="0" w:space="0" w:color="auto"/>
        <w:right w:val="none" w:sz="0" w:space="0" w:color="auto"/>
      </w:divBdr>
      <w:divsChild>
        <w:div w:id="1914075334">
          <w:marLeft w:val="0"/>
          <w:marRight w:val="0"/>
          <w:marTop w:val="0"/>
          <w:marBottom w:val="0"/>
          <w:divBdr>
            <w:top w:val="none" w:sz="0" w:space="0" w:color="auto"/>
            <w:left w:val="none" w:sz="0" w:space="0" w:color="auto"/>
            <w:bottom w:val="none" w:sz="0" w:space="0" w:color="auto"/>
            <w:right w:val="none" w:sz="0" w:space="0" w:color="auto"/>
          </w:divBdr>
          <w:divsChild>
            <w:div w:id="600265096">
              <w:marLeft w:val="0"/>
              <w:marRight w:val="0"/>
              <w:marTop w:val="0"/>
              <w:marBottom w:val="0"/>
              <w:divBdr>
                <w:top w:val="none" w:sz="0" w:space="0" w:color="auto"/>
                <w:left w:val="none" w:sz="0" w:space="0" w:color="auto"/>
                <w:bottom w:val="none" w:sz="0" w:space="0" w:color="auto"/>
                <w:right w:val="none" w:sz="0" w:space="0" w:color="auto"/>
              </w:divBdr>
              <w:divsChild>
                <w:div w:id="1608000392">
                  <w:marLeft w:val="0"/>
                  <w:marRight w:val="0"/>
                  <w:marTop w:val="0"/>
                  <w:marBottom w:val="0"/>
                  <w:divBdr>
                    <w:top w:val="none" w:sz="0" w:space="0" w:color="auto"/>
                    <w:left w:val="none" w:sz="0" w:space="0" w:color="auto"/>
                    <w:bottom w:val="none" w:sz="0" w:space="0" w:color="auto"/>
                    <w:right w:val="none" w:sz="0" w:space="0" w:color="auto"/>
                  </w:divBdr>
                  <w:divsChild>
                    <w:div w:id="236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72820">
      <w:bodyDiv w:val="1"/>
      <w:marLeft w:val="0"/>
      <w:marRight w:val="0"/>
      <w:marTop w:val="0"/>
      <w:marBottom w:val="0"/>
      <w:divBdr>
        <w:top w:val="none" w:sz="0" w:space="0" w:color="auto"/>
        <w:left w:val="none" w:sz="0" w:space="0" w:color="auto"/>
        <w:bottom w:val="none" w:sz="0" w:space="0" w:color="auto"/>
        <w:right w:val="none" w:sz="0" w:space="0" w:color="auto"/>
      </w:divBdr>
      <w:divsChild>
        <w:div w:id="129715398">
          <w:marLeft w:val="0"/>
          <w:marRight w:val="0"/>
          <w:marTop w:val="0"/>
          <w:marBottom w:val="0"/>
          <w:divBdr>
            <w:top w:val="none" w:sz="0" w:space="0" w:color="auto"/>
            <w:left w:val="none" w:sz="0" w:space="0" w:color="auto"/>
            <w:bottom w:val="none" w:sz="0" w:space="0" w:color="auto"/>
            <w:right w:val="none" w:sz="0" w:space="0" w:color="auto"/>
          </w:divBdr>
          <w:divsChild>
            <w:div w:id="1352990803">
              <w:marLeft w:val="0"/>
              <w:marRight w:val="0"/>
              <w:marTop w:val="0"/>
              <w:marBottom w:val="0"/>
              <w:divBdr>
                <w:top w:val="none" w:sz="0" w:space="0" w:color="auto"/>
                <w:left w:val="none" w:sz="0" w:space="0" w:color="auto"/>
                <w:bottom w:val="none" w:sz="0" w:space="0" w:color="auto"/>
                <w:right w:val="none" w:sz="0" w:space="0" w:color="auto"/>
              </w:divBdr>
              <w:divsChild>
                <w:div w:id="337120189">
                  <w:marLeft w:val="0"/>
                  <w:marRight w:val="0"/>
                  <w:marTop w:val="0"/>
                  <w:marBottom w:val="0"/>
                  <w:divBdr>
                    <w:top w:val="none" w:sz="0" w:space="0" w:color="auto"/>
                    <w:left w:val="none" w:sz="0" w:space="0" w:color="auto"/>
                    <w:bottom w:val="none" w:sz="0" w:space="0" w:color="auto"/>
                    <w:right w:val="none" w:sz="0" w:space="0" w:color="auto"/>
                  </w:divBdr>
                  <w:divsChild>
                    <w:div w:id="138459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65E21-BA36-4578-969F-EB44A9738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3249</Words>
  <Characters>18523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Cowie, Julie</cp:lastModifiedBy>
  <cp:revision>7</cp:revision>
  <dcterms:created xsi:type="dcterms:W3CDTF">2019-11-25T13:02:00Z</dcterms:created>
  <dcterms:modified xsi:type="dcterms:W3CDTF">2020-01-03T13:38:00Z</dcterms:modified>
</cp:coreProperties>
</file>