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F660D" w14:textId="52141E16" w:rsidR="00C970CF" w:rsidRDefault="00487079" w:rsidP="00C970CF">
      <w:pPr>
        <w:pStyle w:val="Heading2"/>
      </w:pPr>
      <w:r>
        <w:t xml:space="preserve">Annex A: </w:t>
      </w:r>
      <w:r w:rsidR="00C970CF">
        <w:t xml:space="preserve"> Characteristics of Syrian refugees and their health care entitlements in the study countries</w:t>
      </w:r>
    </w:p>
    <w:p w14:paraId="68D31066" w14:textId="77777777" w:rsidR="00C970CF" w:rsidRPr="00C970CF" w:rsidRDefault="00C970CF" w:rsidP="00C970CF"/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4111"/>
        <w:gridCol w:w="4488"/>
        <w:gridCol w:w="3308"/>
      </w:tblGrid>
      <w:tr w:rsidR="00C970CF" w:rsidRPr="00D24C8D" w14:paraId="486BA20C" w14:textId="77777777" w:rsidTr="004F4236">
        <w:trPr>
          <w:trHeight w:val="619"/>
        </w:trPr>
        <w:tc>
          <w:tcPr>
            <w:tcW w:w="2269" w:type="dxa"/>
            <w:shd w:val="clear" w:color="auto" w:fill="auto"/>
            <w:vAlign w:val="center"/>
            <w:hideMark/>
          </w:tcPr>
          <w:p w14:paraId="321ADA1D" w14:textId="77777777" w:rsidR="00C970CF" w:rsidRPr="00D24C8D" w:rsidRDefault="00C970CF" w:rsidP="004F4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4B2E58C3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24C8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Turkey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C0FFC98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24C8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The Netherlands</w:t>
            </w:r>
          </w:p>
        </w:tc>
        <w:tc>
          <w:tcPr>
            <w:tcW w:w="3308" w:type="dxa"/>
            <w:shd w:val="clear" w:color="auto" w:fill="auto"/>
            <w:vAlign w:val="center"/>
            <w:hideMark/>
          </w:tcPr>
          <w:p w14:paraId="1C5A1F33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24C8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Lebanon</w:t>
            </w:r>
          </w:p>
        </w:tc>
      </w:tr>
      <w:tr w:rsidR="00C970CF" w:rsidRPr="00D24C8D" w14:paraId="2009C223" w14:textId="77777777" w:rsidTr="004F4236">
        <w:trPr>
          <w:trHeight w:val="619"/>
        </w:trPr>
        <w:tc>
          <w:tcPr>
            <w:tcW w:w="2269" w:type="dxa"/>
            <w:shd w:val="clear" w:color="auto" w:fill="auto"/>
            <w:hideMark/>
          </w:tcPr>
          <w:p w14:paraId="64347AE0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Number of Syrian refugees/asylum seekers</w:t>
            </w:r>
          </w:p>
        </w:tc>
        <w:tc>
          <w:tcPr>
            <w:tcW w:w="4111" w:type="dxa"/>
            <w:shd w:val="clear" w:color="auto" w:fill="auto"/>
            <w:hideMark/>
          </w:tcPr>
          <w:p w14:paraId="4C5ADF62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3.587.566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registered with the Turkish government.</w:t>
            </w:r>
          </w:p>
        </w:tc>
        <w:tc>
          <w:tcPr>
            <w:tcW w:w="4488" w:type="dxa"/>
            <w:shd w:val="clear" w:color="auto" w:fill="auto"/>
            <w:hideMark/>
          </w:tcPr>
          <w:p w14:paraId="55387DAE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Between April 2011 and June 2017, 33,897 Syrians sought asylum in the Netherlands.</w:t>
            </w:r>
          </w:p>
        </w:tc>
        <w:tc>
          <w:tcPr>
            <w:tcW w:w="3308" w:type="dxa"/>
            <w:shd w:val="clear" w:color="auto" w:fill="auto"/>
            <w:hideMark/>
          </w:tcPr>
          <w:p w14:paraId="733A5632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914,648 registered with the UNHCR, 1,500,000 estimate</w:t>
            </w:r>
          </w:p>
        </w:tc>
      </w:tr>
      <w:tr w:rsidR="00C970CF" w:rsidRPr="00D24C8D" w14:paraId="4C94A632" w14:textId="77777777" w:rsidTr="004F4236">
        <w:trPr>
          <w:trHeight w:val="619"/>
        </w:trPr>
        <w:tc>
          <w:tcPr>
            <w:tcW w:w="2269" w:type="dxa"/>
            <w:shd w:val="clear" w:color="auto" w:fill="auto"/>
          </w:tcPr>
          <w:p w14:paraId="316989DD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Gender (%) and mean age</w:t>
            </w:r>
          </w:p>
        </w:tc>
        <w:tc>
          <w:tcPr>
            <w:tcW w:w="4111" w:type="dxa"/>
            <w:shd w:val="clear" w:color="auto" w:fill="auto"/>
          </w:tcPr>
          <w:p w14:paraId="38DAB243" w14:textId="77777777" w:rsidR="00C970CF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54% male;</w:t>
            </w:r>
          </w:p>
          <w:p w14:paraId="38F5790D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44% aged under 18</w:t>
            </w:r>
          </w:p>
        </w:tc>
        <w:tc>
          <w:tcPr>
            <w:tcW w:w="4488" w:type="dxa"/>
            <w:shd w:val="clear" w:color="auto" w:fill="auto"/>
          </w:tcPr>
          <w:p w14:paraId="3C31B0DA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Of the 27,971 Syrian nationals given a residence permit in 2016: 61% were male and 36% aged under 18</w:t>
            </w:r>
          </w:p>
        </w:tc>
        <w:tc>
          <w:tcPr>
            <w:tcW w:w="3308" w:type="dxa"/>
            <w:shd w:val="clear" w:color="auto" w:fill="auto"/>
          </w:tcPr>
          <w:p w14:paraId="595A7FD3" w14:textId="77777777" w:rsidR="00C970CF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48% male;</w:t>
            </w:r>
          </w:p>
          <w:p w14:paraId="7FE69951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56% aged under 18</w:t>
            </w:r>
          </w:p>
        </w:tc>
      </w:tr>
      <w:tr w:rsidR="00C970CF" w:rsidRPr="00D24C8D" w14:paraId="4D6BAA71" w14:textId="77777777" w:rsidTr="004F4236">
        <w:trPr>
          <w:trHeight w:val="619"/>
        </w:trPr>
        <w:tc>
          <w:tcPr>
            <w:tcW w:w="2269" w:type="dxa"/>
            <w:shd w:val="clear" w:color="auto" w:fill="auto"/>
            <w:hideMark/>
          </w:tcPr>
          <w:p w14:paraId="7DB8AA0C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Settlement types</w:t>
            </w:r>
          </w:p>
        </w:tc>
        <w:tc>
          <w:tcPr>
            <w:tcW w:w="4111" w:type="dxa"/>
            <w:shd w:val="clear" w:color="auto" w:fill="auto"/>
            <w:hideMark/>
          </w:tcPr>
          <w:p w14:paraId="30607F0E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Predominantly urban (2% living in government camps)</w:t>
            </w:r>
          </w:p>
        </w:tc>
        <w:tc>
          <w:tcPr>
            <w:tcW w:w="4488" w:type="dxa"/>
            <w:shd w:val="clear" w:color="auto" w:fill="auto"/>
            <w:hideMark/>
          </w:tcPr>
          <w:p w14:paraId="00F6F6C2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Urban</w:t>
            </w:r>
          </w:p>
        </w:tc>
        <w:tc>
          <w:tcPr>
            <w:tcW w:w="3308" w:type="dxa"/>
            <w:shd w:val="clear" w:color="auto" w:fill="auto"/>
            <w:hideMark/>
          </w:tcPr>
          <w:p w14:paraId="1D652C92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Most live in urban centres, villages and informal settlements.</w:t>
            </w:r>
          </w:p>
        </w:tc>
      </w:tr>
      <w:tr w:rsidR="00C970CF" w:rsidRPr="00D24C8D" w14:paraId="57CDF7BF" w14:textId="77777777" w:rsidTr="004F4236">
        <w:trPr>
          <w:trHeight w:val="619"/>
        </w:trPr>
        <w:tc>
          <w:tcPr>
            <w:tcW w:w="2269" w:type="dxa"/>
            <w:shd w:val="clear" w:color="auto" w:fill="auto"/>
            <w:hideMark/>
          </w:tcPr>
          <w:p w14:paraId="36768861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Legal status </w:t>
            </w:r>
          </w:p>
        </w:tc>
        <w:tc>
          <w:tcPr>
            <w:tcW w:w="4111" w:type="dxa"/>
            <w:shd w:val="clear" w:color="auto" w:fill="auto"/>
            <w:hideMark/>
          </w:tcPr>
          <w:p w14:paraId="7C5AD2CB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Syrians are entitled to residency once they register for temporary protection with the Provincial Directorate of Migration Management.</w:t>
            </w:r>
          </w:p>
        </w:tc>
        <w:tc>
          <w:tcPr>
            <w:tcW w:w="4488" w:type="dxa"/>
            <w:shd w:val="clear" w:color="auto" w:fill="auto"/>
            <w:hideMark/>
          </w:tcPr>
          <w:p w14:paraId="4355A29E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Refugees are given a temporary residence permit for five years. After which, if they still require protection and complete a Dutch integration exam, they can be given permanent residency.</w:t>
            </w:r>
          </w:p>
        </w:tc>
        <w:tc>
          <w:tcPr>
            <w:tcW w:w="3308" w:type="dxa"/>
            <w:shd w:val="clear" w:color="auto" w:fill="auto"/>
            <w:hideMark/>
          </w:tcPr>
          <w:p w14:paraId="474C5E64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Limited legal status. Only 22% of Syrians aged over 15 years of age have legal residency in Lebanon.</w:t>
            </w:r>
          </w:p>
        </w:tc>
      </w:tr>
      <w:tr w:rsidR="00C970CF" w:rsidRPr="00D24C8D" w14:paraId="0CE69156" w14:textId="77777777" w:rsidTr="004F4236">
        <w:trPr>
          <w:trHeight w:val="619"/>
        </w:trPr>
        <w:tc>
          <w:tcPr>
            <w:tcW w:w="2269" w:type="dxa"/>
            <w:shd w:val="clear" w:color="auto" w:fill="auto"/>
            <w:hideMark/>
          </w:tcPr>
          <w:p w14:paraId="13A636ED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Lead health agencies and service providers </w:t>
            </w:r>
          </w:p>
        </w:tc>
        <w:tc>
          <w:tcPr>
            <w:tcW w:w="4111" w:type="dxa"/>
            <w:shd w:val="clear" w:color="auto" w:fill="auto"/>
            <w:hideMark/>
          </w:tcPr>
          <w:p w14:paraId="6A95E216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Ministry of Health, municipal government, NGOs</w:t>
            </w:r>
          </w:p>
        </w:tc>
        <w:tc>
          <w:tcPr>
            <w:tcW w:w="4488" w:type="dxa"/>
            <w:shd w:val="clear" w:color="auto" w:fill="auto"/>
            <w:hideMark/>
          </w:tcPr>
          <w:p w14:paraId="130F447B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Ministry of Health (VWS), </w:t>
            </w:r>
            <w:r w:rsidRPr="00707C39">
              <w:t>Central Agency for the Reception of Asylum Seekers</w:t>
            </w:r>
            <w:r>
              <w:t xml:space="preserve"> (COA), municipal government, NGOs</w:t>
            </w:r>
          </w:p>
        </w:tc>
        <w:tc>
          <w:tcPr>
            <w:tcW w:w="3308" w:type="dxa"/>
            <w:shd w:val="clear" w:color="auto" w:fill="auto"/>
            <w:hideMark/>
          </w:tcPr>
          <w:p w14:paraId="4BC2D808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Ministry of Public Health, UNHCR, UNICEF, NGOs</w:t>
            </w:r>
          </w:p>
        </w:tc>
      </w:tr>
      <w:tr w:rsidR="00C970CF" w:rsidRPr="00D24C8D" w14:paraId="542F061C" w14:textId="77777777" w:rsidTr="004F4236">
        <w:trPr>
          <w:trHeight w:val="619"/>
        </w:trPr>
        <w:tc>
          <w:tcPr>
            <w:tcW w:w="2269" w:type="dxa"/>
            <w:shd w:val="clear" w:color="auto" w:fill="auto"/>
            <w:hideMark/>
          </w:tcPr>
          <w:p w14:paraId="04624F56" w14:textId="77777777" w:rsidR="00C970CF" w:rsidRPr="00D81C13" w:rsidRDefault="00C970CF" w:rsidP="004F423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1C1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Health care entitlements </w:t>
            </w:r>
          </w:p>
        </w:tc>
        <w:tc>
          <w:tcPr>
            <w:tcW w:w="4111" w:type="dxa"/>
            <w:shd w:val="clear" w:color="auto" w:fill="auto"/>
            <w:hideMark/>
          </w:tcPr>
          <w:p w14:paraId="4A8A4778" w14:textId="77777777" w:rsidR="00C970CF" w:rsidRPr="00D24C8D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Registration for temporary protection affords Syrians legal access to health services. </w:t>
            </w:r>
          </w:p>
        </w:tc>
        <w:tc>
          <w:tcPr>
            <w:tcW w:w="4488" w:type="dxa"/>
            <w:shd w:val="clear" w:color="auto" w:fill="auto"/>
            <w:hideMark/>
          </w:tcPr>
          <w:p w14:paraId="35E4AD65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Syrians with a residence permit are entitled to the same health care as Dutch citizens</w:t>
            </w:r>
          </w:p>
        </w:tc>
        <w:tc>
          <w:tcPr>
            <w:tcW w:w="3308" w:type="dxa"/>
            <w:shd w:val="clear" w:color="auto" w:fill="auto"/>
            <w:hideMark/>
          </w:tcPr>
          <w:p w14:paraId="20DCDDA0" w14:textId="77777777" w:rsidR="00C970CF" w:rsidRPr="004C7D9C" w:rsidRDefault="00C970CF" w:rsidP="004F42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Registered Syrians can access primary care, dispensaries and hospitals – but may need to pay for consultations and prescriptions.</w:t>
            </w:r>
          </w:p>
        </w:tc>
      </w:tr>
    </w:tbl>
    <w:p w14:paraId="2B0A48D9" w14:textId="77777777" w:rsidR="00C970CF" w:rsidRDefault="00C970CF" w:rsidP="00C970CF"/>
    <w:p w14:paraId="44997D28" w14:textId="77777777" w:rsidR="00C970CF" w:rsidRDefault="00C970CF" w:rsidP="00C970CF">
      <w:r>
        <w:t>Source:</w:t>
      </w:r>
      <w:r w:rsidRPr="004C7D9C">
        <w:t xml:space="preserve"> </w:t>
      </w:r>
      <w:r>
        <w:t xml:space="preserve">UNHCR (2019) Vulnerability Assessment of Syrian Refugees in Lebanon 2019; UNHCR (2020). Syria Regional Refugee Response. </w:t>
      </w:r>
      <w:hyperlink r:id="rId7" w:history="1">
        <w:r w:rsidRPr="005E104A">
          <w:rPr>
            <w:rStyle w:val="Hyperlink"/>
          </w:rPr>
          <w:t>https://data2.unhcr.org/en/situations/syria</w:t>
        </w:r>
      </w:hyperlink>
      <w:r>
        <w:t>; World Food Programme 2019. Comprehensive Vulnerability Monitoring Exercise Round 3</w:t>
      </w:r>
    </w:p>
    <w:p w14:paraId="2FA0BDD5" w14:textId="0FD6FC1B" w:rsidR="00C970CF" w:rsidRPr="00C970CF" w:rsidRDefault="00C970CF" w:rsidP="00C970CF">
      <w:pPr>
        <w:pStyle w:val="Heading2"/>
      </w:pPr>
      <w:r>
        <w:lastRenderedPageBreak/>
        <w:t xml:space="preserve">Annex B: Cross-country </w:t>
      </w:r>
      <w:proofErr w:type="spellStart"/>
      <w:r>
        <w:t>ToC</w:t>
      </w:r>
      <w:proofErr w:type="spellEnd"/>
      <w:r>
        <w:t xml:space="preserve"> map and legends</w:t>
      </w:r>
    </w:p>
    <w:p w14:paraId="4D45A4DF" w14:textId="37F38386" w:rsidR="00487079" w:rsidRDefault="00487079" w:rsidP="00B52E43">
      <w:pPr>
        <w:pStyle w:val="Heading2"/>
      </w:pPr>
    </w:p>
    <w:p w14:paraId="14098D3D" w14:textId="0DA72F50" w:rsidR="00487079" w:rsidRDefault="00DD4AE3" w:rsidP="00487079">
      <w:r>
        <w:rPr>
          <w:noProof/>
          <w:lang w:val="en-PH" w:eastAsia="en-PH"/>
        </w:rPr>
        <w:drawing>
          <wp:inline distT="0" distB="0" distL="0" distR="0" wp14:anchorId="63EA20D5" wp14:editId="6B4BA719">
            <wp:extent cx="8863330" cy="49853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2E0A" w14:textId="47000415" w:rsidR="00487079" w:rsidRDefault="00487079" w:rsidP="00487079"/>
    <w:p w14:paraId="66A97A49" w14:textId="1FFA6658" w:rsidR="00487079" w:rsidRDefault="00487079" w:rsidP="00487079"/>
    <w:p w14:paraId="03336207" w14:textId="654456DF" w:rsidR="00487079" w:rsidRDefault="00487079" w:rsidP="00487079"/>
    <w:p w14:paraId="1DE3357B" w14:textId="5FDC47DE" w:rsidR="00487079" w:rsidRDefault="00BA694B" w:rsidP="00487079">
      <w:r>
        <w:rPr>
          <w:noProof/>
          <w:lang w:val="en-PH" w:eastAsia="en-PH"/>
        </w:rPr>
        <w:drawing>
          <wp:inline distT="0" distB="0" distL="0" distR="0" wp14:anchorId="111F5B2E" wp14:editId="161A5779">
            <wp:extent cx="8863330" cy="49853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0BAF" w14:textId="0B9A8019" w:rsidR="00487079" w:rsidRDefault="00487079" w:rsidP="00487079"/>
    <w:p w14:paraId="152F4887" w14:textId="51FE2CD9" w:rsidR="00487079" w:rsidRDefault="00487079" w:rsidP="00487079"/>
    <w:p w14:paraId="142FF0A0" w14:textId="1F51504D" w:rsidR="00487079" w:rsidRDefault="00BA694B" w:rsidP="00487079">
      <w:r>
        <w:rPr>
          <w:noProof/>
          <w:lang w:val="en-PH" w:eastAsia="en-PH"/>
        </w:rPr>
        <w:drawing>
          <wp:inline distT="0" distB="0" distL="0" distR="0" wp14:anchorId="53569670" wp14:editId="45352F51">
            <wp:extent cx="8863330" cy="498538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05C41" w14:textId="6FA22E46" w:rsidR="00487079" w:rsidRDefault="002D7787" w:rsidP="00487079">
      <w:r>
        <w:rPr>
          <w:noProof/>
          <w:lang w:val="en-PH" w:eastAsia="en-PH"/>
        </w:rPr>
        <w:lastRenderedPageBreak/>
        <w:drawing>
          <wp:inline distT="0" distB="0" distL="0" distR="0" wp14:anchorId="3BD61D61" wp14:editId="3E954B15">
            <wp:extent cx="8863330" cy="49853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33604" w14:textId="1BDBD9C6" w:rsidR="00487079" w:rsidRDefault="00487079" w:rsidP="00487079"/>
    <w:p w14:paraId="0B5B7C1E" w14:textId="7E23152F" w:rsidR="00487079" w:rsidRDefault="002D7787" w:rsidP="00487079">
      <w:r>
        <w:rPr>
          <w:noProof/>
          <w:lang w:val="en-PH" w:eastAsia="en-PH"/>
        </w:rPr>
        <w:lastRenderedPageBreak/>
        <w:drawing>
          <wp:inline distT="0" distB="0" distL="0" distR="0" wp14:anchorId="1DC1AC93" wp14:editId="154138DF">
            <wp:extent cx="8863330" cy="49853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E24">
        <w:t>Note: W</w:t>
      </w:r>
      <w:r w:rsidR="006F4E24" w:rsidRPr="00CB41B8">
        <w:t xml:space="preserve">e did not assign indicators for intermediate outcomes as </w:t>
      </w:r>
      <w:r w:rsidR="006F4E24">
        <w:t xml:space="preserve">the cross-country </w:t>
      </w:r>
      <w:proofErr w:type="spellStart"/>
      <w:r w:rsidR="006F4E24">
        <w:t>ToC</w:t>
      </w:r>
      <w:proofErr w:type="spellEnd"/>
      <w:r w:rsidR="006F4E24">
        <w:t xml:space="preserve"> map is not yet</w:t>
      </w:r>
      <w:r w:rsidR="006F4E24" w:rsidRPr="00CB41B8">
        <w:t xml:space="preserve"> intend</w:t>
      </w:r>
      <w:r w:rsidR="006F4E24">
        <w:t>ed</w:t>
      </w:r>
      <w:r w:rsidR="006F4E24" w:rsidRPr="00CB41B8">
        <w:t xml:space="preserve"> to monitor or measure success of the scaling up pathways</w:t>
      </w:r>
      <w:r w:rsidR="00800307">
        <w:rPr>
          <w:bCs/>
        </w:rPr>
        <w:t>; to exemplify the use of indicators w</w:t>
      </w:r>
      <w:r w:rsidR="006F4E24" w:rsidRPr="00CB41B8">
        <w:rPr>
          <w:bCs/>
        </w:rPr>
        <w:t>e have developed indicators for long-term outcomes</w:t>
      </w:r>
      <w:r w:rsidR="00424552">
        <w:rPr>
          <w:bCs/>
        </w:rPr>
        <w:t xml:space="preserve"> only</w:t>
      </w:r>
      <w:r w:rsidR="00800307">
        <w:rPr>
          <w:bCs/>
        </w:rPr>
        <w:t xml:space="preserve">. </w:t>
      </w:r>
      <w:r w:rsidR="006F4E24" w:rsidRPr="00CB41B8">
        <w:rPr>
          <w:bCs/>
        </w:rPr>
        <w:t xml:space="preserve"> In routine monitoring, these would need to </w:t>
      </w:r>
      <w:r w:rsidR="00800307">
        <w:rPr>
          <w:bCs/>
        </w:rPr>
        <w:t xml:space="preserve">be </w:t>
      </w:r>
      <w:r w:rsidR="006F4E24" w:rsidRPr="00CB41B8">
        <w:rPr>
          <w:bCs/>
        </w:rPr>
        <w:t>specified further by assigning them with a time-frame of when success would be expected</w:t>
      </w:r>
      <w:r w:rsidR="006F4E24">
        <w:rPr>
          <w:bCs/>
        </w:rPr>
        <w:t>.</w:t>
      </w:r>
      <w:r w:rsidR="00800307">
        <w:rPr>
          <w:bCs/>
        </w:rPr>
        <w:t xml:space="preserve"> </w:t>
      </w:r>
    </w:p>
    <w:p w14:paraId="4037FE45" w14:textId="17A70979" w:rsidR="00B52E43" w:rsidRDefault="00B52E43" w:rsidP="008679DB">
      <w:pPr>
        <w:pStyle w:val="Heading2"/>
      </w:pPr>
      <w:r>
        <w:lastRenderedPageBreak/>
        <w:t xml:space="preserve">Annex </w:t>
      </w:r>
      <w:r w:rsidR="00C970CF">
        <w:t>C</w:t>
      </w:r>
      <w:r>
        <w:t xml:space="preserve">: </w:t>
      </w:r>
      <w:proofErr w:type="spellStart"/>
      <w:r>
        <w:t>ToC</w:t>
      </w:r>
      <w:proofErr w:type="spellEnd"/>
      <w:r>
        <w:t xml:space="preserve"> map</w:t>
      </w:r>
      <w:r w:rsidR="00E55DD1">
        <w:t xml:space="preserve"> and legends</w:t>
      </w:r>
      <w:r>
        <w:t xml:space="preserve"> for Turkey</w:t>
      </w:r>
    </w:p>
    <w:p w14:paraId="1D5DBC73" w14:textId="33C817EB" w:rsidR="0038035B" w:rsidRDefault="0038035B">
      <w:r>
        <w:rPr>
          <w:noProof/>
          <w:lang w:val="en-PH" w:eastAsia="en-PH"/>
        </w:rPr>
        <w:drawing>
          <wp:inline distT="0" distB="0" distL="0" distR="0" wp14:anchorId="10C5B0E3" wp14:editId="3980AAA7">
            <wp:extent cx="8863330" cy="49853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2107" w14:textId="4A1CFE9A" w:rsidR="00EA6A96" w:rsidRDefault="0038035B">
      <w:r>
        <w:rPr>
          <w:noProof/>
          <w:lang w:val="en-PH" w:eastAsia="en-PH"/>
        </w:rPr>
        <w:lastRenderedPageBreak/>
        <w:drawing>
          <wp:inline distT="0" distB="0" distL="0" distR="0" wp14:anchorId="73285D6A" wp14:editId="1EC6C269">
            <wp:extent cx="8863330" cy="49853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D60AD" w14:textId="20B94AD4" w:rsidR="00EA6A96" w:rsidRDefault="00EA6A96"/>
    <w:p w14:paraId="7F786979" w14:textId="49734B94" w:rsidR="00EA6A96" w:rsidRDefault="00EA6A96"/>
    <w:p w14:paraId="06F3F726" w14:textId="7CC6BC7A" w:rsidR="00EA6A96" w:rsidRDefault="0038035B">
      <w:r>
        <w:rPr>
          <w:noProof/>
          <w:lang w:val="en-PH" w:eastAsia="en-PH"/>
        </w:rPr>
        <w:lastRenderedPageBreak/>
        <w:drawing>
          <wp:inline distT="0" distB="0" distL="0" distR="0" wp14:anchorId="6F3991D3" wp14:editId="42D97E0C">
            <wp:extent cx="8863330" cy="49853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93A94" w14:textId="40A21D0B" w:rsidR="00B52E43" w:rsidRDefault="002E088C">
      <w:r>
        <w:t>Note: W</w:t>
      </w:r>
      <w:r w:rsidRPr="00CB41B8">
        <w:t xml:space="preserve">e did not assign indicators for intermediate outcomes as </w:t>
      </w:r>
      <w:r>
        <w:t xml:space="preserve">the cross-country </w:t>
      </w:r>
      <w:proofErr w:type="spellStart"/>
      <w:r>
        <w:t>ToC</w:t>
      </w:r>
      <w:proofErr w:type="spellEnd"/>
      <w:r>
        <w:t xml:space="preserve"> map is not yet</w:t>
      </w:r>
      <w:r w:rsidRPr="00CB41B8">
        <w:t xml:space="preserve"> intend</w:t>
      </w:r>
      <w:r>
        <w:t>ed</w:t>
      </w:r>
      <w:r w:rsidRPr="00CB41B8">
        <w:t xml:space="preserve"> to monitor or measure success of the scaling up pathways</w:t>
      </w:r>
      <w:r>
        <w:rPr>
          <w:bCs/>
        </w:rPr>
        <w:t>; to exemplify the use of indicators w</w:t>
      </w:r>
      <w:r w:rsidRPr="00CB41B8">
        <w:rPr>
          <w:bCs/>
        </w:rPr>
        <w:t>e have developed indicators for long-term outcomes</w:t>
      </w:r>
      <w:r>
        <w:rPr>
          <w:bCs/>
        </w:rPr>
        <w:t xml:space="preserve"> only. </w:t>
      </w:r>
      <w:r w:rsidRPr="00CB41B8">
        <w:rPr>
          <w:bCs/>
        </w:rPr>
        <w:t xml:space="preserve"> In routine monitoring, these would need to </w:t>
      </w:r>
      <w:r>
        <w:rPr>
          <w:bCs/>
        </w:rPr>
        <w:t xml:space="preserve">be </w:t>
      </w:r>
      <w:r w:rsidRPr="00CB41B8">
        <w:rPr>
          <w:bCs/>
        </w:rPr>
        <w:t>specified further by assigning them with a time-frame of when success would be expected</w:t>
      </w:r>
      <w:r>
        <w:rPr>
          <w:bCs/>
        </w:rPr>
        <w:t>.</w:t>
      </w:r>
    </w:p>
    <w:p w14:paraId="2450A24F" w14:textId="06784CAF" w:rsidR="00B52E43" w:rsidRDefault="00B52E43" w:rsidP="00B52E43">
      <w:pPr>
        <w:pStyle w:val="Heading2"/>
      </w:pPr>
      <w:r>
        <w:lastRenderedPageBreak/>
        <w:t xml:space="preserve">Annex </w:t>
      </w:r>
      <w:r w:rsidR="00C970CF">
        <w:t>D</w:t>
      </w:r>
      <w:r>
        <w:t xml:space="preserve">: </w:t>
      </w:r>
      <w:proofErr w:type="spellStart"/>
      <w:r>
        <w:t>ToC</w:t>
      </w:r>
      <w:proofErr w:type="spellEnd"/>
      <w:r>
        <w:t xml:space="preserve"> map</w:t>
      </w:r>
      <w:r w:rsidR="00E55DD1">
        <w:t xml:space="preserve"> and legends</w:t>
      </w:r>
      <w:r>
        <w:t xml:space="preserve"> for the Netherlands </w:t>
      </w:r>
    </w:p>
    <w:p w14:paraId="354E5117" w14:textId="1889AC62" w:rsidR="00B52E43" w:rsidRDefault="00B52E43" w:rsidP="00B52E43"/>
    <w:p w14:paraId="74A6FAF3" w14:textId="5DEC0B1B" w:rsidR="00B52E43" w:rsidRDefault="0039092F" w:rsidP="00B52E43">
      <w:r>
        <w:rPr>
          <w:noProof/>
          <w:lang w:val="en-PH" w:eastAsia="en-PH"/>
        </w:rPr>
        <w:drawing>
          <wp:inline distT="0" distB="0" distL="0" distR="0" wp14:anchorId="6450F53A" wp14:editId="366DDA33">
            <wp:extent cx="8863330" cy="49853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570E" w14:textId="70C571E3" w:rsidR="00B52E43" w:rsidRPr="00B52E43" w:rsidRDefault="0039092F" w:rsidP="00B52E43">
      <w:r>
        <w:rPr>
          <w:noProof/>
          <w:lang w:val="en-PH" w:eastAsia="en-PH"/>
        </w:rPr>
        <w:lastRenderedPageBreak/>
        <w:drawing>
          <wp:inline distT="0" distB="0" distL="0" distR="0" wp14:anchorId="64B58EE9" wp14:editId="4DCA8E07">
            <wp:extent cx="8863330" cy="49853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3763" w14:textId="0F37AEB4" w:rsidR="00B52E43" w:rsidRDefault="00B52E43" w:rsidP="00B52E43"/>
    <w:p w14:paraId="26627BFD" w14:textId="4E310ACF" w:rsidR="0039092F" w:rsidRDefault="0039092F" w:rsidP="00B52E43">
      <w:pPr>
        <w:pStyle w:val="Heading2"/>
      </w:pPr>
      <w:r>
        <w:rPr>
          <w:noProof/>
          <w:lang w:val="en-PH" w:eastAsia="en-PH"/>
        </w:rPr>
        <w:lastRenderedPageBreak/>
        <w:drawing>
          <wp:inline distT="0" distB="0" distL="0" distR="0" wp14:anchorId="59CEC7B0" wp14:editId="0DF66340">
            <wp:extent cx="8863330" cy="49853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8745F" w14:textId="0AB461DE" w:rsidR="0039092F" w:rsidRDefault="002E088C" w:rsidP="00540FFC">
      <w:r>
        <w:t>Note: W</w:t>
      </w:r>
      <w:r w:rsidRPr="00CB41B8">
        <w:t xml:space="preserve">e did not assign indicators for intermediate outcomes as </w:t>
      </w:r>
      <w:r>
        <w:t xml:space="preserve">the cross-country </w:t>
      </w:r>
      <w:proofErr w:type="spellStart"/>
      <w:r>
        <w:t>ToC</w:t>
      </w:r>
      <w:proofErr w:type="spellEnd"/>
      <w:r>
        <w:t xml:space="preserve"> map is not yet</w:t>
      </w:r>
      <w:r w:rsidRPr="00CB41B8">
        <w:t xml:space="preserve"> intend</w:t>
      </w:r>
      <w:r>
        <w:t>ed</w:t>
      </w:r>
      <w:r w:rsidRPr="00CB41B8">
        <w:t xml:space="preserve"> to monitor or measure success of the scaling up pathways</w:t>
      </w:r>
      <w:r>
        <w:rPr>
          <w:bCs/>
        </w:rPr>
        <w:t>; to exemplify the use of indicators w</w:t>
      </w:r>
      <w:r w:rsidRPr="00CB41B8">
        <w:rPr>
          <w:bCs/>
        </w:rPr>
        <w:t>e have developed indicators for long-term outcomes</w:t>
      </w:r>
      <w:r>
        <w:rPr>
          <w:bCs/>
        </w:rPr>
        <w:t xml:space="preserve"> only. </w:t>
      </w:r>
      <w:r w:rsidRPr="00CB41B8">
        <w:rPr>
          <w:bCs/>
        </w:rPr>
        <w:t xml:space="preserve"> In routine monitoring, these would need to </w:t>
      </w:r>
      <w:r>
        <w:rPr>
          <w:bCs/>
        </w:rPr>
        <w:t xml:space="preserve">be </w:t>
      </w:r>
      <w:r w:rsidRPr="00CB41B8">
        <w:rPr>
          <w:bCs/>
        </w:rPr>
        <w:t>specified further by assigning them with a time-frame of when success would be expected</w:t>
      </w:r>
      <w:r>
        <w:rPr>
          <w:bCs/>
        </w:rPr>
        <w:t xml:space="preserve">. </w:t>
      </w:r>
    </w:p>
    <w:p w14:paraId="1EE08147" w14:textId="77777777" w:rsidR="002E088C" w:rsidRDefault="002E088C" w:rsidP="00B52E43">
      <w:pPr>
        <w:pStyle w:val="Heading2"/>
      </w:pPr>
    </w:p>
    <w:p w14:paraId="59BB7386" w14:textId="76EDE113" w:rsidR="0039092F" w:rsidRDefault="0039092F" w:rsidP="00B52E43">
      <w:pPr>
        <w:pStyle w:val="Heading2"/>
      </w:pPr>
      <w:r>
        <w:rPr>
          <w:noProof/>
          <w:lang w:val="en-PH" w:eastAsia="en-PH"/>
        </w:rPr>
        <w:drawing>
          <wp:inline distT="0" distB="0" distL="0" distR="0" wp14:anchorId="35220EB5" wp14:editId="0D8FD66B">
            <wp:extent cx="8863330" cy="49853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0191" w14:textId="77777777" w:rsidR="0039092F" w:rsidRDefault="0039092F" w:rsidP="00B52E43">
      <w:pPr>
        <w:pStyle w:val="Heading2"/>
      </w:pPr>
    </w:p>
    <w:p w14:paraId="1A86D079" w14:textId="77777777" w:rsidR="0039092F" w:rsidRDefault="0039092F" w:rsidP="00B52E43">
      <w:pPr>
        <w:pStyle w:val="Heading2"/>
      </w:pPr>
    </w:p>
    <w:p w14:paraId="6635EBC8" w14:textId="5804A87D" w:rsidR="00B52E43" w:rsidRPr="00B52E43" w:rsidRDefault="00B52E43" w:rsidP="008679DB">
      <w:pPr>
        <w:pStyle w:val="Heading2"/>
      </w:pPr>
      <w:r>
        <w:lastRenderedPageBreak/>
        <w:t xml:space="preserve">Annex </w:t>
      </w:r>
      <w:r w:rsidR="00C970CF">
        <w:t>E</w:t>
      </w:r>
      <w:r>
        <w:t xml:space="preserve">: </w:t>
      </w:r>
      <w:proofErr w:type="spellStart"/>
      <w:r>
        <w:t>ToC</w:t>
      </w:r>
      <w:proofErr w:type="spellEnd"/>
      <w:r>
        <w:t xml:space="preserve"> map </w:t>
      </w:r>
      <w:r w:rsidR="00E55DD1">
        <w:t xml:space="preserve">and legends </w:t>
      </w:r>
      <w:r>
        <w:t>for Lebanon</w:t>
      </w:r>
    </w:p>
    <w:p w14:paraId="41BA54B6" w14:textId="6FA79EC3" w:rsidR="00B52E43" w:rsidRDefault="002E7536">
      <w:r>
        <w:rPr>
          <w:noProof/>
          <w:lang w:val="en-PH" w:eastAsia="en-PH"/>
        </w:rPr>
        <w:drawing>
          <wp:inline distT="0" distB="0" distL="0" distR="0" wp14:anchorId="4590462F" wp14:editId="0AFEE519">
            <wp:extent cx="8863330" cy="49853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27EE7" w14:textId="098592FE" w:rsidR="002E7536" w:rsidRDefault="00E44CFA">
      <w:r>
        <w:rPr>
          <w:noProof/>
          <w:lang w:val="en-PH" w:eastAsia="en-PH"/>
        </w:rPr>
        <w:lastRenderedPageBreak/>
        <w:drawing>
          <wp:inline distT="0" distB="0" distL="0" distR="0" wp14:anchorId="4CBEAB26" wp14:editId="5A9B0E6F">
            <wp:extent cx="8863330" cy="49853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C581" w14:textId="08F9DEA7" w:rsidR="00E44CFA" w:rsidRDefault="00E44CFA"/>
    <w:p w14:paraId="74DF58A6" w14:textId="3758CA0C" w:rsidR="00E44CFA" w:rsidRDefault="00E44CFA"/>
    <w:p w14:paraId="644BFE02" w14:textId="3879797F" w:rsidR="00E44CFA" w:rsidRDefault="00E44CFA">
      <w:r>
        <w:rPr>
          <w:noProof/>
          <w:lang w:val="en-PH" w:eastAsia="en-PH"/>
        </w:rPr>
        <w:lastRenderedPageBreak/>
        <w:drawing>
          <wp:inline distT="0" distB="0" distL="0" distR="0" wp14:anchorId="1AB4B3C7" wp14:editId="0CC43601">
            <wp:extent cx="8863330" cy="49853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5F3A1" w14:textId="4394CC8C" w:rsidR="00495E68" w:rsidRDefault="002E088C">
      <w:r>
        <w:t>Note: W</w:t>
      </w:r>
      <w:r w:rsidRPr="00CB41B8">
        <w:t xml:space="preserve">e did not assign indicators for intermediate outcomes as </w:t>
      </w:r>
      <w:r>
        <w:t xml:space="preserve">the cross-country </w:t>
      </w:r>
      <w:proofErr w:type="spellStart"/>
      <w:r>
        <w:t>ToC</w:t>
      </w:r>
      <w:proofErr w:type="spellEnd"/>
      <w:r>
        <w:t xml:space="preserve"> map is not yet</w:t>
      </w:r>
      <w:r w:rsidRPr="00CB41B8">
        <w:t xml:space="preserve"> intend</w:t>
      </w:r>
      <w:r>
        <w:t>ed</w:t>
      </w:r>
      <w:r w:rsidRPr="00CB41B8">
        <w:t xml:space="preserve"> to monitor or measure success of the scaling up pathways</w:t>
      </w:r>
      <w:r>
        <w:rPr>
          <w:bCs/>
        </w:rPr>
        <w:t>; to exemplify the use of indicators w</w:t>
      </w:r>
      <w:r w:rsidRPr="00CB41B8">
        <w:rPr>
          <w:bCs/>
        </w:rPr>
        <w:t>e have developed indicators for long-term outcomes</w:t>
      </w:r>
      <w:r>
        <w:rPr>
          <w:bCs/>
        </w:rPr>
        <w:t xml:space="preserve"> only. </w:t>
      </w:r>
      <w:r w:rsidRPr="00CB41B8">
        <w:rPr>
          <w:bCs/>
        </w:rPr>
        <w:t xml:space="preserve"> In routine monitoring, these would need to </w:t>
      </w:r>
      <w:r>
        <w:rPr>
          <w:bCs/>
        </w:rPr>
        <w:t xml:space="preserve">be </w:t>
      </w:r>
      <w:r w:rsidRPr="00CB41B8">
        <w:rPr>
          <w:bCs/>
        </w:rPr>
        <w:t>specified further by assigning them with a time-frame of when success would be expected</w:t>
      </w:r>
      <w:r>
        <w:rPr>
          <w:bCs/>
        </w:rPr>
        <w:t xml:space="preserve">. </w:t>
      </w:r>
    </w:p>
    <w:p w14:paraId="146C103E" w14:textId="589C3662" w:rsidR="00495E68" w:rsidRDefault="00495E68" w:rsidP="00495E68">
      <w:pPr>
        <w:pStyle w:val="Heading2"/>
      </w:pPr>
      <w:r>
        <w:lastRenderedPageBreak/>
        <w:t xml:space="preserve">Annex </w:t>
      </w:r>
      <w:r w:rsidR="00C970CF">
        <w:t>F:</w:t>
      </w:r>
      <w:r>
        <w:t xml:space="preserve"> Main differences of individual </w:t>
      </w:r>
      <w:proofErr w:type="spellStart"/>
      <w:r>
        <w:t>ToC</w:t>
      </w:r>
      <w:proofErr w:type="spellEnd"/>
      <w:r>
        <w:t xml:space="preserve"> maps </w:t>
      </w:r>
    </w:p>
    <w:p w14:paraId="34DD1017" w14:textId="678EC068" w:rsidR="00495E68" w:rsidRDefault="00495E68" w:rsidP="00495E68"/>
    <w:p w14:paraId="2E3CD3B0" w14:textId="4933898C" w:rsidR="0030729A" w:rsidRPr="00694833" w:rsidRDefault="0030729A" w:rsidP="0030729A">
      <w:pPr>
        <w:jc w:val="both"/>
        <w:rPr>
          <w:lang w:val="en-US"/>
        </w:rPr>
      </w:pPr>
      <w:r w:rsidRPr="00CB41B8">
        <w:rPr>
          <w:lang w:val="en-US"/>
        </w:rPr>
        <w:t xml:space="preserve">Country-specific </w:t>
      </w:r>
      <w:proofErr w:type="spellStart"/>
      <w:r w:rsidR="004F0DA4">
        <w:rPr>
          <w:lang w:val="en-US"/>
        </w:rPr>
        <w:t>ToC</w:t>
      </w:r>
      <w:proofErr w:type="spellEnd"/>
      <w:r w:rsidR="004F0DA4">
        <w:rPr>
          <w:lang w:val="en-US"/>
        </w:rPr>
        <w:t xml:space="preserve"> maps were largely similar </w:t>
      </w:r>
      <w:r w:rsidRPr="00CB41B8">
        <w:rPr>
          <w:lang w:val="en-US"/>
        </w:rPr>
        <w:t xml:space="preserve">to each other (see annexes B-D), identifying overlapping pathways of scaling up, assumptions and interventions. One area of difference was related to the agency taking a lead in </w:t>
      </w:r>
      <w:r w:rsidRPr="00CB41B8">
        <w:t>organising</w:t>
      </w:r>
      <w:r w:rsidRPr="00CB41B8">
        <w:rPr>
          <w:lang w:val="en-US"/>
        </w:rPr>
        <w:t xml:space="preserve"> services and scale up (also highlighted in Table </w:t>
      </w:r>
      <w:r>
        <w:rPr>
          <w:lang w:val="en-US"/>
        </w:rPr>
        <w:t>1)</w:t>
      </w:r>
      <w:r w:rsidRPr="00CB41B8">
        <w:rPr>
          <w:lang w:val="en-US"/>
        </w:rPr>
        <w:t>. For</w:t>
      </w:r>
      <w:r w:rsidR="004F0DA4">
        <w:rPr>
          <w:lang w:val="en-US"/>
        </w:rPr>
        <w:t xml:space="preserve"> example, in the Netherlands, scaling up psychological interventions</w:t>
      </w:r>
      <w:r w:rsidRPr="00CB41B8">
        <w:rPr>
          <w:lang w:val="en-US"/>
        </w:rPr>
        <w:t xml:space="preserve"> </w:t>
      </w:r>
      <w:r>
        <w:rPr>
          <w:lang w:val="en-US"/>
        </w:rPr>
        <w:t>may be the</w:t>
      </w:r>
      <w:r w:rsidRPr="00CB41B8">
        <w:rPr>
          <w:lang w:val="en-US"/>
        </w:rPr>
        <w:t xml:space="preserve"> responsibility of </w:t>
      </w:r>
      <w:r>
        <w:rPr>
          <w:lang w:val="en-US"/>
        </w:rPr>
        <w:t xml:space="preserve">different stakeholders such as the national or local governments, </w:t>
      </w:r>
      <w:r>
        <w:t>health insurers or municipalities</w:t>
      </w:r>
      <w:r w:rsidRPr="00CB41B8">
        <w:rPr>
          <w:lang w:val="en-US"/>
        </w:rPr>
        <w:t xml:space="preserve">. In Lebanon, scale up in urban areas may involve both government and humanitarian agencies. </w:t>
      </w:r>
      <w:r w:rsidR="007F6291">
        <w:t>H</w:t>
      </w:r>
      <w:r w:rsidR="007F6291" w:rsidRPr="0043731B">
        <w:t>owever, humanitarian</w:t>
      </w:r>
      <w:r w:rsidR="007F6291">
        <w:t xml:space="preserve"> NGOs</w:t>
      </w:r>
      <w:r w:rsidR="007F6291" w:rsidRPr="0043731B">
        <w:t xml:space="preserve"> may predominantly take the lead in scaling up services in </w:t>
      </w:r>
      <w:r w:rsidR="007F6291">
        <w:t>selected geographical areas (</w:t>
      </w:r>
      <w:r w:rsidR="007F6291" w:rsidRPr="0043731B">
        <w:t>with their own funding</w:t>
      </w:r>
      <w:r w:rsidR="007F6291">
        <w:t xml:space="preserve"> leaving other areas underserved)</w:t>
      </w:r>
      <w:r w:rsidRPr="00CB41B8">
        <w:rPr>
          <w:lang w:val="en-US"/>
        </w:rPr>
        <w:t xml:space="preserve">. </w:t>
      </w:r>
      <w:r w:rsidR="004F0DA4">
        <w:rPr>
          <w:lang w:val="en-US"/>
        </w:rPr>
        <w:t>In Turkey, t</w:t>
      </w:r>
      <w:r w:rsidRPr="00CB41B8">
        <w:rPr>
          <w:lang w:val="en-US"/>
        </w:rPr>
        <w:t>he majority of Syrian refugees live in urban areas, and there are a few camps only. Humanitarian agency may be less involved in scale up services in Turkey, with the government taking a leading role there. Anot</w:t>
      </w:r>
      <w:r w:rsidR="004F0DA4">
        <w:rPr>
          <w:lang w:val="en-US"/>
        </w:rPr>
        <w:t>her difference may relate to</w:t>
      </w:r>
      <w:r w:rsidRPr="00CB41B8">
        <w:rPr>
          <w:lang w:val="en-US"/>
        </w:rPr>
        <w:t xml:space="preserve"> health insurance and coverage of costs during scale up</w:t>
      </w:r>
      <w:r w:rsidR="004F0DA4">
        <w:rPr>
          <w:lang w:val="en-US"/>
        </w:rPr>
        <w:t xml:space="preserve"> in our study countries</w:t>
      </w:r>
      <w:r w:rsidRPr="00CB41B8">
        <w:rPr>
          <w:lang w:val="en-US"/>
        </w:rPr>
        <w:t xml:space="preserve">. Syrian refugees receive </w:t>
      </w:r>
      <w:r w:rsidR="004F0DA4">
        <w:rPr>
          <w:lang w:val="en-US"/>
        </w:rPr>
        <w:t xml:space="preserve">free </w:t>
      </w:r>
      <w:r w:rsidRPr="00CB41B8">
        <w:rPr>
          <w:lang w:val="en-US"/>
        </w:rPr>
        <w:t xml:space="preserve">health insurance in the Netherlands; however, health insurance may not pay for psychological treatment if it is provided by a lay health care provider, and if no psychiatric diagnosis is made in advance of treatment. This may hamper </w:t>
      </w:r>
      <w:r w:rsidR="004F0DA4">
        <w:rPr>
          <w:lang w:val="en-US"/>
        </w:rPr>
        <w:t>scale up, and expansion of</w:t>
      </w:r>
      <w:r w:rsidR="0081407F">
        <w:rPr>
          <w:lang w:val="en-US"/>
        </w:rPr>
        <w:t xml:space="preserve"> a</w:t>
      </w:r>
      <w:r w:rsidRPr="00CB41B8">
        <w:rPr>
          <w:lang w:val="en-US"/>
        </w:rPr>
        <w:t xml:space="preserve"> </w:t>
      </w:r>
      <w:r>
        <w:rPr>
          <w:lang w:val="en-US"/>
        </w:rPr>
        <w:t xml:space="preserve">collaborative </w:t>
      </w:r>
      <w:r w:rsidRPr="00CB41B8">
        <w:rPr>
          <w:lang w:val="en-US"/>
        </w:rPr>
        <w:t>stepped-care</w:t>
      </w:r>
      <w:r w:rsidR="0081407F">
        <w:rPr>
          <w:lang w:val="en-US"/>
        </w:rPr>
        <w:t xml:space="preserve"> system</w:t>
      </w:r>
      <w:r w:rsidRPr="00CB41B8">
        <w:rPr>
          <w:lang w:val="en-US"/>
        </w:rPr>
        <w:t xml:space="preserve"> </w:t>
      </w:r>
      <w:r w:rsidR="004F0DA4">
        <w:rPr>
          <w:lang w:val="en-US"/>
        </w:rPr>
        <w:t>in the Netherlands.</w:t>
      </w:r>
    </w:p>
    <w:p w14:paraId="6A7837DC" w14:textId="77777777" w:rsidR="0030729A" w:rsidRPr="00495E68" w:rsidRDefault="0030729A" w:rsidP="00495E68">
      <w:bookmarkStart w:id="0" w:name="_GoBack"/>
      <w:bookmarkEnd w:id="0"/>
    </w:p>
    <w:p w14:paraId="1AE9BFB4" w14:textId="77777777" w:rsidR="00495E68" w:rsidRDefault="00495E68"/>
    <w:p w14:paraId="7C211B26" w14:textId="77777777" w:rsidR="00E44CFA" w:rsidRDefault="00E44CFA"/>
    <w:sectPr w:rsidR="00E44CFA" w:rsidSect="00EA6A96">
      <w:footerReference w:type="defaul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19EFA" w14:textId="77777777" w:rsidR="005F505C" w:rsidRDefault="005F505C" w:rsidP="00FE011B">
      <w:pPr>
        <w:spacing w:after="0" w:line="240" w:lineRule="auto"/>
      </w:pPr>
      <w:r>
        <w:separator/>
      </w:r>
    </w:p>
  </w:endnote>
  <w:endnote w:type="continuationSeparator" w:id="0">
    <w:p w14:paraId="059D39D1" w14:textId="77777777" w:rsidR="005F505C" w:rsidRDefault="005F505C" w:rsidP="00FE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450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BB990" w14:textId="17A4930B" w:rsidR="004F5B0E" w:rsidRDefault="004F5B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E3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806AE07" w14:textId="77777777" w:rsidR="00FE011B" w:rsidRDefault="00FE01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8F7A1" w14:textId="77777777" w:rsidR="005F505C" w:rsidRDefault="005F505C" w:rsidP="00FE011B">
      <w:pPr>
        <w:spacing w:after="0" w:line="240" w:lineRule="auto"/>
      </w:pPr>
      <w:r>
        <w:separator/>
      </w:r>
    </w:p>
  </w:footnote>
  <w:footnote w:type="continuationSeparator" w:id="0">
    <w:p w14:paraId="7D9B8246" w14:textId="77777777" w:rsidR="005F505C" w:rsidRDefault="005F505C" w:rsidP="00FE0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4"/>
  </w:docVars>
  <w:rsids>
    <w:rsidRoot w:val="00EA6A96"/>
    <w:rsid w:val="00017E3F"/>
    <w:rsid w:val="00226DAE"/>
    <w:rsid w:val="002D7787"/>
    <w:rsid w:val="002E088C"/>
    <w:rsid w:val="002E4268"/>
    <w:rsid w:val="002E7536"/>
    <w:rsid w:val="0030729A"/>
    <w:rsid w:val="0038035B"/>
    <w:rsid w:val="0039092F"/>
    <w:rsid w:val="00424552"/>
    <w:rsid w:val="0043731B"/>
    <w:rsid w:val="00487079"/>
    <w:rsid w:val="00495E68"/>
    <w:rsid w:val="004C521B"/>
    <w:rsid w:val="004F0DA4"/>
    <w:rsid w:val="004F5B0E"/>
    <w:rsid w:val="00540FFC"/>
    <w:rsid w:val="005B4366"/>
    <w:rsid w:val="005F2243"/>
    <w:rsid w:val="005F505C"/>
    <w:rsid w:val="006F2B4F"/>
    <w:rsid w:val="006F4E24"/>
    <w:rsid w:val="007F6291"/>
    <w:rsid w:val="00800307"/>
    <w:rsid w:val="0081407F"/>
    <w:rsid w:val="008679DB"/>
    <w:rsid w:val="00867B19"/>
    <w:rsid w:val="00870DB5"/>
    <w:rsid w:val="00A46096"/>
    <w:rsid w:val="00B52E43"/>
    <w:rsid w:val="00B66336"/>
    <w:rsid w:val="00B670BC"/>
    <w:rsid w:val="00B73B94"/>
    <w:rsid w:val="00BA694B"/>
    <w:rsid w:val="00C970CF"/>
    <w:rsid w:val="00CE0FFF"/>
    <w:rsid w:val="00DD4AE3"/>
    <w:rsid w:val="00E44CFA"/>
    <w:rsid w:val="00E55DD1"/>
    <w:rsid w:val="00E81D9D"/>
    <w:rsid w:val="00EA6A96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F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E4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E43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1B"/>
  </w:style>
  <w:style w:type="paragraph" w:styleId="Footer">
    <w:name w:val="footer"/>
    <w:basedOn w:val="Normal"/>
    <w:link w:val="FooterChar"/>
    <w:uiPriority w:val="99"/>
    <w:unhideWhenUsed/>
    <w:rsid w:val="00FE0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1B"/>
  </w:style>
  <w:style w:type="character" w:customStyle="1" w:styleId="Heading2Char">
    <w:name w:val="Heading 2 Char"/>
    <w:basedOn w:val="DefaultParagraphFont"/>
    <w:link w:val="Heading2"/>
    <w:uiPriority w:val="9"/>
    <w:rsid w:val="00B52E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E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079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72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29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72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3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70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2E4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E43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1B"/>
  </w:style>
  <w:style w:type="paragraph" w:styleId="Footer">
    <w:name w:val="footer"/>
    <w:basedOn w:val="Normal"/>
    <w:link w:val="FooterChar"/>
    <w:uiPriority w:val="99"/>
    <w:unhideWhenUsed/>
    <w:rsid w:val="00FE0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1B"/>
  </w:style>
  <w:style w:type="character" w:customStyle="1" w:styleId="Heading2Char">
    <w:name w:val="Heading 2 Char"/>
    <w:basedOn w:val="DefaultParagraphFont"/>
    <w:link w:val="Heading2"/>
    <w:uiPriority w:val="9"/>
    <w:rsid w:val="00B52E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E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079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72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29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72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3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97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data2.unhcr.org/en/situations/syria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818</Words>
  <Characters>4500</Characters>
  <Application>Microsoft Office Word</Application>
  <DocSecurity>0</DocSecurity>
  <Lines>132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Fuhr</dc:creator>
  <cp:keywords/>
  <dc:description/>
  <cp:lastModifiedBy>MCALORING</cp:lastModifiedBy>
  <cp:revision>12</cp:revision>
  <dcterms:created xsi:type="dcterms:W3CDTF">2020-02-22T14:39:00Z</dcterms:created>
  <dcterms:modified xsi:type="dcterms:W3CDTF">2020-08-22T05:00:00Z</dcterms:modified>
</cp:coreProperties>
</file>