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62E7831" w14:textId="7B24421E" w:rsidR="004C1F82" w:rsidRDefault="004D1C22" w:rsidP="006961DC">
      <w:pPr>
        <w:spacing w:line="360" w:lineRule="auto"/>
        <w:rPr>
          <w:rFonts w:cs="Times New Roman"/>
          <w:b/>
          <w:szCs w:val="24"/>
        </w:rPr>
      </w:pPr>
      <w:r>
        <w:rPr>
          <w:rFonts w:cs="Times New Roman"/>
          <w:b/>
          <w:szCs w:val="24"/>
        </w:rPr>
        <w:t>Additional file 1</w:t>
      </w:r>
      <w:r w:rsidR="001E2B8B">
        <w:rPr>
          <w:rFonts w:cs="Times New Roman"/>
          <w:b/>
          <w:szCs w:val="24"/>
        </w:rPr>
        <w:t>.</w:t>
      </w:r>
      <w:bookmarkStart w:id="0" w:name="_GoBack"/>
      <w:bookmarkEnd w:id="0"/>
      <w:r w:rsidR="004C1F82">
        <w:rPr>
          <w:rFonts w:cs="Times New Roman"/>
          <w:b/>
          <w:szCs w:val="24"/>
        </w:rPr>
        <w:t xml:space="preserve"> Formulae used for continuity of GP contact metrics</w:t>
      </w:r>
    </w:p>
    <w:p w14:paraId="2FC5AF0B" w14:textId="77777777" w:rsidR="004C1F82" w:rsidRDefault="004C1F82" w:rsidP="006961DC">
      <w:pPr>
        <w:spacing w:line="360" w:lineRule="auto"/>
        <w:rPr>
          <w:rFonts w:cs="Times New Roman"/>
          <w:szCs w:val="24"/>
        </w:rPr>
      </w:pPr>
      <w:r>
        <w:rPr>
          <w:rFonts w:cs="Times New Roman"/>
          <w:szCs w:val="24"/>
        </w:rPr>
        <w:t xml:space="preserve">The number and date of </w:t>
      </w:r>
      <w:r w:rsidRPr="002F0FE7">
        <w:rPr>
          <w:rFonts w:cs="Times New Roman"/>
          <w:szCs w:val="24"/>
        </w:rPr>
        <w:t xml:space="preserve">GP </w:t>
      </w:r>
      <w:r>
        <w:rPr>
          <w:rFonts w:cs="Times New Roman"/>
          <w:szCs w:val="24"/>
        </w:rPr>
        <w:t xml:space="preserve">visits were </w:t>
      </w:r>
      <w:r w:rsidRPr="002F0FE7">
        <w:rPr>
          <w:rFonts w:cs="Times New Roman"/>
          <w:szCs w:val="24"/>
        </w:rPr>
        <w:t xml:space="preserve">captured </w:t>
      </w:r>
      <w:r>
        <w:rPr>
          <w:rFonts w:cs="Times New Roman"/>
          <w:szCs w:val="24"/>
        </w:rPr>
        <w:t>using</w:t>
      </w:r>
      <w:r w:rsidRPr="002F0FE7">
        <w:rPr>
          <w:rFonts w:cs="Times New Roman"/>
          <w:szCs w:val="24"/>
        </w:rPr>
        <w:t xml:space="preserve"> MBS claim</w:t>
      </w:r>
      <w:r>
        <w:rPr>
          <w:rFonts w:cs="Times New Roman"/>
          <w:szCs w:val="24"/>
        </w:rPr>
        <w:t xml:space="preserve"> records pertaining to </w:t>
      </w:r>
      <w:r w:rsidRPr="002F0FE7">
        <w:rPr>
          <w:rFonts w:cs="Times New Roman"/>
          <w:szCs w:val="24"/>
        </w:rPr>
        <w:t>“Attendances by General Practitioners</w:t>
      </w:r>
      <w:r>
        <w:rPr>
          <w:rFonts w:cs="Times New Roman"/>
          <w:szCs w:val="24"/>
        </w:rPr>
        <w:t xml:space="preserve">”.  The </w:t>
      </w:r>
      <w:r w:rsidRPr="00271A8E">
        <w:rPr>
          <w:rFonts w:cs="Times New Roman"/>
          <w:szCs w:val="24"/>
        </w:rPr>
        <w:t>de-identified provider number in the MBS data</w:t>
      </w:r>
      <w:r>
        <w:rPr>
          <w:rFonts w:cs="Times New Roman"/>
          <w:szCs w:val="24"/>
        </w:rPr>
        <w:t xml:space="preserve"> was used to distinguish between different GPs.</w:t>
      </w:r>
    </w:p>
    <w:p w14:paraId="4DD8F829" w14:textId="77777777" w:rsidR="004C1F82" w:rsidRDefault="004C1F82" w:rsidP="006961DC">
      <w:pPr>
        <w:spacing w:line="360" w:lineRule="auto"/>
        <w:rPr>
          <w:rFonts w:cs="Times New Roman"/>
          <w:b/>
          <w:szCs w:val="24"/>
          <w:u w:val="single"/>
        </w:rPr>
      </w:pPr>
      <w:r w:rsidRPr="009B4D34">
        <w:rPr>
          <w:rFonts w:cs="Times New Roman"/>
          <w:b/>
          <w:szCs w:val="24"/>
          <w:u w:val="single"/>
        </w:rPr>
        <w:t>Modified Modified Continuity Index (MMCI)</w:t>
      </w:r>
    </w:p>
    <w:p w14:paraId="17B51B75" w14:textId="77777777" w:rsidR="004C1F82" w:rsidRDefault="004C1F82" w:rsidP="006961DC">
      <w:pPr>
        <w:spacing w:line="360" w:lineRule="auto"/>
        <w:rPr>
          <w:rFonts w:cs="Times New Roman"/>
          <w:szCs w:val="24"/>
        </w:rPr>
      </w:pPr>
      <w:r w:rsidRPr="00A54FB8">
        <w:rPr>
          <w:rFonts w:cs="Times New Roman"/>
          <w:szCs w:val="24"/>
        </w:rPr>
        <w:t xml:space="preserve">This index focuses on the dispersion between providers and is based on the number of </w:t>
      </w:r>
      <w:r>
        <w:rPr>
          <w:rFonts w:cs="Times New Roman"/>
          <w:szCs w:val="24"/>
        </w:rPr>
        <w:t>physicians</w:t>
      </w:r>
      <w:r w:rsidRPr="00A54FB8">
        <w:rPr>
          <w:rFonts w:cs="Times New Roman"/>
          <w:szCs w:val="24"/>
        </w:rPr>
        <w:t xml:space="preserve"> and number of visit</w:t>
      </w:r>
      <w:r>
        <w:rPr>
          <w:rFonts w:cs="Times New Roman"/>
          <w:szCs w:val="24"/>
        </w:rPr>
        <w:t>s identified during the time period of ascertainment</w:t>
      </w:r>
      <w:r w:rsidRPr="00A54FB8">
        <w:rPr>
          <w:rFonts w:cs="Times New Roman"/>
          <w:szCs w:val="24"/>
        </w:rPr>
        <w:t>. Index values range from 0 (each visit made to a different physician) to 1 (all visits made to a single physician).</w:t>
      </w:r>
    </w:p>
    <w:p w14:paraId="19EB13D3" w14:textId="77777777" w:rsidR="004C1F82" w:rsidRDefault="004C1F82" w:rsidP="006961DC">
      <w:pPr>
        <w:spacing w:line="360" w:lineRule="auto"/>
        <w:rPr>
          <w:rFonts w:cs="Times New Roman"/>
          <w:szCs w:val="24"/>
        </w:rPr>
      </w:pPr>
      <w:r>
        <w:rPr>
          <w:rFonts w:cs="Times New Roman"/>
          <w:szCs w:val="24"/>
        </w:rPr>
        <w:t xml:space="preserve">The MMCI was calculated using the formula shown below </w:t>
      </w:r>
      <w:r>
        <w:rPr>
          <w:rFonts w:cs="Times New Roman"/>
          <w:noProof/>
          <w:szCs w:val="24"/>
        </w:rPr>
        <w:t>(1)</w:t>
      </w:r>
      <w:r>
        <w:rPr>
          <w:rFonts w:cs="Times New Roman"/>
          <w:szCs w:val="24"/>
        </w:rPr>
        <w:t>.</w:t>
      </w:r>
    </w:p>
    <w:p w14:paraId="6A644198" w14:textId="77777777" w:rsidR="004C1F82" w:rsidRDefault="001E2B8B" w:rsidP="006961DC">
      <w:pPr>
        <w:spacing w:line="360" w:lineRule="auto"/>
        <w:rPr>
          <w:rFonts w:cs="Times New Roman"/>
          <w:szCs w:val="24"/>
        </w:rPr>
      </w:pPr>
      <w:r>
        <w:rPr>
          <w:rFonts w:cs="Times New Roman"/>
          <w:noProof/>
          <w:szCs w:val="24"/>
        </w:rPr>
        <w:pict w14:anchorId="05AB6F12">
          <v:shapetype id="_x0000_t202" coordsize="21600,21600" o:spt="202" path="m0,0l0,21600,21600,21600,21600,0xe">
            <v:stroke joinstyle="miter"/>
            <v:path gradientshapeok="t" o:connecttype="rect"/>
          </v:shapetype>
          <v:shape id="_x0000_s1026" type="#_x0000_t202" style="position:absolute;left:0;text-align:left;margin-left:106.15pt;margin-top:9pt;width:156.6pt;height:81.35pt;z-index:251659264">
            <v:textbox>
              <w:txbxContent>
                <w:p w14:paraId="0F423714" w14:textId="77777777" w:rsidR="004C1F82" w:rsidRDefault="004C1F82">
                  <w:r>
                    <w:rPr>
                      <w:noProof/>
                      <w:lang w:val="en-US"/>
                    </w:rPr>
                    <w:drawing>
                      <wp:inline distT="0" distB="0" distL="0" distR="0" wp14:anchorId="51430F24" wp14:editId="14A8C76D">
                        <wp:extent cx="1894114" cy="9546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17532" cy="966472"/>
                                </a:xfrm>
                                <a:prstGeom prst="rect">
                                  <a:avLst/>
                                </a:prstGeom>
                              </pic:spPr>
                            </pic:pic>
                          </a:graphicData>
                        </a:graphic>
                      </wp:inline>
                    </w:drawing>
                  </w:r>
                </w:p>
              </w:txbxContent>
            </v:textbox>
          </v:shape>
        </w:pict>
      </w:r>
    </w:p>
    <w:p w14:paraId="23354A0C" w14:textId="77777777" w:rsidR="004C1F82" w:rsidRDefault="004C1F82" w:rsidP="006961DC">
      <w:pPr>
        <w:spacing w:line="360" w:lineRule="auto"/>
        <w:rPr>
          <w:rFonts w:cs="Times New Roman"/>
          <w:szCs w:val="24"/>
        </w:rPr>
      </w:pPr>
    </w:p>
    <w:p w14:paraId="4E66826E" w14:textId="77777777" w:rsidR="004C1F82" w:rsidRPr="002F0FE7" w:rsidRDefault="004C1F82" w:rsidP="006961DC">
      <w:pPr>
        <w:spacing w:line="360" w:lineRule="auto"/>
        <w:rPr>
          <w:rFonts w:cs="Times New Roman"/>
          <w:szCs w:val="24"/>
        </w:rPr>
      </w:pPr>
    </w:p>
    <w:p w14:paraId="4DA68828" w14:textId="77777777" w:rsidR="004C1F82" w:rsidRDefault="004C1F82" w:rsidP="006961DC">
      <w:pPr>
        <w:spacing w:line="360" w:lineRule="auto"/>
        <w:rPr>
          <w:rFonts w:cs="Times New Roman"/>
          <w:b/>
          <w:szCs w:val="24"/>
        </w:rPr>
      </w:pPr>
    </w:p>
    <w:p w14:paraId="08C24A57" w14:textId="77777777" w:rsidR="004C1F82" w:rsidRDefault="004C1F82" w:rsidP="006961DC">
      <w:pPr>
        <w:spacing w:line="360" w:lineRule="auto"/>
        <w:rPr>
          <w:rFonts w:cs="Times New Roman"/>
          <w:szCs w:val="24"/>
        </w:rPr>
      </w:pPr>
      <w:r w:rsidRPr="002F0FE7">
        <w:rPr>
          <w:rFonts w:cs="Times New Roman"/>
          <w:szCs w:val="24"/>
        </w:rPr>
        <w:t>Where k is the number of GPs</w:t>
      </w:r>
      <w:r>
        <w:rPr>
          <w:rFonts w:cs="Times New Roman"/>
          <w:szCs w:val="24"/>
        </w:rPr>
        <w:t xml:space="preserve"> and N is the total number of visits to all providers in a given time period. </w:t>
      </w:r>
    </w:p>
    <w:p w14:paraId="20AA9CFC" w14:textId="77777777" w:rsidR="004C1F82" w:rsidRDefault="004C1F82" w:rsidP="006961DC">
      <w:pPr>
        <w:spacing w:line="360" w:lineRule="auto"/>
        <w:rPr>
          <w:rFonts w:cs="Times New Roman"/>
          <w:szCs w:val="24"/>
        </w:rPr>
      </w:pPr>
      <w:r>
        <w:rPr>
          <w:rFonts w:cs="Times New Roman"/>
          <w:szCs w:val="24"/>
        </w:rPr>
        <w:t>For example if the sequence of 10 GP visits observed over the time period was AAAABBBCCC, where each letter represents a unique GP then the MMCI is (1-3/10=10.1)/(1-1/=10.1) = 0.78.</w:t>
      </w:r>
    </w:p>
    <w:p w14:paraId="4C553DEC" w14:textId="77777777" w:rsidR="004C1F82" w:rsidRDefault="004C1F82" w:rsidP="006961DC">
      <w:pPr>
        <w:spacing w:line="360" w:lineRule="auto"/>
        <w:rPr>
          <w:rFonts w:cs="Times New Roman"/>
          <w:szCs w:val="24"/>
        </w:rPr>
      </w:pPr>
      <w:r>
        <w:rPr>
          <w:rFonts w:cs="Times New Roman"/>
          <w:szCs w:val="24"/>
        </w:rPr>
        <w:t>The same number of visits to a different combination of GPs for example AAAABBBBBB would yield an MMCI of (1-2/10.1)/(1-1/10.1) = 0.89.</w:t>
      </w:r>
    </w:p>
    <w:p w14:paraId="7D35606C" w14:textId="77777777" w:rsidR="004C1F82" w:rsidRDefault="004C1F82" w:rsidP="006961DC">
      <w:pPr>
        <w:spacing w:line="360" w:lineRule="auto"/>
        <w:rPr>
          <w:rFonts w:cs="Times New Roman"/>
          <w:b/>
          <w:szCs w:val="24"/>
          <w:u w:val="single"/>
        </w:rPr>
      </w:pPr>
      <w:r w:rsidRPr="009B4D34">
        <w:rPr>
          <w:rFonts w:cs="Times New Roman"/>
          <w:b/>
          <w:szCs w:val="24"/>
          <w:u w:val="single"/>
        </w:rPr>
        <w:t xml:space="preserve">Usual Provider </w:t>
      </w:r>
      <w:r>
        <w:rPr>
          <w:rFonts w:cs="Times New Roman"/>
          <w:b/>
          <w:szCs w:val="24"/>
          <w:u w:val="single"/>
        </w:rPr>
        <w:t>of Care Index</w:t>
      </w:r>
      <w:r w:rsidRPr="009B4D34">
        <w:rPr>
          <w:rFonts w:cs="Times New Roman"/>
          <w:b/>
          <w:szCs w:val="24"/>
          <w:u w:val="single"/>
        </w:rPr>
        <w:t xml:space="preserve"> (UPC)</w:t>
      </w:r>
    </w:p>
    <w:p w14:paraId="03C0F956" w14:textId="77777777" w:rsidR="004C1F82" w:rsidRPr="005214E2" w:rsidRDefault="004C1F82" w:rsidP="006961DC">
      <w:pPr>
        <w:spacing w:line="360" w:lineRule="auto"/>
        <w:rPr>
          <w:rFonts w:cs="Times New Roman"/>
          <w:szCs w:val="24"/>
        </w:rPr>
      </w:pPr>
      <w:r w:rsidRPr="005214E2">
        <w:rPr>
          <w:rFonts w:cs="Times New Roman"/>
          <w:szCs w:val="24"/>
        </w:rPr>
        <w:t xml:space="preserve">Usual provider of care is defined as the proportion of a patient’s </w:t>
      </w:r>
      <w:r>
        <w:rPr>
          <w:rFonts w:cs="Times New Roman"/>
          <w:szCs w:val="24"/>
        </w:rPr>
        <w:t xml:space="preserve">GP </w:t>
      </w:r>
      <w:r w:rsidRPr="005214E2">
        <w:rPr>
          <w:rFonts w:cs="Times New Roman"/>
          <w:szCs w:val="24"/>
        </w:rPr>
        <w:t>contacts that was with their most regularly seen doctor</w:t>
      </w:r>
      <w:r>
        <w:rPr>
          <w:rFonts w:cs="Times New Roman"/>
          <w:szCs w:val="24"/>
        </w:rPr>
        <w:t xml:space="preserve"> identified during the time period of ascertainment. </w:t>
      </w:r>
      <w:r w:rsidRPr="00A54FB8">
        <w:rPr>
          <w:rFonts w:cs="Times New Roman"/>
          <w:szCs w:val="24"/>
        </w:rPr>
        <w:t>UPC reflects the “density” of care, or the</w:t>
      </w:r>
      <w:r>
        <w:rPr>
          <w:rFonts w:cs="Times New Roman"/>
          <w:szCs w:val="24"/>
        </w:rPr>
        <w:t xml:space="preserve"> </w:t>
      </w:r>
      <w:r w:rsidRPr="00A54FB8">
        <w:rPr>
          <w:rFonts w:cs="Times New Roman"/>
          <w:szCs w:val="24"/>
        </w:rPr>
        <w:t>extent to which visits are concentrated with a single usual</w:t>
      </w:r>
      <w:r>
        <w:rPr>
          <w:rFonts w:cs="Times New Roman"/>
          <w:szCs w:val="24"/>
        </w:rPr>
        <w:t xml:space="preserve"> </w:t>
      </w:r>
      <w:r w:rsidRPr="00A54FB8">
        <w:rPr>
          <w:rFonts w:cs="Times New Roman"/>
          <w:szCs w:val="24"/>
        </w:rPr>
        <w:t>provider or group of providers during a</w:t>
      </w:r>
      <w:r>
        <w:rPr>
          <w:rFonts w:cs="Times New Roman"/>
          <w:szCs w:val="24"/>
        </w:rPr>
        <w:t xml:space="preserve"> period of time. </w:t>
      </w:r>
      <w:r w:rsidRPr="006F21E0">
        <w:rPr>
          <w:rFonts w:cs="Times New Roman"/>
          <w:szCs w:val="24"/>
        </w:rPr>
        <w:t xml:space="preserve">It ranges from 0 (no visit to </w:t>
      </w:r>
      <w:r>
        <w:rPr>
          <w:rFonts w:cs="Times New Roman"/>
          <w:szCs w:val="24"/>
        </w:rPr>
        <w:t>a</w:t>
      </w:r>
      <w:r w:rsidRPr="006F21E0">
        <w:rPr>
          <w:rFonts w:cs="Times New Roman"/>
          <w:szCs w:val="24"/>
        </w:rPr>
        <w:t xml:space="preserve"> regular physician) to 1 (all visits made to the regular physician).</w:t>
      </w:r>
    </w:p>
    <w:p w14:paraId="1D2A1383" w14:textId="77777777" w:rsidR="004C1F82" w:rsidRPr="00991D24" w:rsidRDefault="004C1F82" w:rsidP="006961DC">
      <w:pPr>
        <w:spacing w:line="360" w:lineRule="auto"/>
        <w:rPr>
          <w:rFonts w:cs="Times New Roman"/>
          <w:szCs w:val="24"/>
        </w:rPr>
      </w:pPr>
      <w:r w:rsidRPr="00991D24">
        <w:rPr>
          <w:rFonts w:cs="Times New Roman"/>
          <w:szCs w:val="24"/>
        </w:rPr>
        <w:t xml:space="preserve">The UPC was calculated using </w:t>
      </w:r>
      <w:r>
        <w:rPr>
          <w:rFonts w:cs="Times New Roman"/>
          <w:szCs w:val="24"/>
        </w:rPr>
        <w:t>the</w:t>
      </w:r>
      <w:r w:rsidRPr="00991D24">
        <w:rPr>
          <w:rFonts w:cs="Times New Roman"/>
          <w:szCs w:val="24"/>
        </w:rPr>
        <w:t xml:space="preserve"> formula shown below</w:t>
      </w:r>
      <w:r>
        <w:rPr>
          <w:rFonts w:cs="Times New Roman"/>
          <w:szCs w:val="24"/>
        </w:rPr>
        <w:t xml:space="preserve"> </w:t>
      </w:r>
      <w:r>
        <w:rPr>
          <w:rFonts w:cs="Times New Roman"/>
          <w:noProof/>
          <w:szCs w:val="24"/>
        </w:rPr>
        <w:t>(2)</w:t>
      </w:r>
      <w:r w:rsidRPr="00991D24">
        <w:rPr>
          <w:rFonts w:cs="Times New Roman"/>
          <w:szCs w:val="24"/>
        </w:rPr>
        <w:t>.</w:t>
      </w:r>
    </w:p>
    <w:p w14:paraId="723B5610" w14:textId="77777777" w:rsidR="004C1F82" w:rsidRDefault="001E2B8B" w:rsidP="006961DC">
      <w:pPr>
        <w:spacing w:line="360" w:lineRule="auto"/>
        <w:rPr>
          <w:rFonts w:cs="Times New Roman"/>
          <w:szCs w:val="24"/>
        </w:rPr>
      </w:pPr>
      <w:r>
        <w:rPr>
          <w:rFonts w:cs="Times New Roman"/>
          <w:noProof/>
          <w:szCs w:val="24"/>
          <w:vertAlign w:val="superscript"/>
        </w:rPr>
        <w:lastRenderedPageBreak/>
        <w:pict w14:anchorId="1CD0BE56">
          <v:shape id="_x0000_s1027" type="#_x0000_t202" style="position:absolute;left:0;text-align:left;margin-left:123.55pt;margin-top:.8pt;width:178.6pt;height:54.7pt;z-index:251656192">
            <v:textbox>
              <w:txbxContent>
                <w:p w14:paraId="2B8ABC11" w14:textId="77777777" w:rsidR="004C1F82" w:rsidRDefault="004C1F82">
                  <w:r>
                    <w:rPr>
                      <w:noProof/>
                      <w:lang w:val="en-US"/>
                    </w:rPr>
                    <w:drawing>
                      <wp:inline distT="0" distB="0" distL="0" distR="0" wp14:anchorId="29F750EE" wp14:editId="0FE87402">
                        <wp:extent cx="2075815" cy="5822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mpsnip.png"/>
                                <pic:cNvPicPr/>
                              </pic:nvPicPr>
                              <pic:blipFill>
                                <a:blip r:embed="rId7">
                                  <a:extLst>
                                    <a:ext uri="{28A0092B-C50C-407E-A947-70E740481C1C}">
                                      <a14:useLocalDpi xmlns:a14="http://schemas.microsoft.com/office/drawing/2010/main" val="0"/>
                                    </a:ext>
                                  </a:extLst>
                                </a:blip>
                                <a:stretch>
                                  <a:fillRect/>
                                </a:stretch>
                              </pic:blipFill>
                              <pic:spPr>
                                <a:xfrm>
                                  <a:off x="0" y="0"/>
                                  <a:ext cx="2075815" cy="582295"/>
                                </a:xfrm>
                                <a:prstGeom prst="rect">
                                  <a:avLst/>
                                </a:prstGeom>
                              </pic:spPr>
                            </pic:pic>
                          </a:graphicData>
                        </a:graphic>
                      </wp:inline>
                    </w:drawing>
                  </w:r>
                </w:p>
              </w:txbxContent>
            </v:textbox>
          </v:shape>
        </w:pict>
      </w:r>
    </w:p>
    <w:p w14:paraId="69619CF8" w14:textId="77777777" w:rsidR="004C1F82" w:rsidRDefault="004C1F82" w:rsidP="006961DC">
      <w:pPr>
        <w:spacing w:line="360" w:lineRule="auto"/>
        <w:rPr>
          <w:rFonts w:cs="Times New Roman"/>
          <w:szCs w:val="24"/>
        </w:rPr>
      </w:pPr>
    </w:p>
    <w:p w14:paraId="60CFCB5B" w14:textId="77777777" w:rsidR="004C1F82" w:rsidRDefault="004C1F82" w:rsidP="006961DC">
      <w:pPr>
        <w:spacing w:line="360" w:lineRule="auto"/>
        <w:rPr>
          <w:rFonts w:cs="Times New Roman"/>
          <w:szCs w:val="24"/>
        </w:rPr>
      </w:pPr>
    </w:p>
    <w:p w14:paraId="1EB9462A" w14:textId="77777777" w:rsidR="004C1F82" w:rsidRDefault="004C1F82" w:rsidP="006961DC">
      <w:pPr>
        <w:spacing w:line="360" w:lineRule="auto"/>
        <w:rPr>
          <w:rFonts w:cs="Times New Roman"/>
          <w:szCs w:val="24"/>
        </w:rPr>
      </w:pPr>
      <w:r>
        <w:rPr>
          <w:rFonts w:cs="Times New Roman"/>
          <w:szCs w:val="24"/>
        </w:rPr>
        <w:t>Where max (n</w:t>
      </w:r>
      <w:r>
        <w:rPr>
          <w:rFonts w:cs="Times New Roman"/>
          <w:szCs w:val="24"/>
          <w:vertAlign w:val="subscript"/>
        </w:rPr>
        <w:t>1</w:t>
      </w:r>
      <w:r>
        <w:rPr>
          <w:rFonts w:cs="Times New Roman"/>
          <w:szCs w:val="24"/>
        </w:rPr>
        <w:t>, n</w:t>
      </w:r>
      <w:r>
        <w:rPr>
          <w:rFonts w:cs="Times New Roman"/>
          <w:szCs w:val="24"/>
          <w:vertAlign w:val="subscript"/>
        </w:rPr>
        <w:t>2</w:t>
      </w:r>
      <w:r>
        <w:rPr>
          <w:rFonts w:cs="Times New Roman"/>
          <w:szCs w:val="24"/>
        </w:rPr>
        <w:t>,…n</w:t>
      </w:r>
      <w:r>
        <w:rPr>
          <w:rFonts w:cs="Times New Roman"/>
          <w:szCs w:val="24"/>
          <w:vertAlign w:val="subscript"/>
        </w:rPr>
        <w:t>k</w:t>
      </w:r>
      <w:r>
        <w:rPr>
          <w:rFonts w:cs="Times New Roman"/>
          <w:szCs w:val="24"/>
        </w:rPr>
        <w:t>) is the number of visits to the GP with whom the patient had the greatest number of visits, and N is the total number of visits by the patient to all providers during the same period.</w:t>
      </w:r>
    </w:p>
    <w:p w14:paraId="44C58682" w14:textId="77777777" w:rsidR="004C1F82" w:rsidRPr="009B4D34" w:rsidRDefault="004C1F82" w:rsidP="006961DC">
      <w:pPr>
        <w:spacing w:line="360" w:lineRule="auto"/>
        <w:rPr>
          <w:rFonts w:cs="Times New Roman"/>
          <w:szCs w:val="24"/>
        </w:rPr>
      </w:pPr>
      <w:r>
        <w:rPr>
          <w:rFonts w:cs="Times New Roman"/>
          <w:szCs w:val="24"/>
        </w:rPr>
        <w:t>For the same two GP visit combinations described above the UPC is:</w:t>
      </w:r>
    </w:p>
    <w:p w14:paraId="68C60D7A" w14:textId="77777777" w:rsidR="004C1F82" w:rsidRDefault="004C1F82" w:rsidP="006961DC">
      <w:pPr>
        <w:spacing w:line="360" w:lineRule="auto"/>
        <w:rPr>
          <w:rFonts w:cs="Times New Roman"/>
          <w:szCs w:val="24"/>
        </w:rPr>
      </w:pPr>
      <w:r>
        <w:rPr>
          <w:rFonts w:cs="Times New Roman"/>
          <w:szCs w:val="24"/>
        </w:rPr>
        <w:t>AAAABBBCCC = (4/10) 0.40</w:t>
      </w:r>
    </w:p>
    <w:p w14:paraId="110002E0" w14:textId="77777777" w:rsidR="004C1F82" w:rsidRDefault="004C1F82" w:rsidP="006961DC">
      <w:pPr>
        <w:spacing w:line="360" w:lineRule="auto"/>
        <w:rPr>
          <w:rFonts w:cs="Times New Roman"/>
          <w:b/>
          <w:szCs w:val="24"/>
          <w:u w:val="single"/>
        </w:rPr>
      </w:pPr>
      <w:r>
        <w:rPr>
          <w:rFonts w:cs="Times New Roman"/>
          <w:szCs w:val="24"/>
        </w:rPr>
        <w:t>AAAABBBBBB = (6/10) = 0.60</w:t>
      </w:r>
    </w:p>
    <w:p w14:paraId="487B0106" w14:textId="77777777" w:rsidR="004C1F82" w:rsidRDefault="004C1F82" w:rsidP="006961DC">
      <w:pPr>
        <w:spacing w:line="360" w:lineRule="auto"/>
        <w:rPr>
          <w:rFonts w:cs="Times New Roman"/>
          <w:b/>
          <w:szCs w:val="24"/>
          <w:u w:val="single"/>
        </w:rPr>
      </w:pPr>
      <w:r w:rsidRPr="006F21E0">
        <w:rPr>
          <w:rFonts w:cs="Times New Roman"/>
          <w:b/>
          <w:szCs w:val="24"/>
          <w:u w:val="single"/>
        </w:rPr>
        <w:t>Modified Regularity</w:t>
      </w:r>
      <w:r>
        <w:rPr>
          <w:rFonts w:cs="Times New Roman"/>
          <w:b/>
          <w:szCs w:val="24"/>
          <w:u w:val="single"/>
        </w:rPr>
        <w:t xml:space="preserve"> Index</w:t>
      </w:r>
    </w:p>
    <w:p w14:paraId="31E31F1E" w14:textId="77777777" w:rsidR="004C1F82" w:rsidRDefault="004C1F82" w:rsidP="006961DC">
      <w:pPr>
        <w:spacing w:line="360" w:lineRule="auto"/>
        <w:rPr>
          <w:rFonts w:cs="Times New Roman"/>
          <w:szCs w:val="24"/>
        </w:rPr>
      </w:pPr>
      <w:r w:rsidRPr="00271A8E">
        <w:rPr>
          <w:rFonts w:cs="Times New Roman"/>
          <w:szCs w:val="24"/>
        </w:rPr>
        <w:t>Under most previous measures a patient seeing a single provider on a regular, frequent basis may have a similar continuity score to a patient seeing a single provider on a very fragmented basis. For this reason, a body of work from Australia has evolved to explore the concept of ‘regularity’ of GP contact</w:t>
      </w:r>
      <w:r>
        <w:rPr>
          <w:rFonts w:cs="Times New Roman"/>
          <w:szCs w:val="24"/>
        </w:rPr>
        <w:t xml:space="preserve">. </w:t>
      </w:r>
      <w:r w:rsidRPr="00271A8E">
        <w:rPr>
          <w:rFonts w:cs="Times New Roman"/>
          <w:szCs w:val="24"/>
        </w:rPr>
        <w:t>Regularity refers not to the number of GP visits, but rather measures the dispersion of GP visits over time, with more even dispersion indicating better regularity.</w:t>
      </w:r>
      <w:r>
        <w:rPr>
          <w:rFonts w:cs="Times New Roman"/>
          <w:szCs w:val="24"/>
        </w:rPr>
        <w:t xml:space="preserve"> R</w:t>
      </w:r>
      <w:r w:rsidRPr="00271A8E">
        <w:rPr>
          <w:rFonts w:cs="Times New Roman"/>
          <w:szCs w:val="24"/>
        </w:rPr>
        <w:t xml:space="preserve">egular primary care </w:t>
      </w:r>
      <w:r>
        <w:rPr>
          <w:rFonts w:cs="Times New Roman"/>
          <w:szCs w:val="24"/>
        </w:rPr>
        <w:t xml:space="preserve">may be </w:t>
      </w:r>
      <w:r w:rsidRPr="00271A8E">
        <w:rPr>
          <w:rFonts w:cs="Times New Roman"/>
          <w:szCs w:val="24"/>
        </w:rPr>
        <w:t>indicative of proactive management of a patient or condition, as opposed to reactive or unplanned care</w:t>
      </w:r>
      <w:r>
        <w:rPr>
          <w:rFonts w:cs="Times New Roman"/>
          <w:szCs w:val="24"/>
        </w:rPr>
        <w:t xml:space="preserve"> </w:t>
      </w:r>
      <w:r>
        <w:rPr>
          <w:rFonts w:cs="Times New Roman"/>
          <w:noProof/>
          <w:szCs w:val="24"/>
        </w:rPr>
        <w:t>(3)</w:t>
      </w:r>
      <w:r w:rsidRPr="00271A8E">
        <w:rPr>
          <w:rFonts w:cs="Times New Roman"/>
          <w:szCs w:val="24"/>
        </w:rPr>
        <w:t>.</w:t>
      </w:r>
    </w:p>
    <w:p w14:paraId="712D96DD" w14:textId="287BFAA7" w:rsidR="004C1F82" w:rsidRPr="006F21E0" w:rsidRDefault="004C1F82" w:rsidP="006961DC">
      <w:pPr>
        <w:spacing w:line="360" w:lineRule="auto"/>
        <w:rPr>
          <w:rFonts w:cs="Times New Roman"/>
          <w:szCs w:val="24"/>
        </w:rPr>
      </w:pPr>
      <w:r w:rsidRPr="006F21E0">
        <w:rPr>
          <w:rFonts w:cs="Times New Roman"/>
          <w:szCs w:val="24"/>
        </w:rPr>
        <w:t xml:space="preserve">The </w:t>
      </w:r>
      <w:r>
        <w:rPr>
          <w:rFonts w:cs="Times New Roman"/>
          <w:szCs w:val="24"/>
        </w:rPr>
        <w:t>original Regularity Index</w:t>
      </w:r>
      <w:r w:rsidRPr="006F21E0">
        <w:rPr>
          <w:rFonts w:cs="Times New Roman"/>
          <w:szCs w:val="24"/>
        </w:rPr>
        <w:t xml:space="preserve"> was based on the variance in the number of days between consecutive GP visits</w:t>
      </w:r>
      <w:r>
        <w:rPr>
          <w:rFonts w:cs="Times New Roman"/>
          <w:szCs w:val="24"/>
        </w:rPr>
        <w:t xml:space="preserve"> </w:t>
      </w:r>
      <w:r>
        <w:rPr>
          <w:rFonts w:cs="Times New Roman"/>
          <w:noProof/>
          <w:szCs w:val="24"/>
        </w:rPr>
        <w:t>(4-6)</w:t>
      </w:r>
      <w:r w:rsidRPr="006F21E0">
        <w:rPr>
          <w:rFonts w:cs="Times New Roman"/>
          <w:szCs w:val="24"/>
        </w:rPr>
        <w:t xml:space="preserve">. The newly developed </w:t>
      </w:r>
      <w:r>
        <w:rPr>
          <w:rFonts w:cs="Times New Roman"/>
          <w:szCs w:val="24"/>
        </w:rPr>
        <w:t xml:space="preserve">modified regularity index is a </w:t>
      </w:r>
      <w:r w:rsidRPr="006F21E0">
        <w:rPr>
          <w:rFonts w:cs="Times New Roman"/>
          <w:szCs w:val="24"/>
        </w:rPr>
        <w:t>relative variance index</w:t>
      </w:r>
      <w:r>
        <w:rPr>
          <w:rFonts w:cs="Times New Roman"/>
          <w:szCs w:val="24"/>
        </w:rPr>
        <w:t xml:space="preserve"> and used </w:t>
      </w:r>
      <w:r w:rsidRPr="006F21E0">
        <w:rPr>
          <w:rFonts w:cs="Times New Roman"/>
          <w:szCs w:val="24"/>
        </w:rPr>
        <w:t xml:space="preserve">the </w:t>
      </w:r>
      <w:r>
        <w:rPr>
          <w:rFonts w:cs="Times New Roman"/>
          <w:szCs w:val="24"/>
        </w:rPr>
        <w:t>c</w:t>
      </w:r>
      <w:r w:rsidRPr="006F21E0">
        <w:rPr>
          <w:rFonts w:cs="Times New Roman"/>
          <w:szCs w:val="24"/>
        </w:rPr>
        <w:t xml:space="preserve">oefficient of </w:t>
      </w:r>
      <w:r>
        <w:rPr>
          <w:rFonts w:cs="Times New Roman"/>
          <w:szCs w:val="24"/>
        </w:rPr>
        <w:t>v</w:t>
      </w:r>
      <w:r w:rsidRPr="006F21E0">
        <w:rPr>
          <w:rFonts w:cs="Times New Roman"/>
          <w:szCs w:val="24"/>
        </w:rPr>
        <w:t>ariation (CV) in the number of days between consecutive GP visits rather than the variance. The CV describes variation as a percentage of a variable’s mean</w:t>
      </w:r>
      <w:r>
        <w:rPr>
          <w:rFonts w:cs="Times New Roman"/>
          <w:szCs w:val="24"/>
        </w:rPr>
        <w:t xml:space="preserve"> and therefore </w:t>
      </w:r>
      <w:r w:rsidRPr="006F21E0">
        <w:rPr>
          <w:rFonts w:cs="Times New Roman"/>
          <w:szCs w:val="24"/>
        </w:rPr>
        <w:t xml:space="preserve">does not systematically differ with changes in </w:t>
      </w:r>
      <w:r>
        <w:rPr>
          <w:rFonts w:cs="Times New Roman"/>
          <w:szCs w:val="24"/>
        </w:rPr>
        <w:t xml:space="preserve">the </w:t>
      </w:r>
      <w:r w:rsidRPr="006F21E0">
        <w:rPr>
          <w:rFonts w:cs="Times New Roman"/>
          <w:szCs w:val="24"/>
        </w:rPr>
        <w:t xml:space="preserve">mean </w:t>
      </w:r>
      <w:r>
        <w:rPr>
          <w:rFonts w:cs="Times New Roman"/>
          <w:szCs w:val="24"/>
        </w:rPr>
        <w:t>number of GP visits</w:t>
      </w:r>
      <w:r w:rsidR="001F239A">
        <w:rPr>
          <w:rFonts w:cs="Times New Roman"/>
          <w:szCs w:val="24"/>
        </w:rPr>
        <w:t xml:space="preserve"> </w:t>
      </w:r>
      <w:r>
        <w:rPr>
          <w:rFonts w:cs="Times New Roman"/>
          <w:noProof/>
          <w:szCs w:val="24"/>
        </w:rPr>
        <w:t>(7)</w:t>
      </w:r>
      <w:r>
        <w:rPr>
          <w:rFonts w:cs="Times New Roman"/>
          <w:szCs w:val="24"/>
        </w:rPr>
        <w:t>.</w:t>
      </w:r>
      <w:r w:rsidRPr="006F21E0">
        <w:rPr>
          <w:rFonts w:cs="Times New Roman"/>
          <w:szCs w:val="24"/>
        </w:rPr>
        <w:t xml:space="preserve"> As the mean number of days between GP contacts depends on the number of visits a person has, th</w:t>
      </w:r>
      <w:r>
        <w:rPr>
          <w:rFonts w:cs="Times New Roman"/>
          <w:szCs w:val="24"/>
        </w:rPr>
        <w:t xml:space="preserve">e aim of this updated regularity index is </w:t>
      </w:r>
      <w:r w:rsidRPr="006F21E0">
        <w:rPr>
          <w:rFonts w:cs="Times New Roman"/>
          <w:szCs w:val="24"/>
        </w:rPr>
        <w:t>to measure regularity independently of the frequency of GP contact.</w:t>
      </w:r>
    </w:p>
    <w:p w14:paraId="7D019BBC" w14:textId="77777777" w:rsidR="004C1F82" w:rsidRDefault="004C1F82" w:rsidP="006961DC">
      <w:pPr>
        <w:spacing w:line="360" w:lineRule="auto"/>
        <w:rPr>
          <w:rFonts w:cs="Times New Roman"/>
          <w:szCs w:val="24"/>
        </w:rPr>
      </w:pPr>
      <w:r w:rsidRPr="00D55BBE">
        <w:rPr>
          <w:rFonts w:cs="Times New Roman"/>
          <w:szCs w:val="24"/>
        </w:rPr>
        <w:t>The coefficient of variation (Cv) was calculated with the formula</w:t>
      </w:r>
      <w:r>
        <w:rPr>
          <w:rFonts w:cs="Times New Roman"/>
          <w:szCs w:val="24"/>
        </w:rPr>
        <w:t>:</w:t>
      </w:r>
    </w:p>
    <w:p w14:paraId="41C07A73" w14:textId="77777777" w:rsidR="004C1F82" w:rsidRPr="00D55BBE" w:rsidRDefault="001E2B8B" w:rsidP="006961DC">
      <w:pPr>
        <w:spacing w:line="360" w:lineRule="auto"/>
        <w:rPr>
          <w:rFonts w:cs="Times New Roman"/>
          <w:szCs w:val="24"/>
        </w:rPr>
      </w:pPr>
      <w:r>
        <w:rPr>
          <w:rFonts w:cs="Times New Roman"/>
          <w:noProof/>
          <w:szCs w:val="24"/>
        </w:rPr>
        <w:pict w14:anchorId="0F22B6F2">
          <v:shape id="_x0000_s1028" type="#_x0000_t202" style="position:absolute;left:0;text-align:left;margin-left:141.5pt;margin-top:.95pt;width:202.5pt;height:65pt;z-index:251657216">
            <v:textbox>
              <w:txbxContent>
                <w:p w14:paraId="17836C26" w14:textId="77777777" w:rsidR="004C1F82" w:rsidRDefault="004C1F82">
                  <w:r>
                    <w:rPr>
                      <w:noProof/>
                      <w:lang w:val="en-US"/>
                    </w:rPr>
                    <w:drawing>
                      <wp:inline distT="0" distB="0" distL="0" distR="0" wp14:anchorId="63B73762" wp14:editId="06D48F75">
                        <wp:extent cx="2531561" cy="711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36891" cy="712697"/>
                                </a:xfrm>
                                <a:prstGeom prst="rect">
                                  <a:avLst/>
                                </a:prstGeom>
                              </pic:spPr>
                            </pic:pic>
                          </a:graphicData>
                        </a:graphic>
                      </wp:inline>
                    </w:drawing>
                  </w:r>
                </w:p>
              </w:txbxContent>
            </v:textbox>
          </v:shape>
        </w:pict>
      </w:r>
    </w:p>
    <w:p w14:paraId="10267110" w14:textId="77777777" w:rsidR="004C1F82" w:rsidRPr="009B4D34" w:rsidRDefault="004C1F82" w:rsidP="006961DC">
      <w:pPr>
        <w:spacing w:line="360" w:lineRule="auto"/>
        <w:rPr>
          <w:rFonts w:cs="Times New Roman"/>
          <w:b/>
          <w:szCs w:val="24"/>
          <w:u w:val="single"/>
        </w:rPr>
      </w:pPr>
    </w:p>
    <w:p w14:paraId="2DCC19C7" w14:textId="77777777" w:rsidR="004C1F82" w:rsidRDefault="004C1F82" w:rsidP="006961DC">
      <w:pPr>
        <w:spacing w:line="360" w:lineRule="auto"/>
        <w:rPr>
          <w:rFonts w:cs="Times New Roman"/>
          <w:szCs w:val="24"/>
        </w:rPr>
      </w:pPr>
    </w:p>
    <w:p w14:paraId="0A05AC28" w14:textId="77777777" w:rsidR="004C1F82" w:rsidRDefault="004C1F82" w:rsidP="006961DC">
      <w:pPr>
        <w:spacing w:line="360" w:lineRule="auto"/>
        <w:rPr>
          <w:rFonts w:cs="Times New Roman"/>
          <w:szCs w:val="24"/>
        </w:rPr>
      </w:pPr>
      <w:r>
        <w:rPr>
          <w:rFonts w:cs="Times New Roman"/>
          <w:szCs w:val="24"/>
        </w:rPr>
        <w:lastRenderedPageBreak/>
        <w:t>Where days refers to the number of days between consecutive GP visits during the time period.</w:t>
      </w:r>
    </w:p>
    <w:p w14:paraId="16AA2B3D" w14:textId="77777777" w:rsidR="004C1F82" w:rsidRDefault="004C1F82" w:rsidP="006961DC">
      <w:pPr>
        <w:spacing w:line="360" w:lineRule="auto"/>
        <w:rPr>
          <w:rFonts w:cs="Times New Roman"/>
          <w:szCs w:val="24"/>
        </w:rPr>
      </w:pPr>
      <w:r w:rsidRPr="00D55BBE">
        <w:rPr>
          <w:rFonts w:cs="Times New Roman"/>
          <w:szCs w:val="24"/>
        </w:rPr>
        <w:t>The modified regularity index (RCv) was constructed using the formula</w:t>
      </w:r>
      <w:r>
        <w:rPr>
          <w:rFonts w:cs="Times New Roman"/>
          <w:szCs w:val="24"/>
        </w:rPr>
        <w:t>:</w:t>
      </w:r>
    </w:p>
    <w:p w14:paraId="19497930" w14:textId="77777777" w:rsidR="004C1F82" w:rsidRDefault="001E2B8B" w:rsidP="006961DC">
      <w:pPr>
        <w:spacing w:line="360" w:lineRule="auto"/>
        <w:rPr>
          <w:rFonts w:cs="Times New Roman"/>
          <w:szCs w:val="24"/>
        </w:rPr>
      </w:pPr>
      <w:r>
        <w:rPr>
          <w:rFonts w:cs="Times New Roman"/>
          <w:noProof/>
          <w:szCs w:val="24"/>
        </w:rPr>
        <w:pict w14:anchorId="41D12340">
          <v:shape id="_x0000_s1029" type="#_x0000_t202" style="position:absolute;left:0;text-align:left;margin-left:147pt;margin-top:10.4pt;width:157.5pt;height:41pt;z-index:251658240">
            <v:textbox>
              <w:txbxContent>
                <w:p w14:paraId="3D511196" w14:textId="77777777" w:rsidR="004C1F82" w:rsidRDefault="004C1F82">
                  <w:r>
                    <w:rPr>
                      <w:noProof/>
                      <w:lang w:val="en-US"/>
                    </w:rPr>
                    <w:drawing>
                      <wp:inline distT="0" distB="0" distL="0" distR="0" wp14:anchorId="239041B7" wp14:editId="7035C485">
                        <wp:extent cx="1822450" cy="36160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48653" cy="366800"/>
                                </a:xfrm>
                                <a:prstGeom prst="rect">
                                  <a:avLst/>
                                </a:prstGeom>
                              </pic:spPr>
                            </pic:pic>
                          </a:graphicData>
                        </a:graphic>
                      </wp:inline>
                    </w:drawing>
                  </w:r>
                </w:p>
              </w:txbxContent>
            </v:textbox>
          </v:shape>
        </w:pict>
      </w:r>
    </w:p>
    <w:p w14:paraId="32BAD87E" w14:textId="77777777" w:rsidR="004C1F82" w:rsidRDefault="004C1F82" w:rsidP="006961DC">
      <w:pPr>
        <w:spacing w:line="360" w:lineRule="auto"/>
        <w:rPr>
          <w:rFonts w:cs="Times New Roman"/>
          <w:szCs w:val="24"/>
        </w:rPr>
      </w:pPr>
    </w:p>
    <w:p w14:paraId="45101A23" w14:textId="77777777" w:rsidR="004C1F82" w:rsidRDefault="004C1F82" w:rsidP="006961DC">
      <w:pPr>
        <w:spacing w:line="360" w:lineRule="auto"/>
        <w:rPr>
          <w:rFonts w:cs="Times New Roman"/>
          <w:szCs w:val="24"/>
        </w:rPr>
      </w:pPr>
    </w:p>
    <w:p w14:paraId="15C78BAE" w14:textId="77777777" w:rsidR="004C1F82" w:rsidRDefault="004C1F82" w:rsidP="006961DC">
      <w:pPr>
        <w:spacing w:line="360" w:lineRule="auto"/>
        <w:rPr>
          <w:rFonts w:cs="Times New Roman"/>
          <w:szCs w:val="24"/>
        </w:rPr>
      </w:pPr>
      <w:r w:rsidRPr="00271A8E">
        <w:rPr>
          <w:rFonts w:cs="Times New Roman"/>
          <w:szCs w:val="24"/>
        </w:rPr>
        <w:t>This result</w:t>
      </w:r>
      <w:r>
        <w:rPr>
          <w:rFonts w:cs="Times New Roman"/>
          <w:szCs w:val="24"/>
        </w:rPr>
        <w:t>s</w:t>
      </w:r>
      <w:r w:rsidRPr="00271A8E">
        <w:rPr>
          <w:rFonts w:cs="Times New Roman"/>
          <w:szCs w:val="24"/>
        </w:rPr>
        <w:t xml:space="preserve"> in a score between 0 and 1 per individual</w:t>
      </w:r>
      <w:r>
        <w:rPr>
          <w:rFonts w:cs="Times New Roman"/>
          <w:szCs w:val="24"/>
        </w:rPr>
        <w:t xml:space="preserve"> per time period</w:t>
      </w:r>
      <w:r w:rsidRPr="00271A8E">
        <w:rPr>
          <w:rFonts w:cs="Times New Roman"/>
          <w:szCs w:val="24"/>
        </w:rPr>
        <w:t xml:space="preserve">, with 1 indicating perfectly regular contact. </w:t>
      </w:r>
    </w:p>
    <w:p w14:paraId="23465952" w14:textId="77777777" w:rsidR="004C1F82" w:rsidRDefault="004C1F82" w:rsidP="006961DC">
      <w:pPr>
        <w:spacing w:line="360" w:lineRule="auto"/>
        <w:rPr>
          <w:rFonts w:cs="Times New Roman"/>
          <w:szCs w:val="24"/>
        </w:rPr>
      </w:pPr>
    </w:p>
    <w:p w14:paraId="5CDD60B9" w14:textId="77777777" w:rsidR="004C1F82" w:rsidRDefault="004C1F82" w:rsidP="006961DC">
      <w:pPr>
        <w:spacing w:line="360" w:lineRule="auto"/>
        <w:rPr>
          <w:rFonts w:cs="Times New Roman"/>
          <w:b/>
          <w:szCs w:val="24"/>
        </w:rPr>
      </w:pPr>
      <w:r w:rsidRPr="00271A8E">
        <w:rPr>
          <w:rFonts w:cs="Times New Roman"/>
          <w:b/>
          <w:szCs w:val="24"/>
        </w:rPr>
        <w:t>References</w:t>
      </w:r>
    </w:p>
    <w:p w14:paraId="33D4936B" w14:textId="77777777" w:rsidR="006D2E72" w:rsidRPr="00E863D8" w:rsidRDefault="006D2E72" w:rsidP="006D2E72">
      <w:pPr>
        <w:numPr>
          <w:ilvl w:val="0"/>
          <w:numId w:val="4"/>
        </w:numPr>
        <w:contextualSpacing/>
      </w:pPr>
      <w:r w:rsidRPr="00E863D8">
        <w:t xml:space="preserve">Magill MK, Senf J. A new method for measuring continuity of care in family practice residencies. </w:t>
      </w:r>
      <w:r w:rsidRPr="00E863D8">
        <w:rPr>
          <w:i/>
        </w:rPr>
        <w:t>J Fam Pract.</w:t>
      </w:r>
      <w:r w:rsidRPr="00E863D8">
        <w:t xml:space="preserve"> 1987; 24(2):165-8.</w:t>
      </w:r>
    </w:p>
    <w:p w14:paraId="7D282D29" w14:textId="77777777" w:rsidR="006D2E72" w:rsidRPr="00E863D8" w:rsidRDefault="006D2E72" w:rsidP="006D2E72">
      <w:pPr>
        <w:numPr>
          <w:ilvl w:val="0"/>
          <w:numId w:val="4"/>
        </w:numPr>
        <w:contextualSpacing/>
      </w:pPr>
      <w:r w:rsidRPr="00E863D8">
        <w:t xml:space="preserve">Breslau N, Haug MR. Service delivery structure and continuity of care: a case study of a pediatric practice in process of reorganization. </w:t>
      </w:r>
      <w:r w:rsidRPr="00E863D8">
        <w:rPr>
          <w:i/>
        </w:rPr>
        <w:t>J Health Soc Behav.</w:t>
      </w:r>
      <w:r w:rsidRPr="00E863D8">
        <w:t xml:space="preserve"> 1976; 17(4):339-52.</w:t>
      </w:r>
    </w:p>
    <w:p w14:paraId="09596E11" w14:textId="77777777" w:rsidR="006D2E72" w:rsidRPr="00E863D8" w:rsidRDefault="006D2E72" w:rsidP="006D2E72">
      <w:pPr>
        <w:numPr>
          <w:ilvl w:val="0"/>
          <w:numId w:val="4"/>
        </w:numPr>
        <w:contextualSpacing/>
      </w:pPr>
      <w:r w:rsidRPr="00E863D8">
        <w:t xml:space="preserve">Youens D, Harris M, Robinson S, Preen DB, Moorin RE. Regularity of contact with GPs: Measurement approaches to improve valid associations with hospitalization. </w:t>
      </w:r>
      <w:r w:rsidRPr="00E863D8">
        <w:rPr>
          <w:i/>
        </w:rPr>
        <w:t>Fam Pract.</w:t>
      </w:r>
      <w:r w:rsidRPr="00E863D8">
        <w:t xml:space="preserve"> 2019.</w:t>
      </w:r>
    </w:p>
    <w:p w14:paraId="46E03281" w14:textId="77777777" w:rsidR="006D2E72" w:rsidRPr="00E863D8" w:rsidRDefault="006D2E72" w:rsidP="006D2E72">
      <w:pPr>
        <w:numPr>
          <w:ilvl w:val="0"/>
          <w:numId w:val="4"/>
        </w:numPr>
        <w:contextualSpacing/>
      </w:pPr>
      <w:r w:rsidRPr="00E863D8">
        <w:t xml:space="preserve">Einarsdóttir K, Preen D, Emery J, Kelman C, Holman C. Regular primary care lowers hospitalisation risk and mortality in seniors with chronic respiratory diseases. </w:t>
      </w:r>
      <w:r w:rsidRPr="00E863D8">
        <w:rPr>
          <w:i/>
        </w:rPr>
        <w:t>J Gen Intern Med.</w:t>
      </w:r>
      <w:r w:rsidRPr="00E863D8">
        <w:t xml:space="preserve"> 2010; 25(8):766-73.</w:t>
      </w:r>
    </w:p>
    <w:p w14:paraId="21FE5EC6" w14:textId="77777777" w:rsidR="006D2E72" w:rsidRPr="00E863D8" w:rsidRDefault="006D2E72" w:rsidP="006D2E72">
      <w:pPr>
        <w:numPr>
          <w:ilvl w:val="0"/>
          <w:numId w:val="4"/>
        </w:numPr>
        <w:contextualSpacing/>
      </w:pPr>
      <w:r w:rsidRPr="00E863D8">
        <w:t xml:space="preserve">Einarsdottir K, Preen DB, Holman CDJ, Emery J. Regular Primary Care Plays a Significant Role in Secondary Prevention of Ischemic Heart Disease in a Western Australian Cohort. </w:t>
      </w:r>
      <w:r w:rsidRPr="00E863D8">
        <w:rPr>
          <w:i/>
        </w:rPr>
        <w:t>J Gen Intern Med.</w:t>
      </w:r>
      <w:r w:rsidRPr="00E863D8">
        <w:t xml:space="preserve"> 2011; 26(10):1092-7.</w:t>
      </w:r>
    </w:p>
    <w:p w14:paraId="36869897" w14:textId="77777777" w:rsidR="004C1F82" w:rsidRPr="00202EF1" w:rsidRDefault="004C1F82" w:rsidP="00202EF1">
      <w:pPr>
        <w:pStyle w:val="ListParagraph"/>
        <w:numPr>
          <w:ilvl w:val="0"/>
          <w:numId w:val="4"/>
        </w:numPr>
      </w:pPr>
      <w:r w:rsidRPr="00202EF1">
        <w:lastRenderedPageBreak/>
        <w:t xml:space="preserve">Gibson D, Moorin R, Preen D, Emery J, Holman C. Effects of the Medicare Enhanced Primary Care program on primary care physician contact in the population of older Western Australians with chronic diseases. </w:t>
      </w:r>
      <w:r w:rsidRPr="006D2E72">
        <w:rPr>
          <w:i/>
        </w:rPr>
        <w:t>Aust Health Rev.</w:t>
      </w:r>
      <w:r w:rsidRPr="00202EF1">
        <w:t xml:space="preserve"> 2011</w:t>
      </w:r>
      <w:r w:rsidR="006D2E72" w:rsidRPr="00202EF1">
        <w:t>; 35:334</w:t>
      </w:r>
      <w:r w:rsidRPr="00202EF1">
        <w:t>-40.</w:t>
      </w:r>
    </w:p>
    <w:p w14:paraId="64989758" w14:textId="77777777" w:rsidR="004C1F82" w:rsidRPr="00202EF1" w:rsidRDefault="004C1F82" w:rsidP="00202EF1">
      <w:pPr>
        <w:pStyle w:val="ListParagraph"/>
        <w:numPr>
          <w:ilvl w:val="0"/>
          <w:numId w:val="4"/>
        </w:numPr>
      </w:pPr>
      <w:r w:rsidRPr="00202EF1">
        <w:t>Gujarati DN. Essentials of Econometrics. 3 ed. Sutton L</w:t>
      </w:r>
      <w:r w:rsidR="006D2E72">
        <w:t>, editor. New York: McGraw Hill,</w:t>
      </w:r>
      <w:r w:rsidRPr="00202EF1">
        <w:t xml:space="preserve"> 1996.</w:t>
      </w:r>
    </w:p>
    <w:p w14:paraId="4CF2F78A" w14:textId="77777777" w:rsidR="004C1F82" w:rsidRPr="00271A8E" w:rsidRDefault="004C1F82" w:rsidP="006961DC">
      <w:pPr>
        <w:spacing w:line="360" w:lineRule="auto"/>
        <w:rPr>
          <w:rFonts w:cs="Times New Roman"/>
          <w:b/>
          <w:szCs w:val="24"/>
        </w:rPr>
      </w:pPr>
    </w:p>
    <w:p w14:paraId="200F4A8B" w14:textId="77777777" w:rsidR="00D278CF" w:rsidRDefault="00D278CF"/>
    <w:sectPr w:rsidR="00D278CF" w:rsidSect="007017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libri Light">
    <w:panose1 w:val="020F030202020403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Arial">
    <w:panose1 w:val="020B0604020202020204"/>
    <w:charset w:val="00"/>
    <w:family w:val="auto"/>
    <w:pitch w:val="variable"/>
    <w:sig w:usb0="00000003" w:usb1="00000000" w:usb2="00000000" w:usb3="00000000" w:csb0="00000001" w:csb1="00000000"/>
  </w:font>
  <w:font w:name="Segoe UI">
    <w:altName w:val="Arial"/>
    <w:charset w:val="00"/>
    <w:family w:val="swiss"/>
    <w:pitch w:val="variable"/>
    <w:sig w:usb0="E4002EFF" w:usb1="C000E47F"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BB844E9"/>
    <w:multiLevelType w:val="hybridMultilevel"/>
    <w:tmpl w:val="9CC26140"/>
    <w:lvl w:ilvl="0" w:tplc="F2428B0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297F2338"/>
    <w:multiLevelType w:val="hybridMultilevel"/>
    <w:tmpl w:val="A8DC82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9C8285D"/>
    <w:multiLevelType w:val="hybridMultilevel"/>
    <w:tmpl w:val="83861A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603F0EA0"/>
    <w:multiLevelType w:val="hybridMultilevel"/>
    <w:tmpl w:val="EB547CAC"/>
    <w:lvl w:ilvl="0" w:tplc="BA8E591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62CB460B"/>
    <w:multiLevelType w:val="hybridMultilevel"/>
    <w:tmpl w:val="ACBC4FD0"/>
    <w:lvl w:ilvl="0" w:tplc="BA8E591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C1F82"/>
    <w:rsid w:val="001E2B8B"/>
    <w:rsid w:val="001F239A"/>
    <w:rsid w:val="00202EF1"/>
    <w:rsid w:val="004C1F82"/>
    <w:rsid w:val="004D1C22"/>
    <w:rsid w:val="006D2E72"/>
    <w:rsid w:val="008057EB"/>
    <w:rsid w:val="00D278C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4"/>
    <o:shapelayout v:ext="edit">
      <o:idmap v:ext="edit" data="1"/>
    </o:shapelayout>
  </w:shapeDefaults>
  <w:decimalSymbol w:val="."/>
  <w:listSeparator w:val=","/>
  <w14:docId w14:val="62199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EF1"/>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C1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F82"/>
    <w:rPr>
      <w:rFonts w:asciiTheme="majorHAnsi" w:eastAsiaTheme="majorEastAsia" w:hAnsiTheme="majorHAnsi" w:cstheme="majorBidi"/>
      <w:color w:val="2E74B5" w:themeColor="accent1" w:themeShade="BF"/>
      <w:sz w:val="32"/>
      <w:szCs w:val="32"/>
    </w:rPr>
  </w:style>
  <w:style w:type="paragraph" w:customStyle="1" w:styleId="Style1">
    <w:name w:val="Style1"/>
    <w:basedOn w:val="Heading1"/>
    <w:qFormat/>
    <w:rsid w:val="004C1F82"/>
    <w:pPr>
      <w:spacing w:line="276" w:lineRule="auto"/>
    </w:pPr>
    <w:rPr>
      <w:rFonts w:ascii="Arial" w:hAnsi="Arial"/>
      <w:b/>
      <w:color w:val="auto"/>
      <w:sz w:val="24"/>
      <w:lang w:eastAsia="en-AU"/>
    </w:rPr>
  </w:style>
  <w:style w:type="character" w:styleId="CommentReference">
    <w:name w:val="annotation reference"/>
    <w:basedOn w:val="DefaultParagraphFont"/>
    <w:uiPriority w:val="99"/>
    <w:semiHidden/>
    <w:unhideWhenUsed/>
    <w:rsid w:val="004C1F82"/>
    <w:rPr>
      <w:sz w:val="16"/>
      <w:szCs w:val="16"/>
    </w:rPr>
  </w:style>
  <w:style w:type="paragraph" w:styleId="CommentText">
    <w:name w:val="annotation text"/>
    <w:basedOn w:val="Normal"/>
    <w:link w:val="CommentTextChar"/>
    <w:uiPriority w:val="99"/>
    <w:semiHidden/>
    <w:unhideWhenUsed/>
    <w:rsid w:val="004C1F82"/>
    <w:pPr>
      <w:spacing w:line="240" w:lineRule="auto"/>
    </w:pPr>
    <w:rPr>
      <w:sz w:val="20"/>
      <w:szCs w:val="20"/>
    </w:rPr>
  </w:style>
  <w:style w:type="character" w:customStyle="1" w:styleId="CommentTextChar">
    <w:name w:val="Comment Text Char"/>
    <w:basedOn w:val="DefaultParagraphFont"/>
    <w:link w:val="CommentText"/>
    <w:uiPriority w:val="99"/>
    <w:semiHidden/>
    <w:rsid w:val="004C1F82"/>
    <w:rPr>
      <w:sz w:val="20"/>
      <w:szCs w:val="20"/>
    </w:rPr>
  </w:style>
  <w:style w:type="paragraph" w:styleId="CommentSubject">
    <w:name w:val="annotation subject"/>
    <w:basedOn w:val="CommentText"/>
    <w:next w:val="CommentText"/>
    <w:link w:val="CommentSubjectChar"/>
    <w:uiPriority w:val="99"/>
    <w:semiHidden/>
    <w:unhideWhenUsed/>
    <w:rsid w:val="004C1F82"/>
    <w:rPr>
      <w:b/>
      <w:bCs/>
    </w:rPr>
  </w:style>
  <w:style w:type="character" w:customStyle="1" w:styleId="CommentSubjectChar">
    <w:name w:val="Comment Subject Char"/>
    <w:basedOn w:val="CommentTextChar"/>
    <w:link w:val="CommentSubject"/>
    <w:uiPriority w:val="99"/>
    <w:semiHidden/>
    <w:rsid w:val="004C1F82"/>
    <w:rPr>
      <w:b/>
      <w:bCs/>
      <w:sz w:val="20"/>
      <w:szCs w:val="20"/>
    </w:rPr>
  </w:style>
  <w:style w:type="paragraph" w:styleId="BalloonText">
    <w:name w:val="Balloon Text"/>
    <w:basedOn w:val="Normal"/>
    <w:link w:val="BalloonTextChar"/>
    <w:uiPriority w:val="99"/>
    <w:semiHidden/>
    <w:unhideWhenUsed/>
    <w:rsid w:val="004C1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F82"/>
    <w:rPr>
      <w:rFonts w:ascii="Segoe UI" w:hAnsi="Segoe UI" w:cs="Segoe UI"/>
      <w:sz w:val="18"/>
      <w:szCs w:val="18"/>
    </w:rPr>
  </w:style>
  <w:style w:type="paragraph" w:styleId="NormalWeb">
    <w:name w:val="Normal (Web)"/>
    <w:basedOn w:val="Normal"/>
    <w:uiPriority w:val="99"/>
    <w:semiHidden/>
    <w:unhideWhenUsed/>
    <w:rsid w:val="004C1F82"/>
    <w:pPr>
      <w:spacing w:before="100" w:beforeAutospacing="1" w:after="100" w:afterAutospacing="1" w:line="240" w:lineRule="auto"/>
    </w:pPr>
    <w:rPr>
      <w:rFonts w:eastAsia="Times New Roman" w:cs="Times New Roman"/>
      <w:szCs w:val="24"/>
      <w:lang w:eastAsia="en-AU"/>
    </w:rPr>
  </w:style>
  <w:style w:type="paragraph" w:styleId="ListParagraph">
    <w:name w:val="List Paragraph"/>
    <w:basedOn w:val="Normal"/>
    <w:uiPriority w:val="34"/>
    <w:qFormat/>
    <w:rsid w:val="004C1F82"/>
    <w:pPr>
      <w:spacing w:line="360" w:lineRule="auto"/>
      <w:ind w:left="720"/>
      <w:contextualSpacing/>
    </w:pPr>
  </w:style>
  <w:style w:type="paragraph" w:customStyle="1" w:styleId="EndNoteBibliographyTitle">
    <w:name w:val="EndNote Bibliography Title"/>
    <w:basedOn w:val="Normal"/>
    <w:link w:val="EndNoteBibliographyTitleChar"/>
    <w:rsid w:val="004C1F8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C1F82"/>
    <w:rPr>
      <w:rFonts w:ascii="Calibri" w:hAnsi="Calibri" w:cs="Calibri"/>
      <w:noProof/>
      <w:lang w:val="en-US"/>
    </w:rPr>
  </w:style>
  <w:style w:type="paragraph" w:customStyle="1" w:styleId="EndNoteBibliography">
    <w:name w:val="EndNote Bibliography"/>
    <w:basedOn w:val="Normal"/>
    <w:link w:val="EndNoteBibliographyChar"/>
    <w:rsid w:val="004C1F8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C1F82"/>
    <w:rPr>
      <w:rFonts w:ascii="Calibri" w:hAnsi="Calibri" w:cs="Calibri"/>
      <w:noProof/>
      <w:lang w:val="en-US"/>
    </w:rPr>
  </w:style>
  <w:style w:type="character" w:styleId="Hyperlink">
    <w:name w:val="Hyperlink"/>
    <w:basedOn w:val="DefaultParagraphFont"/>
    <w:uiPriority w:val="99"/>
    <w:unhideWhenUsed/>
    <w:rsid w:val="004C1F82"/>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EF1"/>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C1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F82"/>
    <w:rPr>
      <w:rFonts w:asciiTheme="majorHAnsi" w:eastAsiaTheme="majorEastAsia" w:hAnsiTheme="majorHAnsi" w:cstheme="majorBidi"/>
      <w:color w:val="2E74B5" w:themeColor="accent1" w:themeShade="BF"/>
      <w:sz w:val="32"/>
      <w:szCs w:val="32"/>
    </w:rPr>
  </w:style>
  <w:style w:type="paragraph" w:customStyle="1" w:styleId="Style1">
    <w:name w:val="Style1"/>
    <w:basedOn w:val="Heading1"/>
    <w:qFormat/>
    <w:rsid w:val="004C1F82"/>
    <w:pPr>
      <w:spacing w:line="276" w:lineRule="auto"/>
    </w:pPr>
    <w:rPr>
      <w:rFonts w:ascii="Arial" w:hAnsi="Arial"/>
      <w:b/>
      <w:color w:val="auto"/>
      <w:sz w:val="24"/>
      <w:lang w:eastAsia="en-AU"/>
    </w:rPr>
  </w:style>
  <w:style w:type="character" w:styleId="CommentReference">
    <w:name w:val="annotation reference"/>
    <w:basedOn w:val="DefaultParagraphFont"/>
    <w:uiPriority w:val="99"/>
    <w:semiHidden/>
    <w:unhideWhenUsed/>
    <w:rsid w:val="004C1F82"/>
    <w:rPr>
      <w:sz w:val="16"/>
      <w:szCs w:val="16"/>
    </w:rPr>
  </w:style>
  <w:style w:type="paragraph" w:styleId="CommentText">
    <w:name w:val="annotation text"/>
    <w:basedOn w:val="Normal"/>
    <w:link w:val="CommentTextChar"/>
    <w:uiPriority w:val="99"/>
    <w:semiHidden/>
    <w:unhideWhenUsed/>
    <w:rsid w:val="004C1F82"/>
    <w:pPr>
      <w:spacing w:line="240" w:lineRule="auto"/>
    </w:pPr>
    <w:rPr>
      <w:sz w:val="20"/>
      <w:szCs w:val="20"/>
    </w:rPr>
  </w:style>
  <w:style w:type="character" w:customStyle="1" w:styleId="CommentTextChar">
    <w:name w:val="Comment Text Char"/>
    <w:basedOn w:val="DefaultParagraphFont"/>
    <w:link w:val="CommentText"/>
    <w:uiPriority w:val="99"/>
    <w:semiHidden/>
    <w:rsid w:val="004C1F82"/>
    <w:rPr>
      <w:sz w:val="20"/>
      <w:szCs w:val="20"/>
    </w:rPr>
  </w:style>
  <w:style w:type="paragraph" w:styleId="CommentSubject">
    <w:name w:val="annotation subject"/>
    <w:basedOn w:val="CommentText"/>
    <w:next w:val="CommentText"/>
    <w:link w:val="CommentSubjectChar"/>
    <w:uiPriority w:val="99"/>
    <w:semiHidden/>
    <w:unhideWhenUsed/>
    <w:rsid w:val="004C1F82"/>
    <w:rPr>
      <w:b/>
      <w:bCs/>
    </w:rPr>
  </w:style>
  <w:style w:type="character" w:customStyle="1" w:styleId="CommentSubjectChar">
    <w:name w:val="Comment Subject Char"/>
    <w:basedOn w:val="CommentTextChar"/>
    <w:link w:val="CommentSubject"/>
    <w:uiPriority w:val="99"/>
    <w:semiHidden/>
    <w:rsid w:val="004C1F82"/>
    <w:rPr>
      <w:b/>
      <w:bCs/>
      <w:sz w:val="20"/>
      <w:szCs w:val="20"/>
    </w:rPr>
  </w:style>
  <w:style w:type="paragraph" w:styleId="BalloonText">
    <w:name w:val="Balloon Text"/>
    <w:basedOn w:val="Normal"/>
    <w:link w:val="BalloonTextChar"/>
    <w:uiPriority w:val="99"/>
    <w:semiHidden/>
    <w:unhideWhenUsed/>
    <w:rsid w:val="004C1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F82"/>
    <w:rPr>
      <w:rFonts w:ascii="Segoe UI" w:hAnsi="Segoe UI" w:cs="Segoe UI"/>
      <w:sz w:val="18"/>
      <w:szCs w:val="18"/>
    </w:rPr>
  </w:style>
  <w:style w:type="paragraph" w:styleId="NormalWeb">
    <w:name w:val="Normal (Web)"/>
    <w:basedOn w:val="Normal"/>
    <w:uiPriority w:val="99"/>
    <w:semiHidden/>
    <w:unhideWhenUsed/>
    <w:rsid w:val="004C1F82"/>
    <w:pPr>
      <w:spacing w:before="100" w:beforeAutospacing="1" w:after="100" w:afterAutospacing="1" w:line="240" w:lineRule="auto"/>
    </w:pPr>
    <w:rPr>
      <w:rFonts w:eastAsia="Times New Roman" w:cs="Times New Roman"/>
      <w:szCs w:val="24"/>
      <w:lang w:eastAsia="en-AU"/>
    </w:rPr>
  </w:style>
  <w:style w:type="paragraph" w:styleId="ListParagraph">
    <w:name w:val="List Paragraph"/>
    <w:basedOn w:val="Normal"/>
    <w:uiPriority w:val="34"/>
    <w:qFormat/>
    <w:rsid w:val="004C1F82"/>
    <w:pPr>
      <w:spacing w:line="360" w:lineRule="auto"/>
      <w:ind w:left="720"/>
      <w:contextualSpacing/>
    </w:pPr>
  </w:style>
  <w:style w:type="paragraph" w:customStyle="1" w:styleId="EndNoteBibliographyTitle">
    <w:name w:val="EndNote Bibliography Title"/>
    <w:basedOn w:val="Normal"/>
    <w:link w:val="EndNoteBibliographyTitleChar"/>
    <w:rsid w:val="004C1F8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C1F82"/>
    <w:rPr>
      <w:rFonts w:ascii="Calibri" w:hAnsi="Calibri" w:cs="Calibri"/>
      <w:noProof/>
      <w:lang w:val="en-US"/>
    </w:rPr>
  </w:style>
  <w:style w:type="paragraph" w:customStyle="1" w:styleId="EndNoteBibliography">
    <w:name w:val="EndNote Bibliography"/>
    <w:basedOn w:val="Normal"/>
    <w:link w:val="EndNoteBibliographyChar"/>
    <w:rsid w:val="004C1F8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C1F82"/>
    <w:rPr>
      <w:rFonts w:ascii="Calibri" w:hAnsi="Calibri" w:cs="Calibri"/>
      <w:noProof/>
      <w:lang w:val="en-US"/>
    </w:rPr>
  </w:style>
  <w:style w:type="character" w:styleId="Hyperlink">
    <w:name w:val="Hyperlink"/>
    <w:basedOn w:val="DefaultParagraphFont"/>
    <w:uiPriority w:val="99"/>
    <w:unhideWhenUsed/>
    <w:rsid w:val="004C1F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728</Words>
  <Characters>4154</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Wright</dc:creator>
  <cp:keywords/>
  <dc:description/>
  <cp:lastModifiedBy>Cameron Wright</cp:lastModifiedBy>
  <cp:revision>8</cp:revision>
  <dcterms:created xsi:type="dcterms:W3CDTF">2019-05-24T05:00:00Z</dcterms:created>
  <dcterms:modified xsi:type="dcterms:W3CDTF">2020-01-12T05:45:00Z</dcterms:modified>
</cp:coreProperties>
</file>