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0485AB" w14:textId="4E2CABBE" w:rsidR="00A35521" w:rsidRPr="00635E1B" w:rsidRDefault="00635E1B">
      <w:pPr>
        <w:rPr>
          <w:b/>
          <w:bCs/>
          <w:sz w:val="28"/>
          <w:szCs w:val="28"/>
        </w:rPr>
      </w:pPr>
      <w:r w:rsidRPr="00635E1B">
        <w:rPr>
          <w:b/>
          <w:bCs/>
          <w:sz w:val="28"/>
          <w:szCs w:val="28"/>
        </w:rPr>
        <w:t xml:space="preserve">Additional file </w:t>
      </w:r>
      <w:r w:rsidR="00836AED">
        <w:rPr>
          <w:b/>
          <w:bCs/>
          <w:sz w:val="28"/>
          <w:szCs w:val="28"/>
        </w:rPr>
        <w:t>5</w:t>
      </w:r>
    </w:p>
    <w:p w14:paraId="005CC7A1" w14:textId="77777777" w:rsidR="00635E1B" w:rsidRDefault="00635E1B" w:rsidP="00635E1B">
      <w:pPr>
        <w:spacing w:after="0"/>
        <w:rPr>
          <w:rFonts w:cstheme="minorHAnsi"/>
          <w:bCs/>
        </w:rPr>
      </w:pPr>
      <w:r w:rsidRPr="00A843D7">
        <w:rPr>
          <w:rFonts w:cstheme="minorHAnsi"/>
          <w:bCs/>
          <w:noProof/>
        </w:rPr>
        <w:drawing>
          <wp:inline distT="0" distB="0" distL="0" distR="0" wp14:anchorId="2BB1701D" wp14:editId="5126E15D">
            <wp:extent cx="5029200" cy="36576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026312AE" w14:textId="77777777" w:rsidR="00635E1B" w:rsidRPr="006D2EE9" w:rsidRDefault="00635E1B" w:rsidP="00635E1B">
      <w:pPr>
        <w:spacing w:after="120"/>
        <w:rPr>
          <w:rFonts w:cstheme="minorHAnsi"/>
          <w:b/>
        </w:rPr>
      </w:pPr>
      <w:r w:rsidRPr="006D2EE9">
        <w:rPr>
          <w:rFonts w:cstheme="minorHAnsi"/>
          <w:b/>
        </w:rPr>
        <w:t>Figure S</w:t>
      </w:r>
      <w:r>
        <w:rPr>
          <w:rFonts w:cstheme="minorHAnsi"/>
          <w:b/>
        </w:rPr>
        <w:t>3</w:t>
      </w:r>
      <w:r w:rsidRPr="006D2EE9">
        <w:rPr>
          <w:rFonts w:cstheme="minorHAnsi"/>
          <w:b/>
        </w:rPr>
        <w:t xml:space="preserve">: Modelled annual days of antibiotic therapy per 1000 resident days (DOT/1000 days) for residents entering residential aged care at 80 and 90 years old. </w:t>
      </w:r>
    </w:p>
    <w:p w14:paraId="2DD0509D" w14:textId="77777777" w:rsidR="00635E1B" w:rsidRDefault="00635E1B" w:rsidP="00635E1B">
      <w:pPr>
        <w:rPr>
          <w:rFonts w:cstheme="minorHAnsi"/>
          <w:bCs/>
        </w:rPr>
      </w:pPr>
      <w:r>
        <w:rPr>
          <w:rFonts w:cstheme="minorHAnsi"/>
          <w:bCs/>
        </w:rPr>
        <w:t xml:space="preserve">This graph demonstrates the different antibiotic use rates based on current age for residents entering facilities at older ages as compared to those entering at younger ages. It was plotted from the primary model (marginal effects shown in Table 3). </w:t>
      </w:r>
    </w:p>
    <w:p w14:paraId="106B5306" w14:textId="77777777" w:rsidR="00635E1B" w:rsidRDefault="00635E1B"/>
    <w:sectPr w:rsidR="00635E1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E1B"/>
    <w:rsid w:val="00635E1B"/>
    <w:rsid w:val="00677840"/>
    <w:rsid w:val="00836AED"/>
    <w:rsid w:val="00FF1AC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892C7"/>
  <w15:chartTrackingRefBased/>
  <w15:docId w15:val="{61468401-ECA6-4F98-8209-49CB74B33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5E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64</Words>
  <Characters>371</Characters>
  <Application>Microsoft Office Word</Application>
  <DocSecurity>0</DocSecurity>
  <Lines>3</Lines>
  <Paragraphs>1</Paragraphs>
  <ScaleCrop>false</ScaleCrop>
  <Company/>
  <LinksUpToDate>false</LinksUpToDate>
  <CharactersWithSpaces>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 Raban</dc:creator>
  <cp:keywords/>
  <dc:description/>
  <cp:lastModifiedBy>Magda Raban</cp:lastModifiedBy>
  <cp:revision>2</cp:revision>
  <dcterms:created xsi:type="dcterms:W3CDTF">2020-05-13T10:50:00Z</dcterms:created>
  <dcterms:modified xsi:type="dcterms:W3CDTF">2020-07-01T11:31:00Z</dcterms:modified>
</cp:coreProperties>
</file>