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A9F" w:rsidRPr="00451D3E" w:rsidRDefault="00001A9F" w:rsidP="00001A9F">
      <w:pPr>
        <w:pStyle w:val="Heading2"/>
        <w:rPr>
          <w:b w:val="0"/>
        </w:rPr>
      </w:pPr>
      <w:r w:rsidRPr="00451D3E">
        <w:t>Appendix 2:  Initial Programme T</w:t>
      </w:r>
      <w:r>
        <w:t>h</w:t>
      </w:r>
      <w:r w:rsidRPr="00B356CC">
        <w:t>eory for Healthy Homes and Neighbourhoods Integrated Care Program, Sydney, Australia</w:t>
      </w:r>
      <w:r w:rsidRPr="002D5177">
        <w:t xml:space="preserve"> </w:t>
      </w:r>
      <w:r w:rsidRPr="00451D3E">
        <w:fldChar w:fldCharType="begin"/>
      </w:r>
      <w:r w:rsidRPr="00451D3E">
        <w:instrText xml:space="preserve"> ADDIN EN.CITE &lt;EndNote&gt;&lt;Cite&gt;&lt;Author&gt;Eastwood&lt;/Author&gt;&lt;Year&gt;2019&lt;/Year&gt;&lt;RecNum&gt;3690&lt;/RecNum&gt;&lt;DisplayText&gt;[14]&lt;/DisplayText&gt;&lt;record&gt;&lt;rec-number&gt;3690&lt;/rec-number&gt;&lt;foreign-keys&gt;&lt;key app="EN" db-id="ez9pt0wzm5tsaxea2pfx2pv355tzetdx5va0" timestamp="1589501341"&gt;3690&lt;/key&gt;&lt;/foreign-keys&gt;&lt;ref-type name="Journal Article"&gt;17&lt;/ref-type&gt;&lt;contributors&gt;&lt;authors&gt;&lt;author&gt;Eastwood, John&lt;/author&gt;&lt;author&gt;De Souza, Denise&lt;/author&gt;&lt;author&gt;Shaw, Miranda&lt;/author&gt;&lt;author&gt;Garg, Pankaj&lt;/author&gt;&lt;author&gt;Woolfenden, Sue&lt;/author&gt;&lt;author&gt;Tyler, Ingrid&lt;/author&gt;&lt;author&gt;Kemp, Lynn&lt;/author&gt;&lt;/authors&gt;&lt;/contributors&gt;&lt;titles&gt;&lt;title&gt;Designing initiatives for vulnerable families: from theory to design in Sydney, Australia.&lt;/title&gt;&lt;secondary-title&gt;International Journal of Integrated Care&lt;/secondary-title&gt;&lt;/titles&gt;&lt;periodical&gt;&lt;full-title&gt;International Journal of Integrated Care&lt;/full-title&gt;&lt;abbr-1&gt;Int. J. Integr. Care&lt;/abbr-1&gt;&lt;abbr-2&gt;Int J Integr Care&lt;/abbr-2&gt;&lt;/periodical&gt;&lt;pages&gt;10. DOI: http://doi.org/10.5334/ijic.3980 &lt;/pages&gt;&lt;volume&gt;19&lt;/volume&gt;&lt;number&gt;3&lt;/number&gt;&lt;dates&gt;&lt;year&gt;2019&lt;/year&gt;&lt;/dates&gt;&lt;urls&gt;&lt;/urls&gt;&lt;electronic-resource-num&gt;DOI: http://doi.org/10.5334/ijic.3980 &lt;/electronic-resource-num&gt;&lt;/record&gt;&lt;/Cite&gt;&lt;/EndNote&gt;</w:instrText>
      </w:r>
      <w:r w:rsidRPr="00451D3E">
        <w:fldChar w:fldCharType="separate"/>
      </w:r>
      <w:r w:rsidRPr="00451D3E">
        <w:t>[14]</w:t>
      </w:r>
      <w:r w:rsidRPr="00451D3E">
        <w:fldChar w:fldCharType="end"/>
      </w:r>
    </w:p>
    <w:tbl>
      <w:tblPr>
        <w:tblW w:w="93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60"/>
        <w:gridCol w:w="2034"/>
        <w:gridCol w:w="1701"/>
        <w:gridCol w:w="2126"/>
        <w:gridCol w:w="1701"/>
      </w:tblGrid>
      <w:tr w:rsidR="00001A9F" w:rsidRPr="008934C7" w:rsidTr="00304960">
        <w:trPr>
          <w:trHeight w:val="170"/>
        </w:trPr>
        <w:tc>
          <w:tcPr>
            <w:tcW w:w="1760" w:type="dxa"/>
            <w:tcBorders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noProof/>
                <w:sz w:val="16"/>
                <w:szCs w:val="16"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25DF7C" wp14:editId="7AFB6525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44450</wp:posOffset>
                      </wp:positionV>
                      <wp:extent cx="5547995" cy="5080"/>
                      <wp:effectExtent l="0" t="209550" r="0" b="22352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995" cy="5080"/>
                              </a:xfrm>
                              <a:prstGeom prst="straightConnector1">
                                <a:avLst/>
                              </a:prstGeom>
                              <a:ln w="66675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7" o:spid="_x0000_s1026" type="#_x0000_t32" style="position:absolute;margin-left:5.25pt;margin-top:3.5pt;width:436.85pt;height: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" strokecolor="black [3213]" strokeweight="5.25pt">
                      <v:stroke endarrow="open"/>
                    </v:shape>
                  </w:pict>
                </mc:Fallback>
              </mc:AlternateContent>
            </w:r>
          </w:p>
        </w:tc>
        <w:tc>
          <w:tcPr>
            <w:tcW w:w="2034" w:type="dxa"/>
            <w:tcBorders>
              <w:bottom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001A9F" w:rsidRPr="008934C7" w:rsidTr="00304960">
        <w:trPr>
          <w:trHeight w:val="680"/>
        </w:trPr>
        <w:tc>
          <w:tcPr>
            <w:tcW w:w="1760" w:type="dxa"/>
            <w:tcBorders>
              <w:top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Theorised Contextual Conditions (Fig. 2)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[C]</w:t>
            </w:r>
          </w:p>
        </w:tc>
        <w:tc>
          <w:tcPr>
            <w:tcW w:w="2034" w:type="dxa"/>
            <w:tcBorders>
              <w:top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Present contextual mechanisms activated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[CM]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Proposed Intervention Design Elements (Table 1)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[I]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Postulated Intervention Programme Mechanisms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(Table 1)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[MP]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Postulated psychological, motivational and behavioural</w:t>
            </w:r>
            <w:r w:rsidRPr="00451D3E">
              <w:rPr>
                <w:sz w:val="16"/>
                <w:szCs w:val="16"/>
              </w:rPr>
              <w:br/>
              <w:t>Outcomes</w:t>
            </w:r>
          </w:p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[O]</w:t>
            </w:r>
          </w:p>
        </w:tc>
      </w:tr>
      <w:tr w:rsidR="00001A9F" w:rsidRPr="008934C7" w:rsidTr="00304960">
        <w:trPr>
          <w:trHeight w:val="354"/>
        </w:trPr>
        <w:tc>
          <w:tcPr>
            <w:tcW w:w="9322" w:type="dxa"/>
            <w:gridSpan w:val="5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Self – Self-identity and individual’s experience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Lack of partner and family support,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Distrust of</w:t>
            </w:r>
            <w:r w:rsidRPr="002D5177">
              <w:rPr>
                <w:sz w:val="16"/>
                <w:szCs w:val="16"/>
              </w:rPr>
              <w:t xml:space="preserve"> services,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Limited treatment access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Stress mechanism activated causing anxiety and depression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Friendship and family support, Professional support, Medication, Treatment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001A9F">
            <w:pPr>
              <w:pStyle w:val="ListParagraph"/>
              <w:numPr>
                <w:ilvl w:val="0"/>
                <w:numId w:val="1"/>
              </w:numPr>
              <w:spacing w:after="0"/>
              <w:ind w:left="90" w:hanging="141"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Activate mediating mechanisms of family, peer and professional support to strengthen an</w:t>
            </w:r>
            <w:r w:rsidRPr="002D5177">
              <w:rPr>
                <w:sz w:val="16"/>
                <w:szCs w:val="16"/>
              </w:rPr>
              <w:t>d build trusting relationships with peers, family and clinicians through SHHV and FCISD Design Components.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Decreased depression and anxiety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Lifetime trauma, Loss, Being alone, Isolation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Stress mechanism activated arising from mismatched expectations, and loneliness 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Family and peer support, </w:t>
            </w:r>
            <w:r w:rsidRPr="00451D3E">
              <w:rPr>
                <w:sz w:val="16"/>
                <w:szCs w:val="16"/>
              </w:rPr>
              <w:br/>
              <w:t>Home visiting, Telephone support</w:t>
            </w: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Increased perceived support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 </w:t>
            </w:r>
          </w:p>
        </w:tc>
      </w:tr>
      <w:tr w:rsidR="00001A9F" w:rsidRPr="008934C7" w:rsidTr="00304960">
        <w:trPr>
          <w:trHeight w:val="318"/>
        </w:trPr>
        <w:tc>
          <w:tcPr>
            <w:tcW w:w="9322" w:type="dxa"/>
            <w:gridSpan w:val="5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Situated Activity – Face to Face activity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Services unavailable or poor access,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Services not trusted,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Services not skilled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Absence of trusted professional support mechanism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“wrap-around” services, </w:t>
            </w:r>
            <w:r w:rsidRPr="00451D3E">
              <w:rPr>
                <w:sz w:val="16"/>
                <w:szCs w:val="16"/>
              </w:rPr>
              <w:br/>
              <w:t>Family Conferences, Workforce training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001A9F">
            <w:pPr>
              <w:pStyle w:val="ListParagraph"/>
              <w:numPr>
                <w:ilvl w:val="0"/>
                <w:numId w:val="1"/>
              </w:numPr>
              <w:spacing w:after="0"/>
              <w:ind w:left="90" w:hanging="141"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Activate services mechanisms that are client, peer and neighbourhood focused, and trauma and eviden</w:t>
            </w:r>
            <w:r w:rsidRPr="002D5177">
              <w:rPr>
                <w:sz w:val="16"/>
                <w:szCs w:val="16"/>
              </w:rPr>
              <w:t>ce informed through FCISD and IS Design Components.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Improved perceived access to skilled and trusted services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Community distrust, Low social capital and cohesion, crime, unemployment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Absence of trusted neighbourhood and community support mechanism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“wrap-around” services, </w:t>
            </w:r>
            <w:r w:rsidRPr="00451D3E">
              <w:rPr>
                <w:sz w:val="16"/>
                <w:szCs w:val="16"/>
              </w:rPr>
              <w:br/>
              <w:t xml:space="preserve">Family Conferences, Public health, </w:t>
            </w:r>
            <w:r w:rsidRPr="00B356CC">
              <w:rPr>
                <w:sz w:val="16"/>
                <w:szCs w:val="16"/>
              </w:rPr>
              <w:br/>
              <w:t>Social work services</w:t>
            </w: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Improved perceived support from neighbours and community</w:t>
            </w:r>
          </w:p>
        </w:tc>
      </w:tr>
      <w:tr w:rsidR="00001A9F" w:rsidRPr="008934C7" w:rsidTr="00304960">
        <w:trPr>
          <w:trHeight w:val="345"/>
        </w:trPr>
        <w:tc>
          <w:tcPr>
            <w:tcW w:w="9322" w:type="dxa"/>
            <w:gridSpan w:val="5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Intermediate Level social and service organisation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Unhelpful intake and referral practices, Lack of service, </w:t>
            </w:r>
            <w:r w:rsidRPr="002D5177">
              <w:rPr>
                <w:sz w:val="16"/>
                <w:szCs w:val="16"/>
              </w:rPr>
              <w:t>knowledge and trust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Absence of specialist service support mechanism for front-line professionals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Strengthened pathways and design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Collocation of services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7A1818" w:rsidRDefault="00001A9F" w:rsidP="00001A9F">
            <w:pPr>
              <w:pStyle w:val="ListParagraph"/>
              <w:numPr>
                <w:ilvl w:val="0"/>
                <w:numId w:val="1"/>
              </w:numPr>
              <w:spacing w:after="0"/>
              <w:ind w:left="90" w:hanging="141"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Activate mechanisms related to trust and confidence with service network, increased local social capit</w:t>
            </w:r>
            <w:r w:rsidRPr="002D5177">
              <w:rPr>
                <w:sz w:val="16"/>
                <w:szCs w:val="16"/>
              </w:rPr>
              <w:t xml:space="preserve">al, community trust and community safety </w:t>
            </w:r>
          </w:p>
          <w:p w:rsidR="00001A9F" w:rsidRPr="00451D3E" w:rsidRDefault="00001A9F" w:rsidP="00001A9F">
            <w:pPr>
              <w:pStyle w:val="ListParagraph"/>
              <w:numPr>
                <w:ilvl w:val="0"/>
                <w:numId w:val="1"/>
              </w:numPr>
              <w:spacing w:after="0"/>
              <w:ind w:left="90" w:hanging="141"/>
              <w:rPr>
                <w:sz w:val="16"/>
                <w:szCs w:val="16"/>
              </w:rPr>
            </w:pPr>
            <w:r w:rsidRPr="00885FF4">
              <w:rPr>
                <w:sz w:val="16"/>
                <w:szCs w:val="16"/>
              </w:rPr>
              <w:t xml:space="preserve">Activate mechanisms relating to improved </w:t>
            </w:r>
            <w:r w:rsidRPr="005A65BC">
              <w:rPr>
                <w:sz w:val="16"/>
                <w:szCs w:val="16"/>
              </w:rPr>
              <w:t>coordination and access to services and informa</w:t>
            </w:r>
            <w:r w:rsidRPr="00451D3E">
              <w:rPr>
                <w:sz w:val="16"/>
                <w:szCs w:val="16"/>
              </w:rPr>
              <w:t>tion through FCISD and IS Design Components.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Improved perceived access to services that are “wrapped” around front-line worker</w:t>
            </w:r>
            <w:r w:rsidRPr="002D5177">
              <w:rPr>
                <w:sz w:val="16"/>
                <w:szCs w:val="16"/>
              </w:rPr>
              <w:t>s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Weak social networks, community trust, community safety, available social services, access to information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Social level stress mechanisms relating to class, position, racism, segregation, crime and neighbourhood decay are activated tending to increase </w:t>
            </w:r>
            <w:r w:rsidRPr="002D5177">
              <w:rPr>
                <w:sz w:val="16"/>
                <w:szCs w:val="16"/>
              </w:rPr>
              <w:t>psychological stress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Population and community level interventions in neighbourhoods and communities</w:t>
            </w: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Decrease in psychological stress of individuals and families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 </w:t>
            </w:r>
          </w:p>
        </w:tc>
      </w:tr>
      <w:tr w:rsidR="00001A9F" w:rsidRPr="008934C7" w:rsidTr="00304960">
        <w:trPr>
          <w:trHeight w:val="269"/>
        </w:trPr>
        <w:tc>
          <w:tcPr>
            <w:tcW w:w="9322" w:type="dxa"/>
            <w:gridSpan w:val="5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jc w:val="center"/>
              <w:rPr>
                <w:sz w:val="16"/>
                <w:szCs w:val="16"/>
              </w:rPr>
            </w:pPr>
            <w:r w:rsidRPr="00451D3E">
              <w:rPr>
                <w:sz w:val="16"/>
                <w:szCs w:val="16"/>
              </w:rPr>
              <w:t>Macro Level social and service organisation</w:t>
            </w:r>
          </w:p>
        </w:tc>
      </w:tr>
      <w:tr w:rsidR="00001A9F" w:rsidRPr="008934C7" w:rsidTr="00304960">
        <w:trPr>
          <w:trHeight w:val="584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Migration, Mega-malls pull service activity </w:t>
            </w:r>
            <w:r w:rsidRPr="002D5177">
              <w:rPr>
                <w:sz w:val="16"/>
                <w:szCs w:val="16"/>
              </w:rPr>
              <w:t>away from neighbourhoods,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Urban development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 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Activation of social level stress mechanisms tend to hinder the activation of social level buffer mechanisms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Population and community level interventions in neighbourhoods and communities</w:t>
            </w:r>
          </w:p>
        </w:tc>
        <w:tc>
          <w:tcPr>
            <w:tcW w:w="2126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001A9F">
            <w:pPr>
              <w:pStyle w:val="ListParagraph"/>
              <w:numPr>
                <w:ilvl w:val="0"/>
                <w:numId w:val="2"/>
              </w:numPr>
              <w:spacing w:after="0"/>
              <w:ind w:left="106" w:hanging="140"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Activate mechanisms re</w:t>
            </w:r>
            <w:r w:rsidRPr="002D5177">
              <w:rPr>
                <w:sz w:val="16"/>
                <w:szCs w:val="16"/>
              </w:rPr>
              <w:t>lated to increased social level activities in deprived neighbourhoods.</w:t>
            </w:r>
          </w:p>
          <w:p w:rsidR="00001A9F" w:rsidRPr="00451D3E" w:rsidRDefault="00001A9F" w:rsidP="00001A9F">
            <w:pPr>
              <w:pStyle w:val="ListParagraph"/>
              <w:numPr>
                <w:ilvl w:val="0"/>
                <w:numId w:val="2"/>
              </w:numPr>
              <w:spacing w:after="0"/>
              <w:ind w:left="106" w:hanging="140"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 xml:space="preserve">Activate mechanisms related to </w:t>
            </w:r>
            <w:proofErr w:type="gramStart"/>
            <w:r w:rsidRPr="00B356CC">
              <w:rPr>
                <w:sz w:val="16"/>
                <w:szCs w:val="16"/>
              </w:rPr>
              <w:t>increased</w:t>
            </w:r>
            <w:proofErr w:type="gramEnd"/>
            <w:r w:rsidRPr="00B356CC">
              <w:rPr>
                <w:sz w:val="16"/>
                <w:szCs w:val="16"/>
              </w:rPr>
              <w:t xml:space="preserve"> migrant related social activities among ethnic populations through FCISD and IS Design Components.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Increase in perceived social level buffers</w:t>
            </w:r>
          </w:p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 </w:t>
            </w:r>
          </w:p>
        </w:tc>
      </w:tr>
      <w:tr w:rsidR="00001A9F" w:rsidRPr="008934C7" w:rsidTr="00304960">
        <w:trPr>
          <w:trHeight w:val="249"/>
        </w:trPr>
        <w:tc>
          <w:tcPr>
            <w:tcW w:w="17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Immigration policy, Racism, Media policy, Global market, Settlement patterns, Ethnic bonding networks, Access to services</w:t>
            </w:r>
          </w:p>
        </w:tc>
        <w:tc>
          <w:tcPr>
            <w:tcW w:w="20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Migrant related social level mechanisms including acculturation, cultural practices and integration tend to decrease social level str</w:t>
            </w:r>
            <w:r w:rsidRPr="002D5177">
              <w:rPr>
                <w:sz w:val="16"/>
                <w:szCs w:val="16"/>
              </w:rPr>
              <w:t>ess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Ethnic and cultural specific community and population level interventions</w:t>
            </w:r>
          </w:p>
        </w:tc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1A9F" w:rsidRPr="00451D3E" w:rsidRDefault="00001A9F" w:rsidP="00304960">
            <w:pPr>
              <w:spacing w:after="0"/>
              <w:contextualSpacing/>
              <w:rPr>
                <w:sz w:val="16"/>
                <w:szCs w:val="16"/>
              </w:rPr>
            </w:pPr>
            <w:r w:rsidRPr="00B356CC">
              <w:rPr>
                <w:sz w:val="16"/>
                <w:szCs w:val="16"/>
              </w:rPr>
              <w:t>Increase in perceived migrant social level buffers</w:t>
            </w:r>
          </w:p>
        </w:tc>
      </w:tr>
    </w:tbl>
    <w:p w:rsidR="00001A9F" w:rsidRPr="007A1818" w:rsidRDefault="00001A9F" w:rsidP="00001A9F">
      <w:pPr>
        <w:spacing w:after="0"/>
        <w:rPr>
          <w:sz w:val="18"/>
          <w:szCs w:val="18"/>
        </w:rPr>
      </w:pPr>
      <w:r w:rsidRPr="00B356CC">
        <w:rPr>
          <w:sz w:val="18"/>
          <w:szCs w:val="18"/>
        </w:rPr>
        <w:t xml:space="preserve">Note: SHHV-Sustained Health Home Visiting; FCISD – Family and Community Integrated Service Development; IS-Infrastructure </w:t>
      </w:r>
      <w:r w:rsidRPr="002D5177">
        <w:rPr>
          <w:sz w:val="18"/>
          <w:szCs w:val="18"/>
        </w:rPr>
        <w:t>Support</w:t>
      </w:r>
    </w:p>
    <w:p w:rsidR="00001A9F" w:rsidRPr="00451D3E" w:rsidRDefault="00001A9F" w:rsidP="00001A9F">
      <w:pPr>
        <w:rPr>
          <w:sz w:val="18"/>
          <w:szCs w:val="18"/>
        </w:rPr>
      </w:pPr>
    </w:p>
    <w:p w:rsidR="002341CC" w:rsidRDefault="00001A9F">
      <w:bookmarkStart w:id="0" w:name="_GoBack"/>
      <w:bookmarkEnd w:id="0"/>
    </w:p>
    <w:sectPr w:rsidR="002341CC" w:rsidSect="008F7F82">
      <w:pgSz w:w="11906" w:h="16838"/>
      <w:pgMar w:top="1440" w:right="1134" w:bottom="1440" w:left="1440" w:header="709" w:footer="9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C2047"/>
    <w:multiLevelType w:val="hybridMultilevel"/>
    <w:tmpl w:val="1C6E0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609AF"/>
    <w:multiLevelType w:val="hybridMultilevel"/>
    <w:tmpl w:val="53E62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A9F"/>
    <w:rsid w:val="00001A9F"/>
    <w:rsid w:val="00050733"/>
    <w:rsid w:val="002509F4"/>
    <w:rsid w:val="003418FC"/>
    <w:rsid w:val="0063550A"/>
    <w:rsid w:val="006F304F"/>
    <w:rsid w:val="0080732E"/>
    <w:rsid w:val="008755B0"/>
    <w:rsid w:val="008F7F82"/>
    <w:rsid w:val="00A957DA"/>
    <w:rsid w:val="00AB6EC1"/>
    <w:rsid w:val="00C1299E"/>
    <w:rsid w:val="00C507CC"/>
    <w:rsid w:val="00CC1AC5"/>
    <w:rsid w:val="00DC34B7"/>
    <w:rsid w:val="00FE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A9F"/>
    <w:pPr>
      <w:spacing w:after="120" w:line="240" w:lineRule="auto"/>
    </w:pPr>
    <w:rPr>
      <w:rFonts w:asciiTheme="majorHAnsi" w:hAnsiTheme="majorHAnsi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1A9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1A9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ListParagraph">
    <w:name w:val="List Paragraph"/>
    <w:aliases w:val="Recommendation,standard lewis,List Paragraph1"/>
    <w:basedOn w:val="Normal"/>
    <w:link w:val="ListParagraphChar"/>
    <w:uiPriority w:val="34"/>
    <w:qFormat/>
    <w:rsid w:val="00001A9F"/>
    <w:pPr>
      <w:ind w:left="720"/>
      <w:contextualSpacing/>
    </w:pPr>
  </w:style>
  <w:style w:type="character" w:customStyle="1" w:styleId="ListParagraphChar">
    <w:name w:val="List Paragraph Char"/>
    <w:aliases w:val="Recommendation Char,standard lewis Char,List Paragraph1 Char"/>
    <w:basedOn w:val="DefaultParagraphFont"/>
    <w:link w:val="ListParagraph"/>
    <w:uiPriority w:val="34"/>
    <w:locked/>
    <w:rsid w:val="00001A9F"/>
    <w:rPr>
      <w:rFonts w:asciiTheme="majorHAnsi" w:hAnsiTheme="maj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A9F"/>
    <w:pPr>
      <w:spacing w:after="120" w:line="240" w:lineRule="auto"/>
    </w:pPr>
    <w:rPr>
      <w:rFonts w:asciiTheme="majorHAnsi" w:hAnsiTheme="majorHAnsi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1A9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1A9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ListParagraph">
    <w:name w:val="List Paragraph"/>
    <w:aliases w:val="Recommendation,standard lewis,List Paragraph1"/>
    <w:basedOn w:val="Normal"/>
    <w:link w:val="ListParagraphChar"/>
    <w:uiPriority w:val="34"/>
    <w:qFormat/>
    <w:rsid w:val="00001A9F"/>
    <w:pPr>
      <w:ind w:left="720"/>
      <w:contextualSpacing/>
    </w:pPr>
  </w:style>
  <w:style w:type="character" w:customStyle="1" w:styleId="ListParagraphChar">
    <w:name w:val="List Paragraph Char"/>
    <w:aliases w:val="Recommendation Char,standard lewis Char,List Paragraph1 Char"/>
    <w:basedOn w:val="DefaultParagraphFont"/>
    <w:link w:val="ListParagraph"/>
    <w:uiPriority w:val="34"/>
    <w:locked/>
    <w:rsid w:val="00001A9F"/>
    <w:rPr>
      <w:rFonts w:asciiTheme="majorHAnsi" w:hAnsiTheme="maj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SLHN &amp; SWSLHN</Company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Eastwood</dc:creator>
  <cp:lastModifiedBy>John Eastwood</cp:lastModifiedBy>
  <cp:revision>1</cp:revision>
  <dcterms:created xsi:type="dcterms:W3CDTF">2020-06-18T23:17:00Z</dcterms:created>
  <dcterms:modified xsi:type="dcterms:W3CDTF">2020-06-18T23:17:00Z</dcterms:modified>
</cp:coreProperties>
</file>