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115F9" w14:textId="77777777" w:rsidR="00837FB9" w:rsidRDefault="00837FB9" w:rsidP="00132980">
      <w:pPr>
        <w:rPr>
          <w:rFonts w:asciiTheme="majorBidi" w:hAnsiTheme="majorBidi" w:cstheme="majorBidi"/>
          <w:sz w:val="24"/>
          <w:szCs w:val="24"/>
        </w:rPr>
      </w:pPr>
    </w:p>
    <w:p w14:paraId="02BB2A3B" w14:textId="4C3E6649" w:rsidR="00C47472" w:rsidRDefault="00C47472" w:rsidP="00C47472">
      <w:pPr>
        <w:jc w:val="center"/>
        <w:rPr>
          <w:rFonts w:asciiTheme="majorBidi" w:hAnsiTheme="majorBidi" w:cstheme="majorBidi"/>
          <w:sz w:val="24"/>
          <w:szCs w:val="24"/>
        </w:rPr>
      </w:pPr>
      <w:bookmarkStart w:id="0" w:name="_GoBack"/>
      <w:r w:rsidRPr="00AD37CA">
        <w:rPr>
          <w:rFonts w:asciiTheme="majorBidi" w:hAnsiTheme="majorBidi" w:cstheme="majorBidi"/>
          <w:sz w:val="24"/>
          <w:szCs w:val="24"/>
        </w:rPr>
        <w:t xml:space="preserve">Table </w:t>
      </w:r>
      <w:r>
        <w:rPr>
          <w:rFonts w:asciiTheme="majorBidi" w:hAnsiTheme="majorBidi" w:cstheme="majorBidi"/>
          <w:sz w:val="24"/>
          <w:szCs w:val="24"/>
        </w:rPr>
        <w:t>S1</w:t>
      </w:r>
      <w:r w:rsidRPr="00AD37CA">
        <w:rPr>
          <w:rFonts w:asciiTheme="majorBidi" w:hAnsiTheme="majorBidi" w:cstheme="majorBidi"/>
          <w:sz w:val="24"/>
          <w:szCs w:val="24"/>
        </w:rPr>
        <w:t xml:space="preserve">: Translation </w:t>
      </w:r>
      <w:r>
        <w:rPr>
          <w:rFonts w:asciiTheme="majorBidi" w:hAnsiTheme="majorBidi" w:cstheme="majorBidi"/>
          <w:sz w:val="24"/>
          <w:szCs w:val="24"/>
        </w:rPr>
        <w:t>process according</w:t>
      </w:r>
      <w:r w:rsidRPr="00AD37CA">
        <w:rPr>
          <w:rFonts w:asciiTheme="majorBidi" w:hAnsiTheme="majorBidi" w:cstheme="majorBidi"/>
          <w:sz w:val="24"/>
          <w:szCs w:val="24"/>
        </w:rPr>
        <w:t xml:space="preserve"> to international guidelines for cross-cultural adaptation (CCA) in this study</w:t>
      </w:r>
    </w:p>
    <w:tbl>
      <w:tblPr>
        <w:tblStyle w:val="TableGrid"/>
        <w:tblpPr w:leftFromText="180" w:rightFromText="180" w:vertAnchor="page" w:horzAnchor="page" w:tblpX="1009" w:tblpY="2701"/>
        <w:tblW w:w="10638" w:type="dxa"/>
        <w:tblLook w:val="04A0" w:firstRow="1" w:lastRow="0" w:firstColumn="1" w:lastColumn="0" w:noHBand="0" w:noVBand="1"/>
      </w:tblPr>
      <w:tblGrid>
        <w:gridCol w:w="2398"/>
        <w:gridCol w:w="8240"/>
      </w:tblGrid>
      <w:tr w:rsidR="00C47472" w:rsidRPr="00AD37CA" w14:paraId="043B367B" w14:textId="77777777" w:rsidTr="00C47472">
        <w:trPr>
          <w:trHeight w:val="165"/>
        </w:trPr>
        <w:tc>
          <w:tcPr>
            <w:tcW w:w="2398" w:type="dxa"/>
          </w:tcPr>
          <w:bookmarkEnd w:id="0"/>
          <w:p w14:paraId="426696AD" w14:textId="77777777" w:rsidR="00C47472" w:rsidRPr="00AD37CA" w:rsidRDefault="00C47472" w:rsidP="00C47472">
            <w:pPr>
              <w:autoSpaceDE w:val="0"/>
              <w:autoSpaceDN w:val="0"/>
              <w:adjustRightInd w:val="0"/>
              <w:jc w:val="center"/>
            </w:pPr>
            <w:r w:rsidRPr="00AD37CA">
              <w:rPr>
                <w:rFonts w:ascii="Times New Roman" w:hAnsi="Times New Roman" w:cs="Times New Roman"/>
                <w:b/>
                <w:iCs/>
                <w:sz w:val="24"/>
                <w:szCs w:val="24"/>
              </w:rPr>
              <w:t>Translation steps</w:t>
            </w:r>
          </w:p>
        </w:tc>
        <w:tc>
          <w:tcPr>
            <w:tcW w:w="8240" w:type="dxa"/>
          </w:tcPr>
          <w:p w14:paraId="74AF4D73" w14:textId="77777777" w:rsidR="00C47472" w:rsidRPr="00AD37CA" w:rsidRDefault="00C47472" w:rsidP="00C47472">
            <w:pPr>
              <w:autoSpaceDE w:val="0"/>
              <w:autoSpaceDN w:val="0"/>
              <w:adjustRightInd w:val="0"/>
              <w:jc w:val="center"/>
              <w:rPr>
                <w:rFonts w:ascii="Times New Roman" w:hAnsi="Times New Roman" w:cs="Times New Roman"/>
                <w:sz w:val="18"/>
                <w:szCs w:val="18"/>
              </w:rPr>
            </w:pPr>
            <w:r w:rsidRPr="00AD37CA">
              <w:rPr>
                <w:rFonts w:ascii="Times New Roman" w:hAnsi="Times New Roman" w:cs="Times New Roman"/>
                <w:b/>
                <w:sz w:val="24"/>
                <w:szCs w:val="24"/>
              </w:rPr>
              <w:t>Description</w:t>
            </w:r>
          </w:p>
        </w:tc>
      </w:tr>
      <w:tr w:rsidR="00C47472" w:rsidRPr="00AD37CA" w14:paraId="1F5C04FA" w14:textId="77777777" w:rsidTr="00C47472">
        <w:trPr>
          <w:trHeight w:val="1424"/>
        </w:trPr>
        <w:tc>
          <w:tcPr>
            <w:tcW w:w="2398" w:type="dxa"/>
          </w:tcPr>
          <w:p w14:paraId="6EA5D057" w14:textId="77777777" w:rsidR="00C47472" w:rsidRPr="00114FD2" w:rsidRDefault="00C47472" w:rsidP="00C47472">
            <w:pPr>
              <w:autoSpaceDE w:val="0"/>
              <w:autoSpaceDN w:val="0"/>
              <w:adjustRightInd w:val="0"/>
              <w:rPr>
                <w:rFonts w:ascii="Times New Roman" w:hAnsi="Times New Roman" w:cs="Times New Roman"/>
                <w:i/>
                <w:iCs/>
                <w:sz w:val="20"/>
                <w:szCs w:val="20"/>
              </w:rPr>
            </w:pPr>
          </w:p>
          <w:p w14:paraId="6A369AA1" w14:textId="77777777" w:rsidR="00C47472" w:rsidRPr="00114FD2" w:rsidRDefault="00C47472" w:rsidP="00C47472">
            <w:pPr>
              <w:autoSpaceDE w:val="0"/>
              <w:autoSpaceDN w:val="0"/>
              <w:adjustRightInd w:val="0"/>
              <w:rPr>
                <w:rFonts w:ascii="Times New Roman" w:hAnsi="Times New Roman" w:cs="Times New Roman"/>
                <w:b/>
                <w:iCs/>
                <w:sz w:val="20"/>
                <w:szCs w:val="20"/>
              </w:rPr>
            </w:pPr>
            <w:r w:rsidRPr="00114FD2">
              <w:rPr>
                <w:rFonts w:ascii="Times New Roman" w:hAnsi="Times New Roman" w:cs="Times New Roman"/>
                <w:b/>
                <w:iCs/>
                <w:sz w:val="20"/>
                <w:szCs w:val="20"/>
              </w:rPr>
              <w:t>Forward Translation</w:t>
            </w:r>
          </w:p>
        </w:tc>
        <w:tc>
          <w:tcPr>
            <w:tcW w:w="8240" w:type="dxa"/>
          </w:tcPr>
          <w:p w14:paraId="4BD70A99"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xml:space="preserve">- 3 </w:t>
            </w:r>
            <w:proofErr w:type="gramStart"/>
            <w:r w:rsidRPr="00114FD2">
              <w:rPr>
                <w:rFonts w:ascii="Times New Roman" w:hAnsi="Times New Roman" w:cs="Times New Roman"/>
                <w:sz w:val="18"/>
                <w:szCs w:val="18"/>
              </w:rPr>
              <w:t>forward translations were conducted by 3 independent native Iranian translators from English into Persian language</w:t>
            </w:r>
            <w:proofErr w:type="gramEnd"/>
            <w:r w:rsidRPr="00114FD2">
              <w:rPr>
                <w:rFonts w:ascii="Times New Roman" w:hAnsi="Times New Roman" w:cs="Times New Roman"/>
                <w:sz w:val="18"/>
                <w:szCs w:val="18"/>
              </w:rPr>
              <w:t>.</w:t>
            </w:r>
          </w:p>
          <w:p w14:paraId="13BE6FF1"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0BD93AA9"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Independent translators were fluent in English language and they instructed to use wording that could be understood by a patients</w:t>
            </w:r>
          </w:p>
          <w:p w14:paraId="27AC0B29" w14:textId="77777777" w:rsidR="00C47472" w:rsidRPr="00114FD2" w:rsidRDefault="00C47472" w:rsidP="00C47472">
            <w:pPr>
              <w:autoSpaceDE w:val="0"/>
              <w:autoSpaceDN w:val="0"/>
              <w:adjustRightInd w:val="0"/>
              <w:ind w:left="720"/>
              <w:contextualSpacing/>
              <w:jc w:val="both"/>
              <w:rPr>
                <w:rFonts w:ascii="Times New Roman" w:hAnsi="Times New Roman" w:cs="Times New Roman"/>
                <w:sz w:val="18"/>
                <w:szCs w:val="18"/>
              </w:rPr>
            </w:pPr>
          </w:p>
          <w:p w14:paraId="0E34EC5B"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xml:space="preserve">- 2 translators were </w:t>
            </w:r>
            <w:r w:rsidRPr="00114FD2">
              <w:rPr>
                <w:rFonts w:ascii="Times New Roman" w:hAnsi="Times New Roman" w:cs="Times New Roman"/>
                <w:color w:val="222222"/>
                <w:sz w:val="18"/>
                <w:szCs w:val="18"/>
                <w:shd w:val="clear" w:color="auto" w:fill="FFFFFF"/>
              </w:rPr>
              <w:t>medical interpreters</w:t>
            </w:r>
            <w:r w:rsidRPr="00114FD2">
              <w:rPr>
                <w:rFonts w:ascii="Times New Roman" w:hAnsi="Times New Roman" w:cs="Times New Roman"/>
                <w:sz w:val="18"/>
                <w:szCs w:val="18"/>
              </w:rPr>
              <w:t xml:space="preserve"> who aware of the outcomes analyzed by the questionnaires</w:t>
            </w:r>
          </w:p>
        </w:tc>
      </w:tr>
      <w:tr w:rsidR="00C47472" w:rsidRPr="00AD37CA" w14:paraId="3F6AEB93" w14:textId="77777777" w:rsidTr="00C47472">
        <w:trPr>
          <w:trHeight w:hRule="exact" w:val="427"/>
        </w:trPr>
        <w:tc>
          <w:tcPr>
            <w:tcW w:w="2398" w:type="dxa"/>
          </w:tcPr>
          <w:p w14:paraId="28379ADA" w14:textId="77777777" w:rsidR="00C47472" w:rsidRPr="00114FD2" w:rsidRDefault="00C47472" w:rsidP="00C47472">
            <w:pPr>
              <w:rPr>
                <w:rFonts w:ascii="Times New Roman" w:hAnsi="Times New Roman" w:cs="Times New Roman"/>
                <w:b/>
                <w:iCs/>
                <w:sz w:val="20"/>
                <w:szCs w:val="20"/>
              </w:rPr>
            </w:pPr>
            <w:r w:rsidRPr="00114FD2">
              <w:rPr>
                <w:rFonts w:ascii="Times New Roman" w:hAnsi="Times New Roman" w:cs="Times New Roman"/>
                <w:b/>
                <w:iCs/>
                <w:sz w:val="20"/>
                <w:szCs w:val="20"/>
              </w:rPr>
              <w:t>First Unified Forward Translation</w:t>
            </w:r>
          </w:p>
        </w:tc>
        <w:tc>
          <w:tcPr>
            <w:tcW w:w="8240" w:type="dxa"/>
          </w:tcPr>
          <w:p w14:paraId="783C613A"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A meeting was convened among the 3 forward translators and the authors of this study to reach a consensus among the members of the group and to produce a first unified Iranian version of the 3 forward translations.</w:t>
            </w:r>
          </w:p>
        </w:tc>
      </w:tr>
      <w:tr w:rsidR="00C47472" w:rsidRPr="00AD37CA" w14:paraId="25F1748B" w14:textId="77777777" w:rsidTr="00C47472">
        <w:trPr>
          <w:trHeight w:val="1685"/>
        </w:trPr>
        <w:tc>
          <w:tcPr>
            <w:tcW w:w="2398" w:type="dxa"/>
          </w:tcPr>
          <w:p w14:paraId="03DC49D6" w14:textId="77777777" w:rsidR="00C47472" w:rsidRPr="00114FD2" w:rsidRDefault="00C47472" w:rsidP="00C47472">
            <w:pPr>
              <w:autoSpaceDE w:val="0"/>
              <w:autoSpaceDN w:val="0"/>
              <w:adjustRightInd w:val="0"/>
              <w:rPr>
                <w:rFonts w:ascii="Times New Roman" w:hAnsi="Times New Roman" w:cs="Times New Roman"/>
                <w:b/>
                <w:sz w:val="20"/>
                <w:szCs w:val="20"/>
              </w:rPr>
            </w:pPr>
            <w:r w:rsidRPr="00114FD2">
              <w:rPr>
                <w:rFonts w:ascii="Times New Roman" w:hAnsi="Times New Roman" w:cs="Times New Roman"/>
                <w:b/>
                <w:iCs/>
                <w:sz w:val="20"/>
                <w:szCs w:val="20"/>
              </w:rPr>
              <w:t>Backward Translations</w:t>
            </w:r>
          </w:p>
          <w:p w14:paraId="35094BA4" w14:textId="77777777" w:rsidR="00C47472" w:rsidRPr="00114FD2" w:rsidRDefault="00C47472" w:rsidP="00C47472">
            <w:pPr>
              <w:rPr>
                <w:rFonts w:ascii="Times New Roman" w:hAnsi="Times New Roman" w:cs="Times New Roman"/>
                <w:b/>
                <w:sz w:val="20"/>
                <w:szCs w:val="20"/>
              </w:rPr>
            </w:pPr>
          </w:p>
        </w:tc>
        <w:tc>
          <w:tcPr>
            <w:tcW w:w="8240" w:type="dxa"/>
          </w:tcPr>
          <w:p w14:paraId="40A7B58F"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xml:space="preserve">- The first unified Iranian version of the questionnaires was </w:t>
            </w:r>
            <w:proofErr w:type="gramStart"/>
            <w:r w:rsidRPr="00114FD2">
              <w:rPr>
                <w:rFonts w:ascii="Times New Roman" w:hAnsi="Times New Roman" w:cs="Times New Roman"/>
                <w:sz w:val="18"/>
                <w:szCs w:val="18"/>
              </w:rPr>
              <w:t>back-translated</w:t>
            </w:r>
            <w:proofErr w:type="gramEnd"/>
            <w:r w:rsidRPr="00114FD2">
              <w:rPr>
                <w:rFonts w:ascii="Times New Roman" w:hAnsi="Times New Roman" w:cs="Times New Roman"/>
                <w:sz w:val="18"/>
                <w:szCs w:val="18"/>
              </w:rPr>
              <w:t xml:space="preserve"> into English by 3 bilingual professional translators who were fluent into the colloquial and idioms forms of the forward language. </w:t>
            </w:r>
          </w:p>
          <w:p w14:paraId="7CED06C3"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2C29628C"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The back-translators were different persons from the forward translators and had not seen the original text of the questionnaires, were unaware of the target of the research,</w:t>
            </w:r>
          </w:p>
          <w:p w14:paraId="4AB66A81"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5320A1F1"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Back-translation was conducted to improve the quality of the final version of a questionnaire, by amplifying any misunderstandings in the forward translations.</w:t>
            </w:r>
          </w:p>
        </w:tc>
      </w:tr>
      <w:tr w:rsidR="00C47472" w:rsidRPr="00AD37CA" w14:paraId="45C8EF75" w14:textId="77777777" w:rsidTr="00C47472">
        <w:trPr>
          <w:trHeight w:val="1892"/>
        </w:trPr>
        <w:tc>
          <w:tcPr>
            <w:tcW w:w="2398" w:type="dxa"/>
          </w:tcPr>
          <w:p w14:paraId="3B10B1BE" w14:textId="77777777" w:rsidR="00C47472" w:rsidRPr="00114FD2" w:rsidRDefault="00C47472" w:rsidP="00C47472">
            <w:pPr>
              <w:rPr>
                <w:rFonts w:ascii="Times New Roman" w:hAnsi="Times New Roman" w:cs="Times New Roman"/>
                <w:b/>
                <w:sz w:val="20"/>
                <w:szCs w:val="20"/>
              </w:rPr>
            </w:pPr>
            <w:r w:rsidRPr="00114FD2">
              <w:rPr>
                <w:rFonts w:ascii="Times New Roman" w:hAnsi="Times New Roman" w:cs="Times New Roman"/>
                <w:b/>
                <w:iCs/>
                <w:sz w:val="20"/>
                <w:szCs w:val="20"/>
              </w:rPr>
              <w:t>Review of Backward Translations</w:t>
            </w:r>
            <w:r w:rsidRPr="00114FD2">
              <w:rPr>
                <w:rFonts w:ascii="Times New Roman" w:hAnsi="Times New Roman" w:cs="Times New Roman"/>
                <w:b/>
                <w:sz w:val="20"/>
                <w:szCs w:val="20"/>
              </w:rPr>
              <w:t>.</w:t>
            </w:r>
          </w:p>
        </w:tc>
        <w:tc>
          <w:tcPr>
            <w:tcW w:w="8240" w:type="dxa"/>
          </w:tcPr>
          <w:p w14:paraId="0A7F972D"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The 3 backward translations were reviewed by the authors (academic staff in health education department) of this paper and by the 3 specialists in cardiovascular disease (expert panel) to check their correspondence with the original version of the respective instruments.</w:t>
            </w:r>
          </w:p>
          <w:p w14:paraId="5BD741F5"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6C0A3F13"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The aim of this phase was to make sure that all the items and instructions were still relevant based upon the original version and fully comprehensible,</w:t>
            </w:r>
          </w:p>
          <w:p w14:paraId="6022AB65" w14:textId="77777777" w:rsidR="00C47472" w:rsidRPr="00114FD2" w:rsidRDefault="00C47472" w:rsidP="00C47472">
            <w:pPr>
              <w:autoSpaceDE w:val="0"/>
              <w:autoSpaceDN w:val="0"/>
              <w:adjustRightInd w:val="0"/>
              <w:ind w:left="720"/>
              <w:contextualSpacing/>
              <w:jc w:val="both"/>
              <w:rPr>
                <w:rFonts w:ascii="Times New Roman" w:hAnsi="Times New Roman" w:cs="Times New Roman"/>
                <w:sz w:val="18"/>
                <w:szCs w:val="18"/>
              </w:rPr>
            </w:pPr>
          </w:p>
          <w:p w14:paraId="2D162652"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xml:space="preserve"> - They verify the cross-cultural equivalence of the source and final versions by comparing their idiomatic, experiential, semantic, and conceptual equivalencies of each items.</w:t>
            </w:r>
          </w:p>
        </w:tc>
      </w:tr>
      <w:tr w:rsidR="00C47472" w:rsidRPr="00AD37CA" w14:paraId="72AE4EC4" w14:textId="77777777" w:rsidTr="00C47472">
        <w:tc>
          <w:tcPr>
            <w:tcW w:w="2398" w:type="dxa"/>
          </w:tcPr>
          <w:p w14:paraId="489722E9" w14:textId="77777777" w:rsidR="00C47472" w:rsidRPr="00114FD2" w:rsidRDefault="00C47472" w:rsidP="00C47472">
            <w:pPr>
              <w:rPr>
                <w:rFonts w:ascii="Times New Roman" w:hAnsi="Times New Roman" w:cs="Times New Roman"/>
                <w:b/>
                <w:sz w:val="20"/>
                <w:szCs w:val="20"/>
              </w:rPr>
            </w:pPr>
            <w:r w:rsidRPr="00114FD2">
              <w:rPr>
                <w:rFonts w:ascii="Times New Roman" w:hAnsi="Times New Roman" w:cs="Times New Roman"/>
                <w:b/>
                <w:iCs/>
                <w:sz w:val="20"/>
                <w:szCs w:val="20"/>
              </w:rPr>
              <w:t>Second Unified Forward Version</w:t>
            </w:r>
          </w:p>
        </w:tc>
        <w:tc>
          <w:tcPr>
            <w:tcW w:w="8240" w:type="dxa"/>
          </w:tcPr>
          <w:p w14:paraId="69232274"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This meeting was convened among all of the translators to discuss about reviewers’ comments related to the backward translations.</w:t>
            </w:r>
          </w:p>
          <w:p w14:paraId="03EDA5DE"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4F00F470"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xml:space="preserve"> - The purpose was to reach a consensus among the translators for a second unified version of the questionnaires </w:t>
            </w:r>
          </w:p>
        </w:tc>
      </w:tr>
      <w:tr w:rsidR="00C47472" w:rsidRPr="00AD37CA" w14:paraId="6F00C516" w14:textId="77777777" w:rsidTr="00C47472">
        <w:tc>
          <w:tcPr>
            <w:tcW w:w="2398" w:type="dxa"/>
          </w:tcPr>
          <w:p w14:paraId="2410AC7E" w14:textId="77777777" w:rsidR="00C47472" w:rsidRPr="00114FD2" w:rsidRDefault="00C47472" w:rsidP="00C47472">
            <w:pPr>
              <w:autoSpaceDE w:val="0"/>
              <w:autoSpaceDN w:val="0"/>
              <w:adjustRightInd w:val="0"/>
              <w:rPr>
                <w:rFonts w:ascii="Times New Roman" w:hAnsi="Times New Roman" w:cs="Times New Roman"/>
                <w:b/>
                <w:sz w:val="20"/>
                <w:szCs w:val="20"/>
              </w:rPr>
            </w:pPr>
            <w:r w:rsidRPr="00114FD2">
              <w:rPr>
                <w:rFonts w:ascii="Times New Roman" w:hAnsi="Times New Roman" w:cs="Times New Roman"/>
                <w:b/>
                <w:iCs/>
                <w:sz w:val="20"/>
                <w:szCs w:val="20"/>
              </w:rPr>
              <w:t>Pre-testing in a Target Population</w:t>
            </w:r>
          </w:p>
          <w:p w14:paraId="2EB617D8" w14:textId="77777777" w:rsidR="00C47472" w:rsidRPr="00114FD2" w:rsidRDefault="00C47472" w:rsidP="00C47472">
            <w:pPr>
              <w:rPr>
                <w:rFonts w:ascii="Times New Roman" w:hAnsi="Times New Roman" w:cs="Times New Roman"/>
                <w:b/>
                <w:sz w:val="20"/>
                <w:szCs w:val="20"/>
              </w:rPr>
            </w:pPr>
          </w:p>
        </w:tc>
        <w:tc>
          <w:tcPr>
            <w:tcW w:w="8240" w:type="dxa"/>
          </w:tcPr>
          <w:p w14:paraId="1ABD8A8B"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color w:val="000000"/>
                <w:sz w:val="18"/>
                <w:szCs w:val="18"/>
              </w:rPr>
              <w:t xml:space="preserve">- </w:t>
            </w:r>
            <w:r w:rsidRPr="00114FD2">
              <w:rPr>
                <w:rFonts w:ascii="Times New Roman" w:hAnsi="Times New Roman" w:cs="Times New Roman"/>
                <w:sz w:val="18"/>
                <w:szCs w:val="18"/>
              </w:rPr>
              <w:t>The second unified version was administered to 90 hypertensive patients and 30 health providers to test participant comprehension in the target population, using probe method.</w:t>
            </w:r>
          </w:p>
          <w:p w14:paraId="7478BE80"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573123B1"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A health professional asked participant to reflect the clarity, readability and simplicity of instruments.</w:t>
            </w:r>
          </w:p>
          <w:p w14:paraId="13332C6C" w14:textId="77777777" w:rsidR="00C47472" w:rsidRPr="00114FD2" w:rsidRDefault="00C47472" w:rsidP="00C47472">
            <w:pPr>
              <w:autoSpaceDE w:val="0"/>
              <w:autoSpaceDN w:val="0"/>
              <w:adjustRightInd w:val="0"/>
              <w:jc w:val="both"/>
              <w:rPr>
                <w:rFonts w:ascii="Times New Roman" w:hAnsi="Times New Roman" w:cs="Times New Roman"/>
                <w:sz w:val="18"/>
                <w:szCs w:val="18"/>
              </w:rPr>
            </w:pPr>
          </w:p>
          <w:p w14:paraId="2D3BED06" w14:textId="77777777" w:rsidR="00C47472" w:rsidRPr="00114FD2" w:rsidRDefault="00C47472" w:rsidP="00C47472">
            <w:pPr>
              <w:autoSpaceDE w:val="0"/>
              <w:autoSpaceDN w:val="0"/>
              <w:adjustRightInd w:val="0"/>
              <w:jc w:val="both"/>
              <w:rPr>
                <w:rFonts w:ascii="Times New Roman" w:hAnsi="Times New Roman" w:cs="Times New Roman"/>
                <w:sz w:val="18"/>
                <w:szCs w:val="18"/>
              </w:rPr>
            </w:pPr>
            <w:r w:rsidRPr="00114FD2">
              <w:rPr>
                <w:rFonts w:ascii="Times New Roman" w:hAnsi="Times New Roman" w:cs="Times New Roman"/>
                <w:sz w:val="18"/>
                <w:szCs w:val="18"/>
              </w:rPr>
              <w:t>- The health professional judged whether the question was perfectly understood by each patient or providers. An expert panel reviewed the scale. They assessed the relevance and necessity questions in order to calculate the content validity index (CVI) and content validity ratio (CVR). The relevance of the items was assessed using a four-point rating scale ranging from 1 (=not relevant) to 4 (=very relevant). The necessity of the items was assessed using a three-point rating scale ranging from 1 (=not necessary) to 3 (=essential).</w:t>
            </w:r>
          </w:p>
        </w:tc>
      </w:tr>
    </w:tbl>
    <w:p w14:paraId="4F93651C" w14:textId="77777777" w:rsidR="00837FB9" w:rsidRDefault="00837FB9" w:rsidP="00132980">
      <w:pPr>
        <w:rPr>
          <w:rFonts w:asciiTheme="majorBidi" w:hAnsiTheme="majorBidi" w:cstheme="majorBidi"/>
          <w:sz w:val="24"/>
          <w:szCs w:val="24"/>
        </w:rPr>
      </w:pPr>
    </w:p>
    <w:p w14:paraId="649AC1E1" w14:textId="77777777" w:rsidR="00837FB9" w:rsidRDefault="00837FB9" w:rsidP="00132980">
      <w:pPr>
        <w:rPr>
          <w:rFonts w:asciiTheme="majorBidi" w:hAnsiTheme="majorBidi" w:cstheme="majorBidi"/>
          <w:sz w:val="24"/>
          <w:szCs w:val="24"/>
        </w:rPr>
      </w:pPr>
    </w:p>
    <w:p w14:paraId="200CC55C" w14:textId="77777777" w:rsidR="00837FB9" w:rsidRDefault="00837FB9" w:rsidP="00132980">
      <w:pPr>
        <w:rPr>
          <w:rFonts w:asciiTheme="majorBidi" w:hAnsiTheme="majorBidi" w:cstheme="majorBidi"/>
          <w:sz w:val="24"/>
          <w:szCs w:val="24"/>
        </w:rPr>
      </w:pPr>
    </w:p>
    <w:p w14:paraId="24FC0E20" w14:textId="77777777" w:rsidR="00837FB9" w:rsidRDefault="00837FB9" w:rsidP="00132980">
      <w:pPr>
        <w:rPr>
          <w:rFonts w:asciiTheme="majorBidi" w:hAnsiTheme="majorBidi" w:cstheme="majorBidi"/>
          <w:sz w:val="24"/>
          <w:szCs w:val="24"/>
        </w:rPr>
      </w:pPr>
    </w:p>
    <w:p w14:paraId="74B6A1D6" w14:textId="77777777" w:rsidR="00837FB9" w:rsidRDefault="00837FB9" w:rsidP="00132980">
      <w:pPr>
        <w:rPr>
          <w:rFonts w:asciiTheme="majorBidi" w:hAnsiTheme="majorBidi" w:cstheme="majorBidi"/>
          <w:sz w:val="24"/>
          <w:szCs w:val="24"/>
        </w:rPr>
      </w:pPr>
    </w:p>
    <w:p w14:paraId="1D6B8222" w14:textId="77777777" w:rsidR="00837FB9" w:rsidRDefault="00837FB9" w:rsidP="00132980">
      <w:pPr>
        <w:rPr>
          <w:rFonts w:asciiTheme="majorBidi" w:hAnsiTheme="majorBidi" w:cstheme="majorBidi"/>
          <w:sz w:val="24"/>
          <w:szCs w:val="24"/>
        </w:rPr>
      </w:pPr>
    </w:p>
    <w:p w14:paraId="406C21B3" w14:textId="77777777" w:rsidR="00837FB9" w:rsidRDefault="00837FB9" w:rsidP="00132980">
      <w:pPr>
        <w:rPr>
          <w:rFonts w:asciiTheme="majorBidi" w:hAnsiTheme="majorBidi" w:cstheme="majorBidi"/>
          <w:sz w:val="24"/>
          <w:szCs w:val="24"/>
        </w:rPr>
      </w:pPr>
    </w:p>
    <w:p w14:paraId="0C671369" w14:textId="77777777" w:rsidR="00837FB9" w:rsidRDefault="00837FB9" w:rsidP="00132980">
      <w:pPr>
        <w:rPr>
          <w:rFonts w:asciiTheme="majorBidi" w:hAnsiTheme="majorBidi" w:cstheme="majorBidi"/>
          <w:sz w:val="24"/>
          <w:szCs w:val="24"/>
        </w:rPr>
      </w:pPr>
    </w:p>
    <w:p w14:paraId="1484119F" w14:textId="42A64D52" w:rsidR="009E691C" w:rsidRPr="006779D8" w:rsidRDefault="009E691C" w:rsidP="009E691C">
      <w:pPr>
        <w:widowControl w:val="0"/>
        <w:autoSpaceDE w:val="0"/>
        <w:autoSpaceDN w:val="0"/>
        <w:adjustRightInd w:val="0"/>
        <w:spacing w:after="240" w:line="240" w:lineRule="auto"/>
        <w:jc w:val="center"/>
        <w:rPr>
          <w:rFonts w:asciiTheme="majorBidi" w:hAnsiTheme="majorBidi" w:cstheme="majorBidi"/>
          <w:sz w:val="24"/>
          <w:szCs w:val="24"/>
        </w:rPr>
      </w:pPr>
      <w:r w:rsidRPr="006779D8">
        <w:rPr>
          <w:rFonts w:asciiTheme="majorBidi" w:hAnsiTheme="majorBidi" w:cstheme="majorBidi"/>
          <w:sz w:val="24"/>
          <w:szCs w:val="24"/>
        </w:rPr>
        <w:t xml:space="preserve">Table </w:t>
      </w:r>
      <w:r w:rsidR="003772AE">
        <w:rPr>
          <w:rFonts w:asciiTheme="majorBidi" w:hAnsiTheme="majorBidi" w:cstheme="majorBidi"/>
          <w:sz w:val="24"/>
          <w:szCs w:val="24"/>
        </w:rPr>
        <w:t>2</w:t>
      </w:r>
      <w:r w:rsidR="004D2E97">
        <w:rPr>
          <w:rFonts w:asciiTheme="majorBidi" w:hAnsiTheme="majorBidi" w:cstheme="majorBidi"/>
          <w:sz w:val="24"/>
          <w:szCs w:val="24"/>
        </w:rPr>
        <w:t>S</w:t>
      </w:r>
      <w:r w:rsidRPr="006779D8">
        <w:rPr>
          <w:rFonts w:asciiTheme="majorBidi" w:hAnsiTheme="majorBidi" w:cstheme="majorBidi"/>
          <w:sz w:val="24"/>
          <w:szCs w:val="24"/>
        </w:rPr>
        <w:t xml:space="preserve">: Results of linear regression testing the effects of health literacy on health outcomes and demographic characteristic </w:t>
      </w:r>
    </w:p>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250"/>
        <w:gridCol w:w="2250"/>
        <w:gridCol w:w="1080"/>
      </w:tblGrid>
      <w:tr w:rsidR="009E691C" w14:paraId="7AE4ECD3" w14:textId="77777777" w:rsidTr="004A16E4">
        <w:trPr>
          <w:jc w:val="center"/>
        </w:trPr>
        <w:tc>
          <w:tcPr>
            <w:tcW w:w="2250" w:type="dxa"/>
            <w:tcBorders>
              <w:top w:val="single" w:sz="4" w:space="0" w:color="000000" w:themeColor="text1"/>
            </w:tcBorders>
          </w:tcPr>
          <w:p w14:paraId="29A4AFD2" w14:textId="77777777" w:rsidR="009E691C" w:rsidRPr="003B6E0E" w:rsidRDefault="009E691C" w:rsidP="004A16E4">
            <w:pPr>
              <w:spacing w:before="240"/>
              <w:contextualSpacing/>
              <w:jc w:val="center"/>
              <w:rPr>
                <w:rFonts w:asciiTheme="majorBidi" w:hAnsiTheme="majorBidi" w:cstheme="majorBidi"/>
                <w:b/>
                <w:bCs/>
              </w:rPr>
            </w:pPr>
            <w:r w:rsidRPr="003B6E0E">
              <w:rPr>
                <w:rFonts w:asciiTheme="majorBidi" w:hAnsiTheme="majorBidi" w:cstheme="majorBidi"/>
                <w:b/>
                <w:bCs/>
              </w:rPr>
              <w:t>Variable</w:t>
            </w:r>
            <w:r>
              <w:rPr>
                <w:rFonts w:asciiTheme="majorBidi" w:hAnsiTheme="majorBidi" w:cstheme="majorBidi"/>
                <w:b/>
                <w:bCs/>
              </w:rPr>
              <w:t xml:space="preserve">s </w:t>
            </w:r>
            <w:r w:rsidRPr="00C32DCE">
              <w:rPr>
                <w:rFonts w:asciiTheme="majorBidi" w:hAnsiTheme="majorBidi" w:cstheme="majorBidi"/>
                <w:b/>
                <w:bCs/>
                <w:i/>
                <w:iCs/>
              </w:rPr>
              <w:t>n</w:t>
            </w:r>
            <w:r>
              <w:rPr>
                <w:rFonts w:asciiTheme="majorBidi" w:hAnsiTheme="majorBidi" w:cstheme="majorBidi"/>
                <w:b/>
                <w:bCs/>
              </w:rPr>
              <w:t xml:space="preserve"> </w:t>
            </w:r>
            <w:r w:rsidRPr="00C32DCE">
              <w:rPr>
                <w:rFonts w:asciiTheme="majorBidi" w:hAnsiTheme="majorBidi" w:cstheme="majorBidi"/>
                <w:b/>
                <w:bCs/>
                <w:sz w:val="20"/>
                <w:szCs w:val="20"/>
              </w:rPr>
              <w:t>= 240</w:t>
            </w:r>
          </w:p>
        </w:tc>
        <w:tc>
          <w:tcPr>
            <w:tcW w:w="2250" w:type="dxa"/>
            <w:tcBorders>
              <w:top w:val="single" w:sz="4" w:space="0" w:color="000000" w:themeColor="text1"/>
            </w:tcBorders>
          </w:tcPr>
          <w:p w14:paraId="2DF9C177" w14:textId="77777777" w:rsidR="009E691C" w:rsidRPr="00026A26" w:rsidRDefault="009E691C" w:rsidP="004A16E4">
            <w:pPr>
              <w:spacing w:before="240"/>
              <w:contextualSpacing/>
              <w:jc w:val="center"/>
              <w:rPr>
                <w:rFonts w:asciiTheme="majorBidi" w:hAnsiTheme="majorBidi" w:cstheme="majorBidi"/>
                <w:b/>
                <w:bCs/>
                <w:i/>
                <w:iCs/>
              </w:rPr>
            </w:pPr>
            <w:r w:rsidRPr="00026A26">
              <w:rPr>
                <w:rFonts w:asciiTheme="majorBidi" w:hAnsiTheme="majorBidi" w:cstheme="majorBidi"/>
                <w:b/>
                <w:bCs/>
                <w:i/>
                <w:iCs/>
              </w:rPr>
              <w:t>ß (S.E)</w:t>
            </w:r>
          </w:p>
        </w:tc>
        <w:tc>
          <w:tcPr>
            <w:tcW w:w="1080" w:type="dxa"/>
            <w:tcBorders>
              <w:top w:val="single" w:sz="4" w:space="0" w:color="000000" w:themeColor="text1"/>
            </w:tcBorders>
          </w:tcPr>
          <w:p w14:paraId="617FB238" w14:textId="77777777" w:rsidR="009E691C" w:rsidRPr="00026A26" w:rsidRDefault="009E691C" w:rsidP="004A16E4">
            <w:pPr>
              <w:spacing w:before="240"/>
              <w:contextualSpacing/>
              <w:jc w:val="center"/>
              <w:rPr>
                <w:rFonts w:asciiTheme="majorBidi" w:hAnsiTheme="majorBidi" w:cstheme="majorBidi"/>
                <w:b/>
                <w:bCs/>
                <w:i/>
                <w:iCs/>
              </w:rPr>
            </w:pPr>
            <w:r w:rsidRPr="00026A26">
              <w:rPr>
                <w:rFonts w:asciiTheme="majorBidi" w:hAnsiTheme="majorBidi" w:cstheme="majorBidi"/>
                <w:b/>
                <w:bCs/>
                <w:i/>
                <w:iCs/>
              </w:rPr>
              <w:t>P</w:t>
            </w:r>
          </w:p>
        </w:tc>
      </w:tr>
      <w:tr w:rsidR="009E691C" w14:paraId="4CF00562" w14:textId="77777777" w:rsidTr="004A16E4">
        <w:trPr>
          <w:trHeight w:val="287"/>
          <w:jc w:val="center"/>
        </w:trPr>
        <w:tc>
          <w:tcPr>
            <w:tcW w:w="2250" w:type="dxa"/>
            <w:tcBorders>
              <w:top w:val="single" w:sz="4" w:space="0" w:color="000000" w:themeColor="text1"/>
            </w:tcBorders>
          </w:tcPr>
          <w:p w14:paraId="3B5E5CBA" w14:textId="77777777" w:rsidR="009E691C" w:rsidRPr="00026A26" w:rsidRDefault="009E691C" w:rsidP="004A16E4">
            <w:pPr>
              <w:spacing w:before="240"/>
              <w:contextualSpacing/>
              <w:rPr>
                <w:rFonts w:asciiTheme="majorBidi" w:hAnsiTheme="majorBidi" w:cstheme="majorBidi"/>
                <w:sz w:val="20"/>
                <w:szCs w:val="20"/>
              </w:rPr>
            </w:pPr>
          </w:p>
          <w:p w14:paraId="2E183200"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Age</w:t>
            </w:r>
          </w:p>
        </w:tc>
        <w:tc>
          <w:tcPr>
            <w:tcW w:w="2250" w:type="dxa"/>
            <w:tcBorders>
              <w:top w:val="single" w:sz="4" w:space="0" w:color="000000" w:themeColor="text1"/>
            </w:tcBorders>
          </w:tcPr>
          <w:p w14:paraId="7142E916"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p>
          <w:p w14:paraId="2EF4EEF3"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0.02 (0.08)</w:t>
            </w:r>
          </w:p>
        </w:tc>
        <w:tc>
          <w:tcPr>
            <w:tcW w:w="1080" w:type="dxa"/>
            <w:tcBorders>
              <w:top w:val="single" w:sz="4" w:space="0" w:color="000000" w:themeColor="text1"/>
            </w:tcBorders>
          </w:tcPr>
          <w:p w14:paraId="057FA0CB" w14:textId="77777777" w:rsidR="009E691C" w:rsidRPr="00026A26" w:rsidRDefault="009E691C" w:rsidP="004A16E4">
            <w:pPr>
              <w:spacing w:before="240"/>
              <w:contextualSpacing/>
              <w:jc w:val="center"/>
              <w:rPr>
                <w:rFonts w:asciiTheme="majorBidi" w:hAnsiTheme="majorBidi" w:cstheme="majorBidi"/>
                <w:sz w:val="20"/>
                <w:szCs w:val="20"/>
              </w:rPr>
            </w:pPr>
          </w:p>
          <w:p w14:paraId="0C484E49"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0.83</w:t>
            </w:r>
          </w:p>
        </w:tc>
      </w:tr>
      <w:tr w:rsidR="009E691C" w14:paraId="14B4E0F9" w14:textId="77777777" w:rsidTr="004A16E4">
        <w:trPr>
          <w:trHeight w:val="189"/>
          <w:jc w:val="center"/>
        </w:trPr>
        <w:tc>
          <w:tcPr>
            <w:tcW w:w="2250" w:type="dxa"/>
          </w:tcPr>
          <w:p w14:paraId="2F0B69A7"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Gender</w:t>
            </w:r>
          </w:p>
        </w:tc>
        <w:tc>
          <w:tcPr>
            <w:tcW w:w="2250" w:type="dxa"/>
          </w:tcPr>
          <w:p w14:paraId="63E0F878"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-0.05 (0.13)</w:t>
            </w:r>
          </w:p>
        </w:tc>
        <w:tc>
          <w:tcPr>
            <w:tcW w:w="1080" w:type="dxa"/>
          </w:tcPr>
          <w:p w14:paraId="48A8F467"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0.33</w:t>
            </w:r>
          </w:p>
        </w:tc>
      </w:tr>
      <w:tr w:rsidR="009E691C" w14:paraId="0DB876F0" w14:textId="77777777" w:rsidTr="004A16E4">
        <w:trPr>
          <w:jc w:val="center"/>
        </w:trPr>
        <w:tc>
          <w:tcPr>
            <w:tcW w:w="2250" w:type="dxa"/>
          </w:tcPr>
          <w:p w14:paraId="7A2763DB"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Marital status</w:t>
            </w:r>
          </w:p>
        </w:tc>
        <w:tc>
          <w:tcPr>
            <w:tcW w:w="2250" w:type="dxa"/>
          </w:tcPr>
          <w:p w14:paraId="542EB9A0"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0.03 (0.15)</w:t>
            </w:r>
          </w:p>
        </w:tc>
        <w:tc>
          <w:tcPr>
            <w:tcW w:w="1080" w:type="dxa"/>
          </w:tcPr>
          <w:p w14:paraId="1F940CB6"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0.23</w:t>
            </w:r>
          </w:p>
        </w:tc>
      </w:tr>
      <w:tr w:rsidR="009E691C" w14:paraId="42DE76BC" w14:textId="77777777" w:rsidTr="004A16E4">
        <w:trPr>
          <w:jc w:val="center"/>
        </w:trPr>
        <w:tc>
          <w:tcPr>
            <w:tcW w:w="2250" w:type="dxa"/>
          </w:tcPr>
          <w:p w14:paraId="78B7A056"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Education</w:t>
            </w:r>
          </w:p>
        </w:tc>
        <w:tc>
          <w:tcPr>
            <w:tcW w:w="2250" w:type="dxa"/>
          </w:tcPr>
          <w:p w14:paraId="378F0A90"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0.15 (0.004)</w:t>
            </w:r>
          </w:p>
        </w:tc>
        <w:tc>
          <w:tcPr>
            <w:tcW w:w="1080" w:type="dxa"/>
          </w:tcPr>
          <w:p w14:paraId="059511F4"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0.02</w:t>
            </w:r>
          </w:p>
        </w:tc>
      </w:tr>
      <w:tr w:rsidR="009E691C" w14:paraId="2B50D2DE" w14:textId="77777777" w:rsidTr="004A16E4">
        <w:trPr>
          <w:jc w:val="center"/>
        </w:trPr>
        <w:tc>
          <w:tcPr>
            <w:tcW w:w="2250" w:type="dxa"/>
          </w:tcPr>
          <w:p w14:paraId="6B7DF3DE"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Employment</w:t>
            </w:r>
          </w:p>
        </w:tc>
        <w:tc>
          <w:tcPr>
            <w:tcW w:w="2250" w:type="dxa"/>
          </w:tcPr>
          <w:p w14:paraId="5A01893A"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0.04 (0.09)</w:t>
            </w:r>
          </w:p>
        </w:tc>
        <w:tc>
          <w:tcPr>
            <w:tcW w:w="1080" w:type="dxa"/>
          </w:tcPr>
          <w:p w14:paraId="07FA6066"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0.73</w:t>
            </w:r>
          </w:p>
        </w:tc>
      </w:tr>
      <w:tr w:rsidR="009E691C" w14:paraId="44068B21" w14:textId="77777777" w:rsidTr="004A16E4">
        <w:trPr>
          <w:jc w:val="center"/>
        </w:trPr>
        <w:tc>
          <w:tcPr>
            <w:tcW w:w="2250" w:type="dxa"/>
          </w:tcPr>
          <w:p w14:paraId="56B64FC3"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Income</w:t>
            </w:r>
          </w:p>
        </w:tc>
        <w:tc>
          <w:tcPr>
            <w:tcW w:w="2250" w:type="dxa"/>
          </w:tcPr>
          <w:p w14:paraId="2B1EBFC3"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-0.04 (0.14)</w:t>
            </w:r>
          </w:p>
        </w:tc>
        <w:tc>
          <w:tcPr>
            <w:tcW w:w="1080" w:type="dxa"/>
          </w:tcPr>
          <w:p w14:paraId="55AF6019"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0.36</w:t>
            </w:r>
          </w:p>
        </w:tc>
      </w:tr>
      <w:tr w:rsidR="009E691C" w14:paraId="42706A09" w14:textId="77777777" w:rsidTr="004A16E4">
        <w:trPr>
          <w:trHeight w:val="233"/>
          <w:jc w:val="center"/>
        </w:trPr>
        <w:tc>
          <w:tcPr>
            <w:tcW w:w="2250" w:type="dxa"/>
          </w:tcPr>
          <w:p w14:paraId="4A1447FB"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hAnsiTheme="majorBidi" w:cstheme="majorBidi"/>
                <w:sz w:val="20"/>
                <w:szCs w:val="20"/>
              </w:rPr>
              <w:t>Comorbid conditions</w:t>
            </w:r>
          </w:p>
        </w:tc>
        <w:tc>
          <w:tcPr>
            <w:tcW w:w="2250" w:type="dxa"/>
          </w:tcPr>
          <w:p w14:paraId="071A3D9B"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-0.06 (0.04)</w:t>
            </w:r>
          </w:p>
        </w:tc>
        <w:tc>
          <w:tcPr>
            <w:tcW w:w="1080" w:type="dxa"/>
          </w:tcPr>
          <w:p w14:paraId="14BA197C"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0.21</w:t>
            </w:r>
          </w:p>
        </w:tc>
      </w:tr>
      <w:tr w:rsidR="009E691C" w14:paraId="6A5E11B7" w14:textId="77777777" w:rsidTr="004A16E4">
        <w:trPr>
          <w:trHeight w:val="211"/>
          <w:jc w:val="center"/>
        </w:trPr>
        <w:tc>
          <w:tcPr>
            <w:tcW w:w="2250" w:type="dxa"/>
          </w:tcPr>
          <w:p w14:paraId="6DA0B9C0" w14:textId="77777777" w:rsidR="009E691C" w:rsidRPr="00026A26" w:rsidRDefault="009E691C" w:rsidP="004A16E4">
            <w:pPr>
              <w:spacing w:before="240"/>
              <w:contextualSpacing/>
              <w:rPr>
                <w:rFonts w:asciiTheme="majorBidi" w:hAnsiTheme="majorBidi" w:cstheme="majorBidi"/>
                <w:sz w:val="20"/>
                <w:szCs w:val="20"/>
              </w:rPr>
            </w:pPr>
            <w:proofErr w:type="gramStart"/>
            <w:r w:rsidRPr="00026A26">
              <w:rPr>
                <w:rFonts w:asciiTheme="majorBidi" w:eastAsia="Times New Roman" w:hAnsiTheme="majorBidi" w:cstheme="majorBidi"/>
                <w:sz w:val="20"/>
                <w:szCs w:val="20"/>
                <w:lang w:bidi="fa-IR"/>
              </w:rPr>
              <w:t>medication</w:t>
            </w:r>
            <w:proofErr w:type="gramEnd"/>
            <w:r w:rsidRPr="00026A26">
              <w:rPr>
                <w:rFonts w:asciiTheme="majorBidi" w:eastAsia="Times New Roman" w:hAnsiTheme="majorBidi" w:cstheme="majorBidi"/>
                <w:sz w:val="20"/>
                <w:szCs w:val="20"/>
                <w:lang w:bidi="fa-IR"/>
              </w:rPr>
              <w:t xml:space="preserve"> adherence</w:t>
            </w:r>
          </w:p>
        </w:tc>
        <w:tc>
          <w:tcPr>
            <w:tcW w:w="2250" w:type="dxa"/>
          </w:tcPr>
          <w:p w14:paraId="4A02FCD3"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0.19 (0.10)</w:t>
            </w:r>
          </w:p>
        </w:tc>
        <w:tc>
          <w:tcPr>
            <w:tcW w:w="1080" w:type="dxa"/>
          </w:tcPr>
          <w:p w14:paraId="6FAA1114"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0.001</w:t>
            </w:r>
          </w:p>
        </w:tc>
      </w:tr>
      <w:tr w:rsidR="009E691C" w14:paraId="2E672E58" w14:textId="77777777" w:rsidTr="004A16E4">
        <w:trPr>
          <w:trHeight w:val="162"/>
          <w:jc w:val="center"/>
        </w:trPr>
        <w:tc>
          <w:tcPr>
            <w:tcW w:w="2250" w:type="dxa"/>
          </w:tcPr>
          <w:p w14:paraId="35DA9796" w14:textId="77777777" w:rsidR="009E691C" w:rsidRPr="00026A26" w:rsidRDefault="009E691C" w:rsidP="004A16E4">
            <w:pPr>
              <w:spacing w:before="240"/>
              <w:contextualSpacing/>
              <w:rPr>
                <w:rFonts w:asciiTheme="majorBidi" w:hAnsiTheme="majorBidi" w:cstheme="majorBidi"/>
                <w:sz w:val="20"/>
                <w:szCs w:val="20"/>
              </w:rPr>
            </w:pPr>
            <w:r w:rsidRPr="00D47629">
              <w:rPr>
                <w:rFonts w:asciiTheme="majorBidi" w:eastAsia="Times New Roman" w:hAnsiTheme="majorBidi" w:cstheme="majorBidi"/>
                <w:sz w:val="20"/>
                <w:szCs w:val="20"/>
                <w:lang w:bidi="fa-IR"/>
              </w:rPr>
              <w:t>Patients’ Self-efficacy</w:t>
            </w:r>
          </w:p>
        </w:tc>
        <w:tc>
          <w:tcPr>
            <w:tcW w:w="2250" w:type="dxa"/>
          </w:tcPr>
          <w:p w14:paraId="1DF623DF"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0.14 (0.002)</w:t>
            </w:r>
          </w:p>
        </w:tc>
        <w:tc>
          <w:tcPr>
            <w:tcW w:w="1080" w:type="dxa"/>
          </w:tcPr>
          <w:p w14:paraId="06CAD557" w14:textId="77777777" w:rsidR="009E691C" w:rsidRPr="00026A26" w:rsidRDefault="009E691C" w:rsidP="004A16E4">
            <w:pPr>
              <w:spacing w:before="240"/>
              <w:contextualSpacing/>
              <w:jc w:val="center"/>
              <w:rPr>
                <w:rFonts w:asciiTheme="majorBidi" w:hAnsiTheme="majorBidi" w:cstheme="majorBidi"/>
                <w:sz w:val="20"/>
                <w:szCs w:val="20"/>
              </w:rPr>
            </w:pPr>
            <w:r w:rsidRPr="00026A26">
              <w:rPr>
                <w:rFonts w:asciiTheme="majorBidi" w:hAnsiTheme="majorBidi" w:cstheme="majorBidi"/>
                <w:sz w:val="20"/>
                <w:szCs w:val="20"/>
              </w:rPr>
              <w:t>0.023</w:t>
            </w:r>
          </w:p>
        </w:tc>
      </w:tr>
      <w:tr w:rsidR="009E691C" w14:paraId="6314DFEA" w14:textId="77777777" w:rsidTr="004A16E4">
        <w:trPr>
          <w:trHeight w:val="198"/>
          <w:jc w:val="center"/>
        </w:trPr>
        <w:tc>
          <w:tcPr>
            <w:tcW w:w="2250" w:type="dxa"/>
          </w:tcPr>
          <w:p w14:paraId="4769A13D"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eastAsia="Times New Roman" w:hAnsiTheme="majorBidi" w:cstheme="majorBidi"/>
                <w:sz w:val="20"/>
                <w:szCs w:val="20"/>
                <w:lang w:bidi="fa-IR"/>
              </w:rPr>
              <w:t>DBP</w:t>
            </w:r>
          </w:p>
        </w:tc>
        <w:tc>
          <w:tcPr>
            <w:tcW w:w="2250" w:type="dxa"/>
          </w:tcPr>
          <w:p w14:paraId="3A5B6EA3"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0.13 (0.002)</w:t>
            </w:r>
          </w:p>
        </w:tc>
        <w:tc>
          <w:tcPr>
            <w:tcW w:w="1080" w:type="dxa"/>
          </w:tcPr>
          <w:p w14:paraId="60B03602"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0.032</w:t>
            </w:r>
          </w:p>
        </w:tc>
      </w:tr>
      <w:tr w:rsidR="009E691C" w14:paraId="455231C3" w14:textId="77777777" w:rsidTr="004A16E4">
        <w:trPr>
          <w:trHeight w:val="62"/>
          <w:jc w:val="center"/>
        </w:trPr>
        <w:tc>
          <w:tcPr>
            <w:tcW w:w="2250" w:type="dxa"/>
          </w:tcPr>
          <w:p w14:paraId="32DEF125" w14:textId="77777777" w:rsidR="009E691C" w:rsidRPr="00026A26" w:rsidRDefault="009E691C" w:rsidP="004A16E4">
            <w:pPr>
              <w:spacing w:before="240"/>
              <w:contextualSpacing/>
              <w:rPr>
                <w:rFonts w:asciiTheme="majorBidi" w:hAnsiTheme="majorBidi" w:cstheme="majorBidi"/>
                <w:sz w:val="20"/>
                <w:szCs w:val="20"/>
              </w:rPr>
            </w:pPr>
            <w:r w:rsidRPr="00026A26">
              <w:rPr>
                <w:rFonts w:asciiTheme="majorBidi" w:eastAsia="Times New Roman" w:hAnsiTheme="majorBidi" w:cstheme="majorBidi"/>
                <w:sz w:val="20"/>
                <w:szCs w:val="20"/>
                <w:lang w:bidi="fa-IR"/>
              </w:rPr>
              <w:t>SBP</w:t>
            </w:r>
          </w:p>
        </w:tc>
        <w:tc>
          <w:tcPr>
            <w:tcW w:w="2250" w:type="dxa"/>
          </w:tcPr>
          <w:p w14:paraId="2DD5E9D1"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0.12 (.004)</w:t>
            </w:r>
          </w:p>
        </w:tc>
        <w:tc>
          <w:tcPr>
            <w:tcW w:w="1080" w:type="dxa"/>
          </w:tcPr>
          <w:p w14:paraId="0277B472" w14:textId="77777777" w:rsidR="009E691C" w:rsidRPr="00026A26" w:rsidRDefault="009E691C" w:rsidP="004A16E4">
            <w:pPr>
              <w:widowControl w:val="0"/>
              <w:autoSpaceDE w:val="0"/>
              <w:autoSpaceDN w:val="0"/>
              <w:adjustRightInd w:val="0"/>
              <w:spacing w:before="240" w:after="240"/>
              <w:contextualSpacing/>
              <w:jc w:val="center"/>
              <w:rPr>
                <w:rFonts w:asciiTheme="majorBidi" w:hAnsiTheme="majorBidi" w:cstheme="majorBidi"/>
                <w:sz w:val="20"/>
                <w:szCs w:val="20"/>
              </w:rPr>
            </w:pPr>
            <w:r w:rsidRPr="00026A26">
              <w:rPr>
                <w:rFonts w:asciiTheme="majorBidi" w:hAnsiTheme="majorBidi" w:cstheme="majorBidi"/>
                <w:sz w:val="20"/>
                <w:szCs w:val="20"/>
              </w:rPr>
              <w:t>0.03</w:t>
            </w:r>
          </w:p>
        </w:tc>
      </w:tr>
    </w:tbl>
    <w:p w14:paraId="7670FCC2" w14:textId="77777777" w:rsidR="00E84AF5" w:rsidRDefault="00E84AF5" w:rsidP="003B6E0E">
      <w:pPr>
        <w:jc w:val="center"/>
      </w:pPr>
    </w:p>
    <w:p w14:paraId="679D8893" w14:textId="77777777" w:rsidR="00E84AF5" w:rsidRDefault="00E84AF5" w:rsidP="002A0262"/>
    <w:p w14:paraId="63FF22D9" w14:textId="77777777" w:rsidR="00B27C41" w:rsidRDefault="00B27C41" w:rsidP="002A0262"/>
    <w:p w14:paraId="4DE8D418" w14:textId="77777777" w:rsidR="00B27C41" w:rsidRDefault="00B27C41" w:rsidP="002A0262"/>
    <w:p w14:paraId="781D80D2" w14:textId="77777777" w:rsidR="00B27C41" w:rsidRDefault="00B27C41" w:rsidP="002A0262"/>
    <w:p w14:paraId="1EE3EBE8" w14:textId="77777777" w:rsidR="00B27C41" w:rsidRDefault="00B27C41" w:rsidP="002A0262"/>
    <w:p w14:paraId="28DDE140" w14:textId="77777777" w:rsidR="00B27C41" w:rsidRDefault="00B27C41" w:rsidP="002A0262"/>
    <w:p w14:paraId="6317100A" w14:textId="77777777" w:rsidR="00B27C41" w:rsidRDefault="00B27C41" w:rsidP="002A0262"/>
    <w:p w14:paraId="372C5A35" w14:textId="77777777" w:rsidR="00F070F4" w:rsidRDefault="00F070F4" w:rsidP="002A0262"/>
    <w:p w14:paraId="7B38C539" w14:textId="77777777" w:rsidR="00F070F4" w:rsidRDefault="00F070F4" w:rsidP="002A0262"/>
    <w:sectPr w:rsidR="00F07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Segoe UI">
    <w:altName w:val="Calibri"/>
    <w:charset w:val="00"/>
    <w:family w:val="swiss"/>
    <w:pitch w:val="variable"/>
    <w:sig w:usb0="E10022FF" w:usb1="C000E47F" w:usb2="00000029" w:usb3="00000000" w:csb0="000001D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32EF7"/>
    <w:multiLevelType w:val="hybridMultilevel"/>
    <w:tmpl w:val="B93470EE"/>
    <w:lvl w:ilvl="0" w:tplc="D722CC36">
      <w:start w:val="5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7A21F3"/>
    <w:multiLevelType w:val="hybridMultilevel"/>
    <w:tmpl w:val="69288566"/>
    <w:lvl w:ilvl="0" w:tplc="28F467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13B"/>
    <w:rsid w:val="000049A3"/>
    <w:rsid w:val="00020AD4"/>
    <w:rsid w:val="00026A26"/>
    <w:rsid w:val="00030362"/>
    <w:rsid w:val="00036116"/>
    <w:rsid w:val="000407F8"/>
    <w:rsid w:val="000414E6"/>
    <w:rsid w:val="00043A05"/>
    <w:rsid w:val="00061C22"/>
    <w:rsid w:val="00080C51"/>
    <w:rsid w:val="00082C9B"/>
    <w:rsid w:val="00090CD3"/>
    <w:rsid w:val="0009557A"/>
    <w:rsid w:val="000B1513"/>
    <w:rsid w:val="000D7E09"/>
    <w:rsid w:val="000E01A3"/>
    <w:rsid w:val="000E50A4"/>
    <w:rsid w:val="000F17CA"/>
    <w:rsid w:val="00122565"/>
    <w:rsid w:val="00125793"/>
    <w:rsid w:val="00131478"/>
    <w:rsid w:val="00131B18"/>
    <w:rsid w:val="00132980"/>
    <w:rsid w:val="001333B0"/>
    <w:rsid w:val="00141E64"/>
    <w:rsid w:val="00150328"/>
    <w:rsid w:val="00153D09"/>
    <w:rsid w:val="00157D75"/>
    <w:rsid w:val="00166285"/>
    <w:rsid w:val="001702B5"/>
    <w:rsid w:val="001B7860"/>
    <w:rsid w:val="001C672E"/>
    <w:rsid w:val="001D4BBA"/>
    <w:rsid w:val="002221A6"/>
    <w:rsid w:val="00226B01"/>
    <w:rsid w:val="00260A39"/>
    <w:rsid w:val="00272964"/>
    <w:rsid w:val="0027319A"/>
    <w:rsid w:val="0028641D"/>
    <w:rsid w:val="002A0262"/>
    <w:rsid w:val="002B126F"/>
    <w:rsid w:val="002B3EDF"/>
    <w:rsid w:val="002B4F50"/>
    <w:rsid w:val="002B5E95"/>
    <w:rsid w:val="002C0504"/>
    <w:rsid w:val="002F0499"/>
    <w:rsid w:val="00305DBF"/>
    <w:rsid w:val="00316FC4"/>
    <w:rsid w:val="0034358C"/>
    <w:rsid w:val="00343C3A"/>
    <w:rsid w:val="00352026"/>
    <w:rsid w:val="003772AE"/>
    <w:rsid w:val="00385C6C"/>
    <w:rsid w:val="00385D87"/>
    <w:rsid w:val="00396964"/>
    <w:rsid w:val="003A6BD3"/>
    <w:rsid w:val="003B240B"/>
    <w:rsid w:val="003B6A67"/>
    <w:rsid w:val="003B6E0E"/>
    <w:rsid w:val="003E29FB"/>
    <w:rsid w:val="003F123D"/>
    <w:rsid w:val="0041050B"/>
    <w:rsid w:val="004416A6"/>
    <w:rsid w:val="00443A48"/>
    <w:rsid w:val="00446F9C"/>
    <w:rsid w:val="00450930"/>
    <w:rsid w:val="00451A26"/>
    <w:rsid w:val="00451EA0"/>
    <w:rsid w:val="004534D4"/>
    <w:rsid w:val="00455A1F"/>
    <w:rsid w:val="00456C77"/>
    <w:rsid w:val="004708B8"/>
    <w:rsid w:val="004751D0"/>
    <w:rsid w:val="00483C78"/>
    <w:rsid w:val="00490572"/>
    <w:rsid w:val="0049113B"/>
    <w:rsid w:val="004B6061"/>
    <w:rsid w:val="004D1BD1"/>
    <w:rsid w:val="004D2E97"/>
    <w:rsid w:val="004E4712"/>
    <w:rsid w:val="00501D2B"/>
    <w:rsid w:val="00513A1F"/>
    <w:rsid w:val="005206C6"/>
    <w:rsid w:val="00531E9A"/>
    <w:rsid w:val="00544FCA"/>
    <w:rsid w:val="00545E7F"/>
    <w:rsid w:val="00550189"/>
    <w:rsid w:val="00550623"/>
    <w:rsid w:val="00580457"/>
    <w:rsid w:val="00580F4B"/>
    <w:rsid w:val="005A760B"/>
    <w:rsid w:val="005B7706"/>
    <w:rsid w:val="005D7B3B"/>
    <w:rsid w:val="005F1EB3"/>
    <w:rsid w:val="00610AE8"/>
    <w:rsid w:val="006570B8"/>
    <w:rsid w:val="00664A85"/>
    <w:rsid w:val="00670D0A"/>
    <w:rsid w:val="006729FF"/>
    <w:rsid w:val="006779D8"/>
    <w:rsid w:val="006908ED"/>
    <w:rsid w:val="006A77EA"/>
    <w:rsid w:val="006C29E8"/>
    <w:rsid w:val="006D743F"/>
    <w:rsid w:val="006E1DE8"/>
    <w:rsid w:val="006E36D4"/>
    <w:rsid w:val="007041AE"/>
    <w:rsid w:val="00723894"/>
    <w:rsid w:val="0073109C"/>
    <w:rsid w:val="0074187D"/>
    <w:rsid w:val="00751C92"/>
    <w:rsid w:val="00755A25"/>
    <w:rsid w:val="007728D7"/>
    <w:rsid w:val="00785592"/>
    <w:rsid w:val="00785D74"/>
    <w:rsid w:val="007B039F"/>
    <w:rsid w:val="007B3965"/>
    <w:rsid w:val="007B4299"/>
    <w:rsid w:val="007B68D0"/>
    <w:rsid w:val="007B7884"/>
    <w:rsid w:val="007C3FC7"/>
    <w:rsid w:val="007D17C5"/>
    <w:rsid w:val="007E231F"/>
    <w:rsid w:val="007F42B8"/>
    <w:rsid w:val="00805F5D"/>
    <w:rsid w:val="00807F49"/>
    <w:rsid w:val="0081249E"/>
    <w:rsid w:val="00820B62"/>
    <w:rsid w:val="00822D5C"/>
    <w:rsid w:val="00830397"/>
    <w:rsid w:val="00831245"/>
    <w:rsid w:val="00837FB9"/>
    <w:rsid w:val="0084399F"/>
    <w:rsid w:val="00857166"/>
    <w:rsid w:val="0087435D"/>
    <w:rsid w:val="00896252"/>
    <w:rsid w:val="008A1C5D"/>
    <w:rsid w:val="008A51AE"/>
    <w:rsid w:val="008A5257"/>
    <w:rsid w:val="008B6ECD"/>
    <w:rsid w:val="008B7771"/>
    <w:rsid w:val="008F001D"/>
    <w:rsid w:val="008F1C3E"/>
    <w:rsid w:val="008F6A63"/>
    <w:rsid w:val="00904F56"/>
    <w:rsid w:val="009106E2"/>
    <w:rsid w:val="00920BA5"/>
    <w:rsid w:val="00932FC5"/>
    <w:rsid w:val="00936D1F"/>
    <w:rsid w:val="0096311C"/>
    <w:rsid w:val="009816C9"/>
    <w:rsid w:val="00995375"/>
    <w:rsid w:val="009B6FE8"/>
    <w:rsid w:val="009E0813"/>
    <w:rsid w:val="009E691C"/>
    <w:rsid w:val="009F296F"/>
    <w:rsid w:val="009F36C9"/>
    <w:rsid w:val="00A020F5"/>
    <w:rsid w:val="00A0210F"/>
    <w:rsid w:val="00A068DF"/>
    <w:rsid w:val="00A07742"/>
    <w:rsid w:val="00A13ED0"/>
    <w:rsid w:val="00A15E89"/>
    <w:rsid w:val="00A179F8"/>
    <w:rsid w:val="00A17DF3"/>
    <w:rsid w:val="00A25758"/>
    <w:rsid w:val="00A613D2"/>
    <w:rsid w:val="00A6695E"/>
    <w:rsid w:val="00A8469B"/>
    <w:rsid w:val="00A84DE5"/>
    <w:rsid w:val="00A94690"/>
    <w:rsid w:val="00AA0E18"/>
    <w:rsid w:val="00AB7333"/>
    <w:rsid w:val="00AB73EE"/>
    <w:rsid w:val="00AC3525"/>
    <w:rsid w:val="00AC632B"/>
    <w:rsid w:val="00AE01E5"/>
    <w:rsid w:val="00AE531E"/>
    <w:rsid w:val="00B1071A"/>
    <w:rsid w:val="00B14F37"/>
    <w:rsid w:val="00B16D18"/>
    <w:rsid w:val="00B20522"/>
    <w:rsid w:val="00B27C41"/>
    <w:rsid w:val="00B35B53"/>
    <w:rsid w:val="00B5337C"/>
    <w:rsid w:val="00B65D00"/>
    <w:rsid w:val="00B75298"/>
    <w:rsid w:val="00B95CB1"/>
    <w:rsid w:val="00BE520C"/>
    <w:rsid w:val="00C013F6"/>
    <w:rsid w:val="00C21B3F"/>
    <w:rsid w:val="00C30B9E"/>
    <w:rsid w:val="00C32DCE"/>
    <w:rsid w:val="00C3352A"/>
    <w:rsid w:val="00C443B1"/>
    <w:rsid w:val="00C47472"/>
    <w:rsid w:val="00C54192"/>
    <w:rsid w:val="00C646FA"/>
    <w:rsid w:val="00C66806"/>
    <w:rsid w:val="00C70D0B"/>
    <w:rsid w:val="00C75A52"/>
    <w:rsid w:val="00C81D2F"/>
    <w:rsid w:val="00CA3BF8"/>
    <w:rsid w:val="00CB21DB"/>
    <w:rsid w:val="00CD02B4"/>
    <w:rsid w:val="00CD4B3E"/>
    <w:rsid w:val="00CE493A"/>
    <w:rsid w:val="00CF32CA"/>
    <w:rsid w:val="00CF5D49"/>
    <w:rsid w:val="00CF6073"/>
    <w:rsid w:val="00D01C3C"/>
    <w:rsid w:val="00D222F9"/>
    <w:rsid w:val="00D23D71"/>
    <w:rsid w:val="00D34AF6"/>
    <w:rsid w:val="00D41503"/>
    <w:rsid w:val="00D45F40"/>
    <w:rsid w:val="00D46E76"/>
    <w:rsid w:val="00D47629"/>
    <w:rsid w:val="00D5269F"/>
    <w:rsid w:val="00D62475"/>
    <w:rsid w:val="00D77CE7"/>
    <w:rsid w:val="00D80F42"/>
    <w:rsid w:val="00D96FBD"/>
    <w:rsid w:val="00DB5D8A"/>
    <w:rsid w:val="00DE467D"/>
    <w:rsid w:val="00DE7AE3"/>
    <w:rsid w:val="00E10EC8"/>
    <w:rsid w:val="00E219FC"/>
    <w:rsid w:val="00E234C1"/>
    <w:rsid w:val="00E262ED"/>
    <w:rsid w:val="00E267B5"/>
    <w:rsid w:val="00E40440"/>
    <w:rsid w:val="00E53117"/>
    <w:rsid w:val="00E616E1"/>
    <w:rsid w:val="00E63EC1"/>
    <w:rsid w:val="00E64B8C"/>
    <w:rsid w:val="00E84AF5"/>
    <w:rsid w:val="00E862EF"/>
    <w:rsid w:val="00EC3AE9"/>
    <w:rsid w:val="00EE0B89"/>
    <w:rsid w:val="00EE2078"/>
    <w:rsid w:val="00EF4372"/>
    <w:rsid w:val="00F003E8"/>
    <w:rsid w:val="00F070F4"/>
    <w:rsid w:val="00F0724C"/>
    <w:rsid w:val="00F12A35"/>
    <w:rsid w:val="00F1589D"/>
    <w:rsid w:val="00F25039"/>
    <w:rsid w:val="00F73CD5"/>
    <w:rsid w:val="00F75D87"/>
    <w:rsid w:val="00F82E3B"/>
    <w:rsid w:val="00F94E68"/>
    <w:rsid w:val="00FA67B5"/>
    <w:rsid w:val="00FA770D"/>
    <w:rsid w:val="00FB3012"/>
    <w:rsid w:val="00FC1386"/>
    <w:rsid w:val="00FE1310"/>
    <w:rsid w:val="00FF69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A5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21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1DB"/>
    <w:rPr>
      <w:rFonts w:ascii="Segoe UI" w:hAnsi="Segoe UI" w:cs="Segoe UI"/>
      <w:sz w:val="18"/>
      <w:szCs w:val="18"/>
    </w:rPr>
  </w:style>
  <w:style w:type="paragraph" w:styleId="ListParagraph">
    <w:name w:val="List Paragraph"/>
    <w:basedOn w:val="Normal"/>
    <w:uiPriority w:val="34"/>
    <w:qFormat/>
    <w:rsid w:val="008B6ECD"/>
    <w:pPr>
      <w:ind w:left="720"/>
      <w:contextualSpacing/>
    </w:pPr>
  </w:style>
  <w:style w:type="character" w:styleId="CommentReference">
    <w:name w:val="annotation reference"/>
    <w:basedOn w:val="DefaultParagraphFont"/>
    <w:uiPriority w:val="99"/>
    <w:unhideWhenUsed/>
    <w:rsid w:val="00AE01E5"/>
    <w:rPr>
      <w:sz w:val="16"/>
      <w:szCs w:val="16"/>
    </w:rPr>
  </w:style>
  <w:style w:type="paragraph" w:styleId="CommentText">
    <w:name w:val="annotation text"/>
    <w:basedOn w:val="Normal"/>
    <w:link w:val="CommentTextChar"/>
    <w:uiPriority w:val="99"/>
    <w:unhideWhenUsed/>
    <w:rsid w:val="00AE01E5"/>
    <w:pPr>
      <w:spacing w:after="200" w:line="240" w:lineRule="auto"/>
    </w:pPr>
    <w:rPr>
      <w:sz w:val="20"/>
      <w:szCs w:val="20"/>
    </w:rPr>
  </w:style>
  <w:style w:type="character" w:customStyle="1" w:styleId="CommentTextChar">
    <w:name w:val="Comment Text Char"/>
    <w:basedOn w:val="DefaultParagraphFont"/>
    <w:link w:val="CommentText"/>
    <w:uiPriority w:val="99"/>
    <w:rsid w:val="00AE01E5"/>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21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1DB"/>
    <w:rPr>
      <w:rFonts w:ascii="Segoe UI" w:hAnsi="Segoe UI" w:cs="Segoe UI"/>
      <w:sz w:val="18"/>
      <w:szCs w:val="18"/>
    </w:rPr>
  </w:style>
  <w:style w:type="paragraph" w:styleId="ListParagraph">
    <w:name w:val="List Paragraph"/>
    <w:basedOn w:val="Normal"/>
    <w:uiPriority w:val="34"/>
    <w:qFormat/>
    <w:rsid w:val="008B6ECD"/>
    <w:pPr>
      <w:ind w:left="720"/>
      <w:contextualSpacing/>
    </w:pPr>
  </w:style>
  <w:style w:type="character" w:styleId="CommentReference">
    <w:name w:val="annotation reference"/>
    <w:basedOn w:val="DefaultParagraphFont"/>
    <w:uiPriority w:val="99"/>
    <w:unhideWhenUsed/>
    <w:rsid w:val="00AE01E5"/>
    <w:rPr>
      <w:sz w:val="16"/>
      <w:szCs w:val="16"/>
    </w:rPr>
  </w:style>
  <w:style w:type="paragraph" w:styleId="CommentText">
    <w:name w:val="annotation text"/>
    <w:basedOn w:val="Normal"/>
    <w:link w:val="CommentTextChar"/>
    <w:uiPriority w:val="99"/>
    <w:unhideWhenUsed/>
    <w:rsid w:val="00AE01E5"/>
    <w:pPr>
      <w:spacing w:after="200" w:line="240" w:lineRule="auto"/>
    </w:pPr>
    <w:rPr>
      <w:sz w:val="20"/>
      <w:szCs w:val="20"/>
    </w:rPr>
  </w:style>
  <w:style w:type="character" w:customStyle="1" w:styleId="CommentTextChar">
    <w:name w:val="Comment Text Char"/>
    <w:basedOn w:val="DefaultParagraphFont"/>
    <w:link w:val="CommentText"/>
    <w:uiPriority w:val="99"/>
    <w:rsid w:val="00AE01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F4A47-FF83-3648-9898-D75ED922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3102</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 Tavakkoli Sani</dc:creator>
  <cp:keywords/>
  <dc:description/>
  <cp:lastModifiedBy>Majid</cp:lastModifiedBy>
  <cp:revision>2</cp:revision>
  <dcterms:created xsi:type="dcterms:W3CDTF">2019-12-29T21:07:00Z</dcterms:created>
  <dcterms:modified xsi:type="dcterms:W3CDTF">2019-12-29T21:07:00Z</dcterms:modified>
</cp:coreProperties>
</file>