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D3" w:rsidRPr="001C6055" w:rsidRDefault="00820F93" w:rsidP="00893CD3">
      <w:r w:rsidRPr="00820F93">
        <w:t>Additional file</w:t>
      </w:r>
      <w:bookmarkStart w:id="0" w:name="_GoBack"/>
      <w:bookmarkEnd w:id="0"/>
      <w:r w:rsidR="00893CD3" w:rsidRPr="001C6055">
        <w:t xml:space="preserve"> 3. Information about </w:t>
      </w:r>
      <w:r w:rsidR="00893CD3" w:rsidRPr="00CD7CA8">
        <w:t>characteristics</w:t>
      </w:r>
      <w:r w:rsidR="00893CD3" w:rsidRPr="001C6055">
        <w:t xml:space="preserve"> of participants in the </w:t>
      </w:r>
      <w:proofErr w:type="spellStart"/>
      <w:r w:rsidR="00893CD3" w:rsidRPr="001C6055">
        <w:t>S</w:t>
      </w:r>
      <w:r w:rsidR="00893CD3">
        <w:t>ec</w:t>
      </w:r>
      <w:r w:rsidR="00893CD3" w:rsidRPr="001C6055">
        <w:t>OPs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4"/>
        <w:gridCol w:w="2964"/>
        <w:gridCol w:w="2988"/>
        <w:gridCol w:w="2990"/>
      </w:tblGrid>
      <w:tr w:rsidR="00893CD3" w:rsidRPr="00420A96" w:rsidTr="00025D15">
        <w:trPr>
          <w:tblHeader/>
        </w:trPr>
        <w:tc>
          <w:tcPr>
            <w:tcW w:w="4595" w:type="dxa"/>
          </w:tcPr>
          <w:p w:rsidR="00893CD3" w:rsidRDefault="00893CD3" w:rsidP="00025D15">
            <w:pPr>
              <w:rPr>
                <w:lang w:val="en-US"/>
              </w:rPr>
            </w:pPr>
          </w:p>
        </w:tc>
        <w:tc>
          <w:tcPr>
            <w:tcW w:w="3220" w:type="dxa"/>
          </w:tcPr>
          <w:p w:rsidR="00893CD3" w:rsidRPr="00FB5E11" w:rsidRDefault="00893CD3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>Results for main analysis</w:t>
            </w:r>
          </w:p>
        </w:tc>
        <w:tc>
          <w:tcPr>
            <w:tcW w:w="3230" w:type="dxa"/>
          </w:tcPr>
          <w:p w:rsidR="00893CD3" w:rsidRPr="00FB5E11" w:rsidRDefault="00893CD3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 xml:space="preserve">Results for subgroup of </w:t>
            </w:r>
            <w:r>
              <w:rPr>
                <w:b/>
                <w:lang w:val="en-US"/>
              </w:rPr>
              <w:t>statutory health insurers</w:t>
            </w:r>
          </w:p>
        </w:tc>
        <w:tc>
          <w:tcPr>
            <w:tcW w:w="3232" w:type="dxa"/>
          </w:tcPr>
          <w:p w:rsidR="00893CD3" w:rsidRPr="00FB5E11" w:rsidRDefault="00893CD3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 xml:space="preserve">Results for subgroup of </w:t>
            </w:r>
            <w:r>
              <w:rPr>
                <w:b/>
                <w:lang w:val="en-US"/>
              </w:rPr>
              <w:t>private health insurers</w:t>
            </w:r>
          </w:p>
        </w:tc>
      </w:tr>
      <w:tr w:rsidR="00893CD3" w:rsidRPr="00127827" w:rsidTr="00025D15">
        <w:tc>
          <w:tcPr>
            <w:tcW w:w="4595" w:type="dxa"/>
          </w:tcPr>
          <w:p w:rsidR="00893CD3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How many insured persons participate in the second opinion program per year? median, interquartile range (based on X answers)</w:t>
            </w:r>
          </w:p>
        </w:tc>
        <w:tc>
          <w:tcPr>
            <w:tcW w:w="322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31, 7-85 (26)</w:t>
            </w:r>
          </w:p>
        </w:tc>
        <w:tc>
          <w:tcPr>
            <w:tcW w:w="323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30, 6-83 (20)</w:t>
            </w:r>
          </w:p>
        </w:tc>
        <w:tc>
          <w:tcPr>
            <w:tcW w:w="3232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36, 17-77 (6)</w:t>
            </w:r>
          </w:p>
        </w:tc>
      </w:tr>
      <w:tr w:rsidR="00893CD3" w:rsidRPr="00127827" w:rsidTr="00025D15">
        <w:tc>
          <w:tcPr>
            <w:tcW w:w="4595" w:type="dxa"/>
          </w:tcPr>
          <w:p w:rsidR="00893CD3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On average, how old are the participants? median, interquartile range (based on X answers)</w:t>
            </w:r>
          </w:p>
        </w:tc>
        <w:tc>
          <w:tcPr>
            <w:tcW w:w="322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58 years, 56-60 (23)</w:t>
            </w:r>
          </w:p>
        </w:tc>
        <w:tc>
          <w:tcPr>
            <w:tcW w:w="323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57 years, 54-60 (19)</w:t>
            </w:r>
          </w:p>
        </w:tc>
        <w:tc>
          <w:tcPr>
            <w:tcW w:w="3232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67 years, 64-68 (4)</w:t>
            </w:r>
          </w:p>
        </w:tc>
      </w:tr>
      <w:tr w:rsidR="00893CD3" w:rsidRPr="00C13369" w:rsidTr="00025D15">
        <w:tc>
          <w:tcPr>
            <w:tcW w:w="4595" w:type="dxa"/>
          </w:tcPr>
          <w:p w:rsidR="00893CD3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What is the gender distribution of participants (% females) in the second opinion program?  median, interquartile range (based on X answers)</w:t>
            </w:r>
          </w:p>
        </w:tc>
        <w:tc>
          <w:tcPr>
            <w:tcW w:w="322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50%, 40-54% (25)</w:t>
            </w:r>
          </w:p>
        </w:tc>
        <w:tc>
          <w:tcPr>
            <w:tcW w:w="323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50%, 43-54% (21)</w:t>
            </w:r>
          </w:p>
        </w:tc>
        <w:tc>
          <w:tcPr>
            <w:tcW w:w="3232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32%, 31-39% (4)</w:t>
            </w:r>
          </w:p>
        </w:tc>
      </w:tr>
      <w:tr w:rsidR="00893CD3" w:rsidRPr="00127827" w:rsidTr="00025D15">
        <w:tc>
          <w:tcPr>
            <w:tcW w:w="4595" w:type="dxa"/>
          </w:tcPr>
          <w:p w:rsidR="00893CD3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On average, how long does it take until the insured person gets the second opinion? median, interquartile range (based on X answers)</w:t>
            </w:r>
          </w:p>
        </w:tc>
        <w:tc>
          <w:tcPr>
            <w:tcW w:w="322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9 days, 5-15 (23)</w:t>
            </w:r>
          </w:p>
        </w:tc>
        <w:tc>
          <w:tcPr>
            <w:tcW w:w="3230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8 days, 5-17 (18)</w:t>
            </w:r>
          </w:p>
        </w:tc>
        <w:tc>
          <w:tcPr>
            <w:tcW w:w="3232" w:type="dxa"/>
          </w:tcPr>
          <w:p w:rsidR="00893CD3" w:rsidRPr="009968DD" w:rsidRDefault="00893CD3" w:rsidP="00025D15">
            <w:pPr>
              <w:rPr>
                <w:lang w:val="en-US"/>
              </w:rPr>
            </w:pPr>
            <w:r>
              <w:rPr>
                <w:lang w:val="en-US"/>
              </w:rPr>
              <w:t>10 days, 6-12 (5)</w:t>
            </w:r>
          </w:p>
        </w:tc>
      </w:tr>
    </w:tbl>
    <w:p w:rsidR="00893CD3" w:rsidRDefault="00893CD3" w:rsidP="00893CD3"/>
    <w:p w:rsidR="00B565AE" w:rsidRPr="00893CD3" w:rsidRDefault="00B565AE" w:rsidP="00893CD3"/>
    <w:sectPr w:rsidR="00B565AE" w:rsidRPr="00893CD3" w:rsidSect="003E00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A4"/>
    <w:rsid w:val="003E00A4"/>
    <w:rsid w:val="005E644F"/>
    <w:rsid w:val="00670AA1"/>
    <w:rsid w:val="00820F93"/>
    <w:rsid w:val="00893CD3"/>
    <w:rsid w:val="00B3448F"/>
    <w:rsid w:val="00B5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Quio, Elvie</cp:lastModifiedBy>
  <cp:revision>3</cp:revision>
  <dcterms:created xsi:type="dcterms:W3CDTF">2021-02-24T02:57:00Z</dcterms:created>
  <dcterms:modified xsi:type="dcterms:W3CDTF">2021-03-01T18:00:00Z</dcterms:modified>
</cp:coreProperties>
</file>