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239A7" w14:textId="77777777" w:rsidR="004E7706" w:rsidRDefault="004E7706" w:rsidP="004E7706">
      <w:pPr>
        <w:spacing w:after="160" w:line="36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The </w:t>
      </w:r>
      <w:r>
        <w:rPr>
          <w:rFonts w:ascii="Times New Roman" w:hAnsi="Times New Roman"/>
          <w:b/>
          <w:sz w:val="24"/>
          <w:szCs w:val="24"/>
          <w:highlight w:val="yellow"/>
          <w:lang w:val="en-US"/>
        </w:rPr>
        <w:t>predictive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role of sickness absence spell durations in associations with inpatient- and specialized outpatient care </w:t>
      </w:r>
      <w:r>
        <w:rPr>
          <w:rFonts w:ascii="Times New Roman" w:hAnsi="Times New Roman"/>
          <w:b/>
          <w:sz w:val="24"/>
          <w:szCs w:val="24"/>
          <w:highlight w:val="yellow"/>
          <w:lang w:val="en-US"/>
        </w:rPr>
        <w:t>among a population-based Swedish twin sample</w:t>
      </w:r>
    </w:p>
    <w:p w14:paraId="1E697D75" w14:textId="274CA993" w:rsidR="00645BE2" w:rsidRPr="001232E1" w:rsidRDefault="00645BE2" w:rsidP="00645BE2">
      <w:pPr>
        <w:spacing w:after="160" w:line="360" w:lineRule="auto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</w:p>
    <w:p w14:paraId="4FFEC439" w14:textId="77777777" w:rsidR="00645BE2" w:rsidRPr="001232E1" w:rsidRDefault="00645BE2" w:rsidP="00645BE2">
      <w:pPr>
        <w:spacing w:line="360" w:lineRule="auto"/>
        <w:rPr>
          <w:rFonts w:ascii="Times New Roman" w:hAnsi="Times New Roman"/>
          <w:sz w:val="24"/>
          <w:szCs w:val="24"/>
          <w:lang w:val="sv-SE"/>
        </w:rPr>
      </w:pPr>
      <w:proofErr w:type="spellStart"/>
      <w:r w:rsidRPr="001232E1">
        <w:rPr>
          <w:rFonts w:ascii="Times New Roman" w:hAnsi="Times New Roman"/>
          <w:b/>
          <w:sz w:val="24"/>
          <w:szCs w:val="24"/>
          <w:lang w:val="sv-SE"/>
        </w:rPr>
        <w:t>Authors</w:t>
      </w:r>
      <w:proofErr w:type="spellEnd"/>
      <w:r w:rsidRPr="001232E1">
        <w:rPr>
          <w:rFonts w:ascii="Times New Roman" w:hAnsi="Times New Roman"/>
          <w:b/>
          <w:sz w:val="24"/>
          <w:szCs w:val="24"/>
          <w:lang w:val="sv-SE"/>
        </w:rPr>
        <w:t>:</w:t>
      </w:r>
      <w:r w:rsidRPr="001232E1">
        <w:rPr>
          <w:rFonts w:ascii="Times New Roman" w:hAnsi="Times New Roman"/>
          <w:sz w:val="24"/>
          <w:szCs w:val="24"/>
          <w:lang w:val="sv-SE"/>
        </w:rPr>
        <w:t xml:space="preserve"> Annina Ropponen</w:t>
      </w:r>
      <w:r w:rsidRPr="001232E1">
        <w:rPr>
          <w:rFonts w:ascii="Times New Roman" w:hAnsi="Times New Roman"/>
          <w:sz w:val="24"/>
          <w:szCs w:val="24"/>
          <w:vertAlign w:val="superscript"/>
          <w:lang w:val="sv-SE"/>
        </w:rPr>
        <w:t>1,2</w:t>
      </w:r>
      <w:r w:rsidRPr="001232E1">
        <w:rPr>
          <w:rFonts w:ascii="Times New Roman" w:hAnsi="Times New Roman"/>
          <w:sz w:val="24"/>
          <w:szCs w:val="24"/>
          <w:lang w:val="sv-SE"/>
        </w:rPr>
        <w:t>, Mo Wang</w:t>
      </w:r>
      <w:r w:rsidRPr="001232E1">
        <w:rPr>
          <w:rFonts w:ascii="Times New Roman" w:hAnsi="Times New Roman"/>
          <w:sz w:val="24"/>
          <w:szCs w:val="24"/>
          <w:vertAlign w:val="superscript"/>
          <w:lang w:val="sv-SE"/>
        </w:rPr>
        <w:t>1</w:t>
      </w:r>
      <w:r w:rsidRPr="001232E1">
        <w:rPr>
          <w:rFonts w:ascii="Times New Roman" w:hAnsi="Times New Roman"/>
          <w:sz w:val="24"/>
          <w:szCs w:val="24"/>
          <w:lang w:val="sv-SE"/>
        </w:rPr>
        <w:t>, Jurgita Narusyte</w:t>
      </w:r>
      <w:r w:rsidRPr="001232E1">
        <w:rPr>
          <w:rFonts w:ascii="Times New Roman" w:hAnsi="Times New Roman"/>
          <w:sz w:val="24"/>
          <w:szCs w:val="24"/>
          <w:vertAlign w:val="superscript"/>
          <w:lang w:val="sv-SE"/>
        </w:rPr>
        <w:t>1,3</w:t>
      </w:r>
      <w:r w:rsidRPr="001232E1">
        <w:rPr>
          <w:rFonts w:ascii="Times New Roman" w:hAnsi="Times New Roman"/>
          <w:sz w:val="24"/>
          <w:szCs w:val="24"/>
          <w:lang w:val="sv-SE"/>
        </w:rPr>
        <w:t>, Sanna Kärkkäinen</w:t>
      </w:r>
      <w:r w:rsidRPr="001232E1">
        <w:rPr>
          <w:rFonts w:ascii="Times New Roman" w:hAnsi="Times New Roman"/>
          <w:sz w:val="24"/>
          <w:szCs w:val="24"/>
          <w:vertAlign w:val="superscript"/>
          <w:lang w:val="sv-SE"/>
        </w:rPr>
        <w:t>1</w:t>
      </w:r>
      <w:r w:rsidRPr="001232E1">
        <w:rPr>
          <w:rFonts w:ascii="Times New Roman" w:hAnsi="Times New Roman"/>
          <w:sz w:val="24"/>
          <w:szCs w:val="24"/>
          <w:lang w:val="sv-SE"/>
        </w:rPr>
        <w:t>, Victoria Blom</w:t>
      </w:r>
      <w:r w:rsidRPr="001232E1">
        <w:rPr>
          <w:rFonts w:ascii="Times New Roman" w:hAnsi="Times New Roman"/>
          <w:sz w:val="24"/>
          <w:szCs w:val="24"/>
          <w:vertAlign w:val="superscript"/>
          <w:lang w:val="sv-SE"/>
        </w:rPr>
        <w:t>1,4</w:t>
      </w:r>
      <w:r w:rsidRPr="001232E1">
        <w:rPr>
          <w:rFonts w:ascii="Times New Roman" w:hAnsi="Times New Roman"/>
          <w:sz w:val="24"/>
          <w:szCs w:val="24"/>
          <w:lang w:val="sv-SE"/>
        </w:rPr>
        <w:t>, Pia Svedberg</w:t>
      </w:r>
      <w:r w:rsidRPr="001232E1">
        <w:rPr>
          <w:rFonts w:ascii="Times New Roman" w:hAnsi="Times New Roman"/>
          <w:sz w:val="24"/>
          <w:szCs w:val="24"/>
          <w:vertAlign w:val="superscript"/>
          <w:lang w:val="sv-SE"/>
        </w:rPr>
        <w:t>1</w:t>
      </w:r>
    </w:p>
    <w:p w14:paraId="25112948" w14:textId="77777777" w:rsidR="00645BE2" w:rsidRPr="00645BE2" w:rsidRDefault="00645BE2">
      <w:pPr>
        <w:spacing w:after="160" w:line="259" w:lineRule="auto"/>
        <w:rPr>
          <w:rFonts w:ascii="Times New Roman" w:hAnsi="Times New Roman"/>
          <w:b/>
          <w:sz w:val="24"/>
          <w:szCs w:val="24"/>
          <w:lang w:val="sv-SE"/>
        </w:rPr>
      </w:pPr>
      <w:r w:rsidRPr="00645BE2">
        <w:rPr>
          <w:rFonts w:ascii="Times New Roman" w:hAnsi="Times New Roman"/>
          <w:b/>
          <w:sz w:val="24"/>
          <w:szCs w:val="24"/>
          <w:lang w:val="sv-SE"/>
        </w:rPr>
        <w:br w:type="page"/>
      </w:r>
    </w:p>
    <w:p w14:paraId="124F4E8D" w14:textId="727C4933" w:rsidR="00CD02E8" w:rsidRDefault="00E611FB" w:rsidP="00CD02E8">
      <w:pPr>
        <w:spacing w:after="160" w:line="36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Supplement </w:t>
      </w:r>
      <w:r w:rsidR="00CD02E8" w:rsidRPr="002A1ED7">
        <w:rPr>
          <w:rFonts w:ascii="Times New Roman" w:hAnsi="Times New Roman"/>
          <w:b/>
          <w:sz w:val="24"/>
          <w:szCs w:val="24"/>
          <w:lang w:val="en-US"/>
        </w:rPr>
        <w:t xml:space="preserve">Table </w:t>
      </w:r>
      <w:r>
        <w:rPr>
          <w:rFonts w:ascii="Times New Roman" w:hAnsi="Times New Roman"/>
          <w:b/>
          <w:sz w:val="24"/>
          <w:szCs w:val="24"/>
          <w:lang w:val="en-US"/>
        </w:rPr>
        <w:t>1</w:t>
      </w:r>
      <w:r w:rsidR="00CD02E8">
        <w:rPr>
          <w:rFonts w:ascii="Times New Roman" w:hAnsi="Times New Roman"/>
          <w:sz w:val="24"/>
          <w:szCs w:val="24"/>
          <w:lang w:val="en-US"/>
        </w:rPr>
        <w:t xml:space="preserve"> Frequencies of diagnoses of </w:t>
      </w:r>
      <w:bookmarkStart w:id="1" w:name="_Hlk34220599"/>
      <w:r w:rsidR="00CD02E8">
        <w:rPr>
          <w:rFonts w:ascii="Times New Roman" w:hAnsi="Times New Roman"/>
          <w:sz w:val="24"/>
          <w:szCs w:val="24"/>
          <w:lang w:val="en-US"/>
        </w:rPr>
        <w:t xml:space="preserve">inpatient and specialized outpatient care episodes </w:t>
      </w:r>
      <w:bookmarkEnd w:id="1"/>
      <w:r w:rsidR="00CD02E8">
        <w:rPr>
          <w:rFonts w:ascii="Times New Roman" w:hAnsi="Times New Roman"/>
          <w:sz w:val="24"/>
          <w:szCs w:val="24"/>
          <w:lang w:val="en-US"/>
        </w:rPr>
        <w:t>among individuals with and without sickness absence (SA)</w:t>
      </w:r>
    </w:p>
    <w:tbl>
      <w:tblPr>
        <w:tblStyle w:val="PlainTable2"/>
        <w:tblpPr w:leftFromText="141" w:rightFromText="141" w:vertAnchor="page" w:horzAnchor="margin" w:tblpY="2269"/>
        <w:tblW w:w="0" w:type="auto"/>
        <w:tblLayout w:type="fixed"/>
        <w:tblLook w:val="04A0" w:firstRow="1" w:lastRow="0" w:firstColumn="1" w:lastColumn="0" w:noHBand="0" w:noVBand="1"/>
      </w:tblPr>
      <w:tblGrid>
        <w:gridCol w:w="6804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CD02E8" w:rsidRPr="00BE7D18" w14:paraId="6F6D4541" w14:textId="77777777" w:rsidTr="009258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vAlign w:val="bottom"/>
          </w:tcPr>
          <w:p w14:paraId="057F5410" w14:textId="77777777" w:rsidR="00CD02E8" w:rsidRPr="00BE7D18" w:rsidRDefault="00CD02E8" w:rsidP="00925840">
            <w:pPr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</w:p>
        </w:tc>
        <w:tc>
          <w:tcPr>
            <w:tcW w:w="3402" w:type="dxa"/>
            <w:gridSpan w:val="4"/>
          </w:tcPr>
          <w:p w14:paraId="00C89B0B" w14:textId="77777777" w:rsidR="00CD02E8" w:rsidRPr="00BE7D18" w:rsidRDefault="00CD02E8" w:rsidP="009258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v-SE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>SA</w:t>
            </w:r>
          </w:p>
        </w:tc>
        <w:tc>
          <w:tcPr>
            <w:tcW w:w="3402" w:type="dxa"/>
            <w:gridSpan w:val="4"/>
          </w:tcPr>
          <w:p w14:paraId="2AF0B570" w14:textId="77777777" w:rsidR="00CD02E8" w:rsidRPr="00BE7D18" w:rsidRDefault="00CD02E8" w:rsidP="009258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v-SE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>No SA</w:t>
            </w:r>
          </w:p>
        </w:tc>
      </w:tr>
      <w:tr w:rsidR="00CD02E8" w:rsidRPr="00BE7D18" w14:paraId="6764BC00" w14:textId="77777777" w:rsidTr="00925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vMerge w:val="restart"/>
            <w:vAlign w:val="bottom"/>
          </w:tcPr>
          <w:p w14:paraId="4E06C377" w14:textId="77777777" w:rsidR="00CD02E8" w:rsidRPr="00BE7D18" w:rsidRDefault="00CD02E8" w:rsidP="00925840">
            <w:pPr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ICD-10 main categories for in- and outpatient care</w:t>
            </w:r>
          </w:p>
        </w:tc>
        <w:tc>
          <w:tcPr>
            <w:tcW w:w="1701" w:type="dxa"/>
            <w:gridSpan w:val="2"/>
          </w:tcPr>
          <w:p w14:paraId="74857D3A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v-SE" w:eastAsia="sv-SE"/>
              </w:rPr>
            </w:pPr>
            <w:proofErr w:type="spellStart"/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>Inpatient</w:t>
            </w:r>
            <w:proofErr w:type="spellEnd"/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>care</w:t>
            </w:r>
            <w:proofErr w:type="spellEnd"/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 xml:space="preserve"> (n = 2041)</w:t>
            </w:r>
          </w:p>
        </w:tc>
        <w:tc>
          <w:tcPr>
            <w:tcW w:w="1701" w:type="dxa"/>
            <w:gridSpan w:val="2"/>
          </w:tcPr>
          <w:p w14:paraId="40220179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v-SE" w:eastAsia="sv-SE"/>
              </w:rPr>
            </w:pPr>
            <w:proofErr w:type="spellStart"/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>Outpatient</w:t>
            </w:r>
            <w:proofErr w:type="spellEnd"/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>care</w:t>
            </w:r>
            <w:proofErr w:type="spellEnd"/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 xml:space="preserve"> (n= 3466)</w:t>
            </w:r>
          </w:p>
        </w:tc>
        <w:tc>
          <w:tcPr>
            <w:tcW w:w="1701" w:type="dxa"/>
            <w:gridSpan w:val="2"/>
          </w:tcPr>
          <w:p w14:paraId="739F4BE8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v-SE" w:eastAsia="sv-SE"/>
              </w:rPr>
            </w:pPr>
            <w:proofErr w:type="spellStart"/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>Inpatient</w:t>
            </w:r>
            <w:proofErr w:type="spellEnd"/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>care</w:t>
            </w:r>
            <w:proofErr w:type="spellEnd"/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 xml:space="preserve"> (n = 7901)</w:t>
            </w:r>
          </w:p>
        </w:tc>
        <w:tc>
          <w:tcPr>
            <w:tcW w:w="1701" w:type="dxa"/>
            <w:gridSpan w:val="2"/>
          </w:tcPr>
          <w:p w14:paraId="412FF207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v-SE" w:eastAsia="sv-SE"/>
              </w:rPr>
            </w:pPr>
            <w:proofErr w:type="spellStart"/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>Outpatient</w:t>
            </w:r>
            <w:proofErr w:type="spellEnd"/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>care</w:t>
            </w:r>
            <w:proofErr w:type="spellEnd"/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 xml:space="preserve"> (n=17279)</w:t>
            </w:r>
          </w:p>
        </w:tc>
      </w:tr>
      <w:tr w:rsidR="00CD02E8" w:rsidRPr="00BE7D18" w14:paraId="677268A3" w14:textId="77777777" w:rsidTr="00925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vMerge/>
            <w:hideMark/>
          </w:tcPr>
          <w:p w14:paraId="1E8D3474" w14:textId="77777777" w:rsidR="00CD02E8" w:rsidRPr="00BE7D18" w:rsidRDefault="00CD02E8" w:rsidP="00925840">
            <w:pPr>
              <w:rPr>
                <w:rFonts w:ascii="Arial" w:hAnsi="Arial" w:cs="Arial"/>
                <w:b w:val="0"/>
                <w:sz w:val="20"/>
                <w:szCs w:val="20"/>
                <w:lang w:val="sv-SE" w:eastAsia="sv-SE"/>
              </w:rPr>
            </w:pPr>
          </w:p>
        </w:tc>
        <w:tc>
          <w:tcPr>
            <w:tcW w:w="850" w:type="dxa"/>
            <w:hideMark/>
          </w:tcPr>
          <w:p w14:paraId="2A22018F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val="sv-SE" w:eastAsia="sv-SE"/>
              </w:rPr>
            </w:pPr>
            <w:r w:rsidRPr="00BE7D18">
              <w:rPr>
                <w:rFonts w:ascii="Arial" w:hAnsi="Arial" w:cs="Arial"/>
                <w:b/>
                <w:sz w:val="20"/>
                <w:szCs w:val="20"/>
                <w:lang w:val="sv-SE" w:eastAsia="sv-SE"/>
              </w:rPr>
              <w:t>n</w:t>
            </w:r>
          </w:p>
        </w:tc>
        <w:tc>
          <w:tcPr>
            <w:tcW w:w="851" w:type="dxa"/>
          </w:tcPr>
          <w:p w14:paraId="75A2A65C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val="sv-SE" w:eastAsia="sv-SE"/>
              </w:rPr>
            </w:pPr>
            <w:r w:rsidRPr="00BE7D18">
              <w:rPr>
                <w:rFonts w:ascii="Arial" w:hAnsi="Arial" w:cs="Arial"/>
                <w:b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850" w:type="dxa"/>
          </w:tcPr>
          <w:p w14:paraId="7BD50856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val="sv-SE" w:eastAsia="sv-SE"/>
              </w:rPr>
            </w:pPr>
            <w:r w:rsidRPr="00BE7D18">
              <w:rPr>
                <w:rFonts w:ascii="Arial" w:hAnsi="Arial" w:cs="Arial"/>
                <w:b/>
                <w:sz w:val="20"/>
                <w:szCs w:val="20"/>
                <w:lang w:val="sv-SE" w:eastAsia="sv-SE"/>
              </w:rPr>
              <w:t>n</w:t>
            </w:r>
          </w:p>
        </w:tc>
        <w:tc>
          <w:tcPr>
            <w:tcW w:w="851" w:type="dxa"/>
          </w:tcPr>
          <w:p w14:paraId="36ADC141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val="sv-SE" w:eastAsia="sv-SE"/>
              </w:rPr>
            </w:pPr>
            <w:r w:rsidRPr="00BE7D18">
              <w:rPr>
                <w:rFonts w:ascii="Arial" w:hAnsi="Arial" w:cs="Arial"/>
                <w:b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850" w:type="dxa"/>
          </w:tcPr>
          <w:p w14:paraId="42DBB7C0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val="sv-SE" w:eastAsia="sv-SE"/>
              </w:rPr>
            </w:pPr>
            <w:r w:rsidRPr="00BE7D18">
              <w:rPr>
                <w:rFonts w:ascii="Arial" w:hAnsi="Arial" w:cs="Arial"/>
                <w:b/>
                <w:sz w:val="20"/>
                <w:szCs w:val="20"/>
                <w:lang w:val="sv-SE" w:eastAsia="sv-SE"/>
              </w:rPr>
              <w:t>n</w:t>
            </w:r>
          </w:p>
        </w:tc>
        <w:tc>
          <w:tcPr>
            <w:tcW w:w="851" w:type="dxa"/>
          </w:tcPr>
          <w:p w14:paraId="02251220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val="sv-SE" w:eastAsia="sv-SE"/>
              </w:rPr>
            </w:pPr>
            <w:r w:rsidRPr="00BE7D18">
              <w:rPr>
                <w:rFonts w:ascii="Arial" w:hAnsi="Arial" w:cs="Arial"/>
                <w:b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850" w:type="dxa"/>
          </w:tcPr>
          <w:p w14:paraId="63351324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val="sv-SE" w:eastAsia="sv-SE"/>
              </w:rPr>
            </w:pPr>
            <w:r w:rsidRPr="00BE7D18">
              <w:rPr>
                <w:rFonts w:ascii="Arial" w:hAnsi="Arial" w:cs="Arial"/>
                <w:b/>
                <w:sz w:val="20"/>
                <w:szCs w:val="20"/>
                <w:lang w:val="sv-SE" w:eastAsia="sv-SE"/>
              </w:rPr>
              <w:t>n</w:t>
            </w:r>
          </w:p>
        </w:tc>
        <w:tc>
          <w:tcPr>
            <w:tcW w:w="851" w:type="dxa"/>
          </w:tcPr>
          <w:p w14:paraId="062C2ACB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val="sv-SE" w:eastAsia="sv-SE"/>
              </w:rPr>
            </w:pPr>
            <w:r w:rsidRPr="00BE7D18">
              <w:rPr>
                <w:rFonts w:ascii="Arial" w:hAnsi="Arial" w:cs="Arial"/>
                <w:b/>
                <w:sz w:val="20"/>
                <w:szCs w:val="20"/>
                <w:lang w:val="sv-SE" w:eastAsia="sv-SE"/>
              </w:rPr>
              <w:t>%</w:t>
            </w:r>
          </w:p>
        </w:tc>
      </w:tr>
      <w:tr w:rsidR="00CD02E8" w:rsidRPr="00BE7D18" w14:paraId="7E89B1D2" w14:textId="77777777" w:rsidTr="00925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bottom w:val="nil"/>
            </w:tcBorders>
            <w:hideMark/>
          </w:tcPr>
          <w:p w14:paraId="2B252C94" w14:textId="77777777" w:rsidR="00CD02E8" w:rsidRPr="00BE7D18" w:rsidRDefault="00CD02E8" w:rsidP="00925840">
            <w:pPr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>A0-A99, B0-B99: Certain infectious and parasitic diseased</w:t>
            </w:r>
          </w:p>
        </w:tc>
        <w:tc>
          <w:tcPr>
            <w:tcW w:w="850" w:type="dxa"/>
            <w:tcBorders>
              <w:bottom w:val="nil"/>
            </w:tcBorders>
          </w:tcPr>
          <w:p w14:paraId="4C2BEACE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39</w:t>
            </w:r>
          </w:p>
        </w:tc>
        <w:tc>
          <w:tcPr>
            <w:tcW w:w="851" w:type="dxa"/>
            <w:tcBorders>
              <w:bottom w:val="nil"/>
            </w:tcBorders>
          </w:tcPr>
          <w:p w14:paraId="4BDBADC9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</w:tcPr>
          <w:p w14:paraId="45A6E6C3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45</w:t>
            </w:r>
          </w:p>
        </w:tc>
        <w:tc>
          <w:tcPr>
            <w:tcW w:w="851" w:type="dxa"/>
            <w:tcBorders>
              <w:bottom w:val="nil"/>
            </w:tcBorders>
          </w:tcPr>
          <w:p w14:paraId="2EEFB283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</w:tcPr>
          <w:p w14:paraId="3CA0261B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142</w:t>
            </w:r>
          </w:p>
        </w:tc>
        <w:tc>
          <w:tcPr>
            <w:tcW w:w="851" w:type="dxa"/>
            <w:tcBorders>
              <w:bottom w:val="nil"/>
            </w:tcBorders>
          </w:tcPr>
          <w:p w14:paraId="66E29D77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</w:tcPr>
          <w:p w14:paraId="1EBFDF42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245</w:t>
            </w:r>
          </w:p>
        </w:tc>
        <w:tc>
          <w:tcPr>
            <w:tcW w:w="851" w:type="dxa"/>
            <w:tcBorders>
              <w:bottom w:val="nil"/>
            </w:tcBorders>
          </w:tcPr>
          <w:p w14:paraId="41E4B893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2</w:t>
            </w:r>
          </w:p>
        </w:tc>
      </w:tr>
      <w:tr w:rsidR="00CD02E8" w:rsidRPr="00BE7D18" w14:paraId="3E00D59B" w14:textId="77777777" w:rsidTr="00925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0377BE01" w14:textId="77777777" w:rsidR="00CD02E8" w:rsidRPr="00BE7D18" w:rsidRDefault="00CD02E8" w:rsidP="00925840">
            <w:pPr>
              <w:rPr>
                <w:rFonts w:ascii="Arial" w:hAnsi="Arial" w:cs="Arial"/>
                <w:b w:val="0"/>
                <w:sz w:val="20"/>
                <w:szCs w:val="20"/>
                <w:lang w:val="sv-SE" w:eastAsia="sv-SE"/>
              </w:rPr>
            </w:pPr>
            <w:r w:rsidRPr="00BE7D18">
              <w:rPr>
                <w:rFonts w:ascii="Arial" w:hAnsi="Arial" w:cs="Arial"/>
                <w:b w:val="0"/>
                <w:sz w:val="20"/>
                <w:szCs w:val="20"/>
                <w:lang w:val="sv-SE" w:eastAsia="sv-SE"/>
              </w:rPr>
              <w:t xml:space="preserve">C00-D48, </w:t>
            </w:r>
            <w:proofErr w:type="spellStart"/>
            <w:r w:rsidRPr="00BE7D18">
              <w:rPr>
                <w:rFonts w:ascii="Arial" w:hAnsi="Arial" w:cs="Arial"/>
                <w:b w:val="0"/>
                <w:sz w:val="20"/>
                <w:szCs w:val="20"/>
                <w:lang w:val="sv-SE" w:eastAsia="sv-SE"/>
              </w:rPr>
              <w:t>Neoplasms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3C0D174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v-SE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>163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730259C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v-SE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D1F9CAD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v-SE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>132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0CA6BDE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v-SE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>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0990762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v-SE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>651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9BCE504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v-SE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EAA7697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v-SE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>665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C943D4F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v-SE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sv-SE" w:eastAsia="sv-SE"/>
              </w:rPr>
              <w:t>5</w:t>
            </w:r>
          </w:p>
        </w:tc>
      </w:tr>
      <w:tr w:rsidR="00CD02E8" w:rsidRPr="00BE7D18" w14:paraId="349CF80F" w14:textId="77777777" w:rsidTr="00925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410F6BA2" w14:textId="77777777" w:rsidR="00CD02E8" w:rsidRPr="00BE7D18" w:rsidRDefault="00CD02E8" w:rsidP="00925840">
            <w:pPr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>D50-D89: Diseases of the blood and blood-forming organs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7A0F4E8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4E00D98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2766B97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40A64DB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DCC2011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37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AF7056B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1979A28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23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001EAE4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0</w:t>
            </w:r>
          </w:p>
        </w:tc>
      </w:tr>
      <w:tr w:rsidR="00CD02E8" w:rsidRPr="00BE7D18" w14:paraId="54CA8BDA" w14:textId="77777777" w:rsidTr="00925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04E51904" w14:textId="77777777" w:rsidR="00CD02E8" w:rsidRPr="00BE7D18" w:rsidRDefault="00CD02E8" w:rsidP="00925840">
            <w:pPr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>E00-E90: Endocrine, nutritional and metabolic diseases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3FD5F74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26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A43DD67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8918059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31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0F5BE8F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E9C40D3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72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B6FC66E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A1C3363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174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6EC5D78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</w:t>
            </w:r>
          </w:p>
        </w:tc>
      </w:tr>
      <w:tr w:rsidR="00CD02E8" w:rsidRPr="00BE7D18" w14:paraId="345B16D7" w14:textId="77777777" w:rsidTr="00925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7963FA11" w14:textId="77777777" w:rsidR="00CD02E8" w:rsidRPr="00BE7D18" w:rsidRDefault="00CD02E8" w:rsidP="00925840">
            <w:pPr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 xml:space="preserve">F00-F99: Mental and </w:t>
            </w:r>
            <w:proofErr w:type="spellStart"/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>behavioural</w:t>
            </w:r>
            <w:proofErr w:type="spellEnd"/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 xml:space="preserve"> disorders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B7D5025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96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178598E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1108CAD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91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2F1BEDC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F33DAFC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177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364BFF4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B24B547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132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A4B4320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</w:t>
            </w:r>
          </w:p>
        </w:tc>
      </w:tr>
      <w:tr w:rsidR="00CD02E8" w:rsidRPr="00BE7D18" w14:paraId="30CCBB70" w14:textId="77777777" w:rsidTr="00925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25880575" w14:textId="77777777" w:rsidR="00CD02E8" w:rsidRPr="00BE7D18" w:rsidRDefault="00CD02E8" w:rsidP="00925840">
            <w:pPr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>G00-G99: Diseases of the nervous system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E461AB0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41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27AD331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D04BF05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74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A20C97C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6DE4309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189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7BE7175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0137065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170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4CB92D5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</w:t>
            </w:r>
          </w:p>
        </w:tc>
      </w:tr>
      <w:tr w:rsidR="00CD02E8" w:rsidRPr="00BE7D18" w14:paraId="6DA2A72E" w14:textId="77777777" w:rsidTr="00925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393F8B29" w14:textId="77777777" w:rsidR="00CD02E8" w:rsidRPr="00BE7D18" w:rsidRDefault="00CD02E8" w:rsidP="00925840">
            <w:pPr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>H00-H59: Diseases of the eye and adnexa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5CA64B5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086522A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C0AEA00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98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9BFEC8C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2E29BF0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77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A85214D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05B5C05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1232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BE5E582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10</w:t>
            </w:r>
          </w:p>
        </w:tc>
      </w:tr>
      <w:tr w:rsidR="00CD02E8" w:rsidRPr="00BE7D18" w14:paraId="4586C9CC" w14:textId="77777777" w:rsidTr="00925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13F492C3" w14:textId="77777777" w:rsidR="00CD02E8" w:rsidRPr="00BE7D18" w:rsidRDefault="00CD02E8" w:rsidP="00925840">
            <w:pPr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>H60-H95: Diseases of the ear and mastoid process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8AF10D8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F25E551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BDB2CC4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50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2513AF6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14FCE73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58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DAFFEE0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3D19CD6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361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B7A7FD5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3</w:t>
            </w:r>
          </w:p>
        </w:tc>
      </w:tr>
      <w:tr w:rsidR="00CD02E8" w:rsidRPr="00BE7D18" w14:paraId="2517D5D6" w14:textId="77777777" w:rsidTr="00925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5EF87285" w14:textId="77777777" w:rsidR="00CD02E8" w:rsidRPr="00BE7D18" w:rsidRDefault="00CD02E8" w:rsidP="00925840">
            <w:pPr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>I00-I99: Diseases of the circulatory system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C4E493B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247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25C525E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AD0DCC2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149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9B1B494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1694ACA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1207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F66E3A0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9374C76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605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97D4049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5</w:t>
            </w:r>
          </w:p>
        </w:tc>
      </w:tr>
      <w:tr w:rsidR="00CD02E8" w:rsidRPr="00BE7D18" w14:paraId="36CB21B3" w14:textId="77777777" w:rsidTr="00925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1E7337C1" w14:textId="77777777" w:rsidR="00CD02E8" w:rsidRPr="00BE7D18" w:rsidRDefault="00CD02E8" w:rsidP="00925840">
            <w:pPr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>J00-J99: Diseases of the respiratory system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52EA5C1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77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999B142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8320A25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72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2BBE6C4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D909EF4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295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02EE7DC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281BF03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363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68992A2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3</w:t>
            </w:r>
          </w:p>
        </w:tc>
      </w:tr>
      <w:tr w:rsidR="00CD02E8" w:rsidRPr="00BE7D18" w14:paraId="2F8417B3" w14:textId="77777777" w:rsidTr="00925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29D8A97E" w14:textId="77777777" w:rsidR="00CD02E8" w:rsidRPr="00BE7D18" w:rsidRDefault="00CD02E8" w:rsidP="00925840">
            <w:pPr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>K00-K93: Diseases of the digestive system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7EB1BF7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142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19CC0BA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59A6BEC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131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502B1A18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094F100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630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CEE3E28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AD33E01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639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4FE6C0E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5</w:t>
            </w:r>
          </w:p>
        </w:tc>
      </w:tr>
      <w:tr w:rsidR="00CD02E8" w:rsidRPr="00BE7D18" w14:paraId="5B45CFF4" w14:textId="77777777" w:rsidTr="00925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798DF3DB" w14:textId="77777777" w:rsidR="00CD02E8" w:rsidRPr="00BE7D18" w:rsidRDefault="00CD02E8" w:rsidP="00925840">
            <w:pPr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 xml:space="preserve">L00-L99: Diseases of the skin and </w:t>
            </w:r>
            <w:proofErr w:type="spellStart"/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>subcutaneus</w:t>
            </w:r>
            <w:proofErr w:type="spellEnd"/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 xml:space="preserve"> tissue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5D123D9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3592F72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F7E0CAC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96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1B8D74F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B28CDB5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32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7689B0F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3113D22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683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762FB0B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6</w:t>
            </w:r>
          </w:p>
        </w:tc>
      </w:tr>
      <w:tr w:rsidR="00CD02E8" w:rsidRPr="00BE7D18" w14:paraId="48DCD227" w14:textId="77777777" w:rsidTr="00925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2047A041" w14:textId="77777777" w:rsidR="00CD02E8" w:rsidRPr="00BE7D18" w:rsidRDefault="00CD02E8" w:rsidP="00925840">
            <w:pPr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>M00-M99: Diseases of the musculoskeletal system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6DBA491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158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3454F67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503FEA7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339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54D3D83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F3D9358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495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84A7F1F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CFB8E52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987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98FB342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8</w:t>
            </w:r>
          </w:p>
        </w:tc>
      </w:tr>
      <w:tr w:rsidR="00CD02E8" w:rsidRPr="00BE7D18" w14:paraId="52CE4AA7" w14:textId="77777777" w:rsidTr="00925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5A770094" w14:textId="77777777" w:rsidR="00CD02E8" w:rsidRPr="00BE7D18" w:rsidRDefault="00CD02E8" w:rsidP="00925840">
            <w:pPr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>N00-N99: Diseases of the genitourinary system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25E0283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87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B931FC7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636D403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154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0702BD7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A4EAC27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355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72F0DDE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333ABE1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962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055B359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8</w:t>
            </w:r>
          </w:p>
        </w:tc>
      </w:tr>
      <w:tr w:rsidR="00CD02E8" w:rsidRPr="00BE7D18" w14:paraId="60435863" w14:textId="77777777" w:rsidTr="00925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4F12C308" w14:textId="77777777" w:rsidR="00CD02E8" w:rsidRPr="00BE7D18" w:rsidRDefault="00CD02E8" w:rsidP="00925840">
            <w:pPr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>O00-O99: Pregnancy, childbirth and the puerperium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DD0E5FF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379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214242D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9BCC990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90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A8D4C7D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9BC3393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1178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41351EA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43A4ABC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127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B51E824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</w:t>
            </w:r>
          </w:p>
        </w:tc>
      </w:tr>
      <w:tr w:rsidR="00CD02E8" w:rsidRPr="00BE7D18" w14:paraId="725FC968" w14:textId="77777777" w:rsidTr="00925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12A2A75B" w14:textId="77777777" w:rsidR="00CD02E8" w:rsidRPr="00BE7D18" w:rsidRDefault="00CD02E8" w:rsidP="00925840">
            <w:pPr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>Q00-Q99: Congenital malformations, deformations and chromosomal abnormalities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4FB1C4A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078E846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9739169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19E23AA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ACB0547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9964A70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5B275C4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A5CBA32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0</w:t>
            </w:r>
          </w:p>
        </w:tc>
      </w:tr>
      <w:tr w:rsidR="00CD02E8" w:rsidRPr="00BE7D18" w14:paraId="781A3093" w14:textId="77777777" w:rsidTr="00925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5FBE924A" w14:textId="77777777" w:rsidR="00CD02E8" w:rsidRPr="00BE7D18" w:rsidRDefault="00CD02E8" w:rsidP="00925840">
            <w:pPr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>R00-R99: Symptoms, signs and abnormal clinical laboratory findings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CFF164C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157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1072D49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B6134E5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250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B36F3D4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6350687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702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B481BEB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863ED06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1232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C88D32E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10</w:t>
            </w:r>
          </w:p>
        </w:tc>
      </w:tr>
      <w:tr w:rsidR="00CD02E8" w:rsidRPr="00BE7D18" w14:paraId="55392A5E" w14:textId="77777777" w:rsidTr="00925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1FC65F55" w14:textId="77777777" w:rsidR="00CD02E8" w:rsidRPr="00BE7D18" w:rsidRDefault="00CD02E8" w:rsidP="00925840">
            <w:pPr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>S00-T98: Injury, poisoning and certain other consequences of external causes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843F0F6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271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17FBFDF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CF091D3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549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4170DE4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21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37CB8B0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780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2C5F36F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F18A557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1954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F8BE767" w14:textId="77777777" w:rsidR="00CD02E8" w:rsidRPr="00BE7D18" w:rsidRDefault="00CD02E8" w:rsidP="00925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16</w:t>
            </w:r>
          </w:p>
        </w:tc>
      </w:tr>
      <w:tr w:rsidR="00CD02E8" w:rsidRPr="00BE7D18" w14:paraId="1C6D5AF8" w14:textId="77777777" w:rsidTr="00925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0D1B2AB9" w14:textId="77777777" w:rsidR="00CD02E8" w:rsidRPr="00BE7D18" w:rsidRDefault="00CD02E8" w:rsidP="00925840">
            <w:pPr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b w:val="0"/>
                <w:sz w:val="20"/>
                <w:szCs w:val="20"/>
                <w:lang w:val="en-US" w:eastAsia="sv-SE"/>
              </w:rPr>
              <w:t>Z00-Z99: Factors influencing health status and contact with health services</w:t>
            </w:r>
          </w:p>
        </w:tc>
        <w:tc>
          <w:tcPr>
            <w:tcW w:w="850" w:type="dxa"/>
            <w:tcBorders>
              <w:top w:val="nil"/>
            </w:tcBorders>
          </w:tcPr>
          <w:p w14:paraId="6642B520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39</w:t>
            </w:r>
          </w:p>
        </w:tc>
        <w:tc>
          <w:tcPr>
            <w:tcW w:w="851" w:type="dxa"/>
            <w:tcBorders>
              <w:top w:val="nil"/>
            </w:tcBorders>
          </w:tcPr>
          <w:p w14:paraId="282B7620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2</w:t>
            </w:r>
          </w:p>
        </w:tc>
        <w:tc>
          <w:tcPr>
            <w:tcW w:w="850" w:type="dxa"/>
            <w:tcBorders>
              <w:top w:val="nil"/>
            </w:tcBorders>
          </w:tcPr>
          <w:p w14:paraId="265F79E0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312</w:t>
            </w:r>
          </w:p>
        </w:tc>
        <w:tc>
          <w:tcPr>
            <w:tcW w:w="851" w:type="dxa"/>
            <w:tcBorders>
              <w:top w:val="nil"/>
            </w:tcBorders>
          </w:tcPr>
          <w:p w14:paraId="37D34E75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12</w:t>
            </w:r>
          </w:p>
        </w:tc>
        <w:tc>
          <w:tcPr>
            <w:tcW w:w="850" w:type="dxa"/>
            <w:tcBorders>
              <w:top w:val="nil"/>
            </w:tcBorders>
          </w:tcPr>
          <w:p w14:paraId="4075AE4E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137</w:t>
            </w:r>
          </w:p>
        </w:tc>
        <w:tc>
          <w:tcPr>
            <w:tcW w:w="851" w:type="dxa"/>
            <w:tcBorders>
              <w:top w:val="nil"/>
            </w:tcBorders>
          </w:tcPr>
          <w:p w14:paraId="7DACAAF8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2</w:t>
            </w:r>
          </w:p>
        </w:tc>
        <w:tc>
          <w:tcPr>
            <w:tcW w:w="850" w:type="dxa"/>
            <w:tcBorders>
              <w:top w:val="nil"/>
            </w:tcBorders>
          </w:tcPr>
          <w:p w14:paraId="6427D49E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1528</w:t>
            </w:r>
          </w:p>
        </w:tc>
        <w:tc>
          <w:tcPr>
            <w:tcW w:w="851" w:type="dxa"/>
            <w:tcBorders>
              <w:top w:val="nil"/>
            </w:tcBorders>
          </w:tcPr>
          <w:p w14:paraId="67149A39" w14:textId="77777777" w:rsidR="00CD02E8" w:rsidRPr="00BE7D18" w:rsidRDefault="00CD02E8" w:rsidP="00925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 w:eastAsia="sv-SE"/>
              </w:rPr>
            </w:pPr>
            <w:r w:rsidRPr="00BE7D18">
              <w:rPr>
                <w:rFonts w:ascii="Arial" w:hAnsi="Arial" w:cs="Arial"/>
                <w:sz w:val="20"/>
                <w:szCs w:val="20"/>
                <w:lang w:val="en-US" w:eastAsia="sv-SE"/>
              </w:rPr>
              <w:t>13</w:t>
            </w:r>
          </w:p>
        </w:tc>
      </w:tr>
    </w:tbl>
    <w:p w14:paraId="07852DC6" w14:textId="2F178143" w:rsidR="00BE7D18" w:rsidRDefault="00BE7D18" w:rsidP="00CD02E8">
      <w:pPr>
        <w:spacing w:after="160" w:line="259" w:lineRule="auto"/>
        <w:rPr>
          <w:b/>
          <w:lang w:val="en-US"/>
        </w:rPr>
      </w:pPr>
    </w:p>
    <w:p w14:paraId="33C6BD35" w14:textId="77777777" w:rsidR="00BE7D18" w:rsidRDefault="00BE7D18">
      <w:pPr>
        <w:spacing w:after="160" w:line="259" w:lineRule="auto"/>
        <w:rPr>
          <w:b/>
          <w:lang w:val="en-US"/>
        </w:rPr>
      </w:pPr>
      <w:r>
        <w:rPr>
          <w:b/>
          <w:lang w:val="en-US"/>
        </w:rPr>
        <w:br w:type="page"/>
      </w:r>
    </w:p>
    <w:p w14:paraId="109A04C4" w14:textId="51016A9F" w:rsidR="00B4586D" w:rsidRPr="006B6D98" w:rsidRDefault="00B4586D" w:rsidP="00B4586D">
      <w:pPr>
        <w:spacing w:after="160" w:line="259" w:lineRule="auto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Supplemental </w:t>
      </w:r>
      <w:r w:rsidRPr="006B6D98">
        <w:rPr>
          <w:rFonts w:ascii="Times New Roman" w:hAnsi="Times New Roman"/>
          <w:b/>
          <w:sz w:val="24"/>
          <w:szCs w:val="24"/>
          <w:lang w:val="en-US"/>
        </w:rPr>
        <w:t xml:space="preserve">Table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2 </w:t>
      </w:r>
      <w:r w:rsidRPr="006B6D98">
        <w:rPr>
          <w:rFonts w:ascii="Times New Roman" w:hAnsi="Times New Roman"/>
          <w:bCs/>
          <w:sz w:val="24"/>
          <w:szCs w:val="24"/>
          <w:lang w:val="en-US"/>
        </w:rPr>
        <w:t>Summary of time at risk and incidence rates with qua</w:t>
      </w:r>
      <w:r>
        <w:rPr>
          <w:rFonts w:ascii="Times New Roman" w:hAnsi="Times New Roman"/>
          <w:bCs/>
          <w:sz w:val="24"/>
          <w:szCs w:val="24"/>
          <w:lang w:val="en-US"/>
        </w:rPr>
        <w:t>r</w:t>
      </w:r>
      <w:r w:rsidRPr="006B6D98">
        <w:rPr>
          <w:rFonts w:ascii="Times New Roman" w:hAnsi="Times New Roman"/>
          <w:bCs/>
          <w:sz w:val="24"/>
          <w:szCs w:val="24"/>
          <w:lang w:val="en-US"/>
        </w:rPr>
        <w:t>tiles of survival time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6B6D98">
        <w:rPr>
          <w:rFonts w:ascii="Times New Roman" w:hAnsi="Times New Roman"/>
          <w:bCs/>
          <w:sz w:val="24"/>
          <w:szCs w:val="24"/>
          <w:lang w:val="en-US"/>
        </w:rPr>
        <w:t xml:space="preserve">for inpatient and specialized outpatient care across SA spell </w:t>
      </w:r>
      <w:r>
        <w:rPr>
          <w:rFonts w:ascii="Times New Roman" w:hAnsi="Times New Roman"/>
          <w:bCs/>
          <w:sz w:val="24"/>
          <w:szCs w:val="24"/>
          <w:lang w:val="en-US"/>
        </w:rPr>
        <w:t>duration</w:t>
      </w:r>
      <w:r w:rsidRPr="006B6D98">
        <w:rPr>
          <w:rFonts w:ascii="Times New Roman" w:hAnsi="Times New Roman"/>
          <w:bCs/>
          <w:sz w:val="24"/>
          <w:szCs w:val="24"/>
          <w:lang w:val="en-US"/>
        </w:rPr>
        <w:t xml:space="preserve"> categories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7"/>
        <w:gridCol w:w="1552"/>
        <w:gridCol w:w="1269"/>
        <w:gridCol w:w="1412"/>
        <w:gridCol w:w="984"/>
        <w:gridCol w:w="1122"/>
        <w:gridCol w:w="617"/>
        <w:gridCol w:w="1396"/>
        <w:gridCol w:w="617"/>
        <w:gridCol w:w="975"/>
        <w:gridCol w:w="709"/>
      </w:tblGrid>
      <w:tr w:rsidR="00B4586D" w:rsidRPr="00D45E1D" w14:paraId="6A018835" w14:textId="77777777" w:rsidTr="00BE7D18">
        <w:tc>
          <w:tcPr>
            <w:tcW w:w="224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B57DE9" w14:textId="77777777" w:rsidR="00B4586D" w:rsidRPr="00D45E1D" w:rsidRDefault="00B4586D" w:rsidP="00BE7D18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Categorized SA spell duration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</w:tcBorders>
            <w:vAlign w:val="bottom"/>
          </w:tcPr>
          <w:p w14:paraId="70AC5904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/>
                <w:sz w:val="20"/>
                <w:szCs w:val="20"/>
                <w:lang w:val="en-US"/>
              </w:rPr>
              <w:t>time at risk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(person years)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</w:tcBorders>
            <w:vAlign w:val="bottom"/>
          </w:tcPr>
          <w:p w14:paraId="1EDFD495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/>
                <w:sz w:val="20"/>
                <w:szCs w:val="20"/>
                <w:lang w:val="en-US"/>
              </w:rPr>
              <w:t>n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umber</w:t>
            </w:r>
            <w:r w:rsidRPr="00D45E1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of subjects</w:t>
            </w:r>
          </w:p>
        </w:tc>
        <w:tc>
          <w:tcPr>
            <w:tcW w:w="4135" w:type="dxa"/>
            <w:gridSpan w:val="4"/>
            <w:tcBorders>
              <w:top w:val="single" w:sz="4" w:space="0" w:color="auto"/>
            </w:tcBorders>
            <w:vAlign w:val="bottom"/>
          </w:tcPr>
          <w:p w14:paraId="0BEB21C9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Inpatient care</w:t>
            </w:r>
          </w:p>
        </w:tc>
        <w:tc>
          <w:tcPr>
            <w:tcW w:w="3697" w:type="dxa"/>
            <w:gridSpan w:val="4"/>
            <w:tcBorders>
              <w:top w:val="single" w:sz="4" w:space="0" w:color="auto"/>
            </w:tcBorders>
            <w:vAlign w:val="bottom"/>
          </w:tcPr>
          <w:p w14:paraId="567BE4B3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Outpatient care</w:t>
            </w:r>
          </w:p>
        </w:tc>
      </w:tr>
      <w:tr w:rsidR="00B4586D" w:rsidRPr="00D45E1D" w14:paraId="63C2686E" w14:textId="77777777" w:rsidTr="00BE7D18">
        <w:tc>
          <w:tcPr>
            <w:tcW w:w="2247" w:type="dxa"/>
            <w:vMerge/>
            <w:tcBorders>
              <w:bottom w:val="single" w:sz="4" w:space="0" w:color="auto"/>
            </w:tcBorders>
            <w:vAlign w:val="center"/>
          </w:tcPr>
          <w:p w14:paraId="57D349A5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552" w:type="dxa"/>
            <w:vMerge/>
            <w:vAlign w:val="bottom"/>
          </w:tcPr>
          <w:p w14:paraId="5FBD2A76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269" w:type="dxa"/>
            <w:vMerge/>
            <w:vAlign w:val="bottom"/>
          </w:tcPr>
          <w:p w14:paraId="7712E3CE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412" w:type="dxa"/>
            <w:vMerge w:val="restart"/>
            <w:tcBorders>
              <w:top w:val="single" w:sz="4" w:space="0" w:color="auto"/>
            </w:tcBorders>
            <w:vAlign w:val="bottom"/>
          </w:tcPr>
          <w:p w14:paraId="2ABA481A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/>
                <w:sz w:val="20"/>
                <w:szCs w:val="20"/>
                <w:lang w:val="en-US"/>
              </w:rPr>
              <w:t>incidence rate</w:t>
            </w:r>
          </w:p>
        </w:tc>
        <w:tc>
          <w:tcPr>
            <w:tcW w:w="2723" w:type="dxa"/>
            <w:gridSpan w:val="3"/>
            <w:tcBorders>
              <w:top w:val="single" w:sz="4" w:space="0" w:color="auto"/>
            </w:tcBorders>
            <w:vAlign w:val="bottom"/>
          </w:tcPr>
          <w:p w14:paraId="476CE76F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/>
                <w:sz w:val="20"/>
                <w:szCs w:val="20"/>
                <w:lang w:val="en-US"/>
              </w:rPr>
              <w:t>Survival time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</w:tcBorders>
            <w:vAlign w:val="bottom"/>
          </w:tcPr>
          <w:p w14:paraId="37F76CEF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/>
                <w:sz w:val="20"/>
                <w:szCs w:val="20"/>
                <w:lang w:val="en-US"/>
              </w:rPr>
              <w:t>incidence rate</w:t>
            </w:r>
          </w:p>
        </w:tc>
        <w:tc>
          <w:tcPr>
            <w:tcW w:w="2301" w:type="dxa"/>
            <w:gridSpan w:val="3"/>
            <w:tcBorders>
              <w:top w:val="single" w:sz="4" w:space="0" w:color="auto"/>
            </w:tcBorders>
            <w:vAlign w:val="bottom"/>
          </w:tcPr>
          <w:p w14:paraId="2A1ADDF9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/>
                <w:sz w:val="20"/>
                <w:szCs w:val="20"/>
                <w:lang w:val="en-US"/>
              </w:rPr>
              <w:t>Survival time</w:t>
            </w:r>
          </w:p>
        </w:tc>
      </w:tr>
      <w:tr w:rsidR="00B4586D" w:rsidRPr="00D45E1D" w14:paraId="7D193189" w14:textId="77777777" w:rsidTr="00BE7D18">
        <w:trPr>
          <w:trHeight w:val="283"/>
        </w:trPr>
        <w:tc>
          <w:tcPr>
            <w:tcW w:w="2247" w:type="dxa"/>
            <w:vMerge/>
            <w:tcBorders>
              <w:bottom w:val="single" w:sz="4" w:space="0" w:color="auto"/>
            </w:tcBorders>
            <w:vAlign w:val="center"/>
          </w:tcPr>
          <w:p w14:paraId="342D2F09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552" w:type="dxa"/>
            <w:vMerge/>
            <w:tcBorders>
              <w:bottom w:val="single" w:sz="4" w:space="0" w:color="auto"/>
            </w:tcBorders>
            <w:vAlign w:val="bottom"/>
          </w:tcPr>
          <w:p w14:paraId="44723566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269" w:type="dxa"/>
            <w:vMerge/>
            <w:tcBorders>
              <w:bottom w:val="single" w:sz="4" w:space="0" w:color="auto"/>
            </w:tcBorders>
            <w:vAlign w:val="bottom"/>
          </w:tcPr>
          <w:p w14:paraId="6C776EAE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</w:tcBorders>
            <w:vAlign w:val="bottom"/>
          </w:tcPr>
          <w:p w14:paraId="3CDE073E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vAlign w:val="bottom"/>
          </w:tcPr>
          <w:p w14:paraId="2CC89D15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/>
                <w:sz w:val="20"/>
                <w:szCs w:val="20"/>
                <w:lang w:val="en-US"/>
              </w:rPr>
              <w:t>25%</w:t>
            </w:r>
          </w:p>
        </w:tc>
        <w:tc>
          <w:tcPr>
            <w:tcW w:w="1122" w:type="dxa"/>
            <w:tcBorders>
              <w:bottom w:val="single" w:sz="4" w:space="0" w:color="auto"/>
            </w:tcBorders>
            <w:vAlign w:val="bottom"/>
          </w:tcPr>
          <w:p w14:paraId="273EF404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/>
                <w:sz w:val="20"/>
                <w:szCs w:val="20"/>
                <w:lang w:val="en-US"/>
              </w:rPr>
              <w:t>50%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vAlign w:val="bottom"/>
          </w:tcPr>
          <w:p w14:paraId="3523F893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/>
                <w:sz w:val="20"/>
                <w:szCs w:val="20"/>
                <w:lang w:val="en-US"/>
              </w:rPr>
              <w:t>75%</w:t>
            </w: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vAlign w:val="bottom"/>
          </w:tcPr>
          <w:p w14:paraId="4003DEF1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  <w:vAlign w:val="bottom"/>
          </w:tcPr>
          <w:p w14:paraId="6F8C9E96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/>
                <w:sz w:val="20"/>
                <w:szCs w:val="20"/>
                <w:lang w:val="en-US"/>
              </w:rPr>
              <w:t>25%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bottom"/>
          </w:tcPr>
          <w:p w14:paraId="00ACD4EF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/>
                <w:sz w:val="20"/>
                <w:szCs w:val="20"/>
                <w:lang w:val="en-US"/>
              </w:rPr>
              <w:t>50%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017192CB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/>
                <w:sz w:val="20"/>
                <w:szCs w:val="20"/>
                <w:lang w:val="en-US"/>
              </w:rPr>
              <w:t>75%</w:t>
            </w:r>
          </w:p>
        </w:tc>
      </w:tr>
      <w:tr w:rsidR="00B4586D" w:rsidRPr="00D45E1D" w14:paraId="42120428" w14:textId="77777777" w:rsidTr="00925840">
        <w:tc>
          <w:tcPr>
            <w:tcW w:w="2247" w:type="dxa"/>
            <w:tcBorders>
              <w:top w:val="single" w:sz="4" w:space="0" w:color="auto"/>
            </w:tcBorders>
          </w:tcPr>
          <w:p w14:paraId="4A8E5E86" w14:textId="77777777" w:rsidR="00B4586D" w:rsidRPr="00D45E1D" w:rsidRDefault="00B4586D" w:rsidP="00BE7D18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No SA (0 days)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vAlign w:val="center"/>
          </w:tcPr>
          <w:p w14:paraId="52CD0EAC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113792.15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center"/>
          </w:tcPr>
          <w:p w14:paraId="1FB8CE14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21027</w:t>
            </w:r>
          </w:p>
        </w:tc>
        <w:tc>
          <w:tcPr>
            <w:tcW w:w="1412" w:type="dxa"/>
            <w:tcBorders>
              <w:top w:val="single" w:sz="4" w:space="0" w:color="auto"/>
            </w:tcBorders>
            <w:vAlign w:val="center"/>
          </w:tcPr>
          <w:p w14:paraId="0FC696D5" w14:textId="77777777" w:rsidR="00B4586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0.06</w:t>
            </w:r>
          </w:p>
        </w:tc>
        <w:tc>
          <w:tcPr>
            <w:tcW w:w="984" w:type="dxa"/>
            <w:tcBorders>
              <w:top w:val="single" w:sz="4" w:space="0" w:color="auto"/>
            </w:tcBorders>
            <w:vAlign w:val="center"/>
          </w:tcPr>
          <w:p w14:paraId="50951A62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4.05</w:t>
            </w:r>
          </w:p>
        </w:tc>
        <w:tc>
          <w:tcPr>
            <w:tcW w:w="1122" w:type="dxa"/>
            <w:tcBorders>
              <w:top w:val="single" w:sz="4" w:space="0" w:color="auto"/>
            </w:tcBorders>
            <w:vAlign w:val="center"/>
          </w:tcPr>
          <w:p w14:paraId="0321F381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617" w:type="dxa"/>
            <w:tcBorders>
              <w:top w:val="single" w:sz="4" w:space="0" w:color="auto"/>
            </w:tcBorders>
            <w:vAlign w:val="center"/>
          </w:tcPr>
          <w:p w14:paraId="48873D6E" w14:textId="77777777" w:rsidR="00B4586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center"/>
          </w:tcPr>
          <w:p w14:paraId="074C8D31" w14:textId="77777777" w:rsidR="00B4586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0.15</w:t>
            </w:r>
          </w:p>
        </w:tc>
        <w:tc>
          <w:tcPr>
            <w:tcW w:w="617" w:type="dxa"/>
            <w:tcBorders>
              <w:top w:val="single" w:sz="4" w:space="0" w:color="auto"/>
            </w:tcBorders>
            <w:vAlign w:val="center"/>
          </w:tcPr>
          <w:p w14:paraId="1ED14E52" w14:textId="77777777" w:rsidR="00B4586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1.58</w:t>
            </w: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5EB65822" w14:textId="77777777" w:rsidR="00B4586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4.24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46000F9" w14:textId="77777777" w:rsidR="00B4586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9.39</w:t>
            </w:r>
          </w:p>
        </w:tc>
      </w:tr>
      <w:tr w:rsidR="00B4586D" w:rsidRPr="00D45E1D" w14:paraId="38021A6C" w14:textId="77777777" w:rsidTr="00925840">
        <w:tc>
          <w:tcPr>
            <w:tcW w:w="2247" w:type="dxa"/>
          </w:tcPr>
          <w:p w14:paraId="4836591C" w14:textId="77777777" w:rsidR="00B4586D" w:rsidRPr="00D45E1D" w:rsidRDefault="00B4586D" w:rsidP="00BE7D18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≤30 days</w:t>
            </w:r>
          </w:p>
        </w:tc>
        <w:tc>
          <w:tcPr>
            <w:tcW w:w="1552" w:type="dxa"/>
            <w:vAlign w:val="center"/>
          </w:tcPr>
          <w:p w14:paraId="68055432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6368.87</w:t>
            </w:r>
          </w:p>
        </w:tc>
        <w:tc>
          <w:tcPr>
            <w:tcW w:w="1269" w:type="dxa"/>
            <w:vAlign w:val="center"/>
          </w:tcPr>
          <w:p w14:paraId="2F7BF7E1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1956</w:t>
            </w:r>
          </w:p>
        </w:tc>
        <w:tc>
          <w:tcPr>
            <w:tcW w:w="1412" w:type="dxa"/>
            <w:vAlign w:val="center"/>
          </w:tcPr>
          <w:p w14:paraId="41E133ED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0.10</w:t>
            </w:r>
          </w:p>
        </w:tc>
        <w:tc>
          <w:tcPr>
            <w:tcW w:w="984" w:type="dxa"/>
            <w:vAlign w:val="center"/>
          </w:tcPr>
          <w:p w14:paraId="7791E5FC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2.0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1122" w:type="dxa"/>
            <w:vAlign w:val="center"/>
          </w:tcPr>
          <w:p w14:paraId="3330DB0D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9.3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617" w:type="dxa"/>
            <w:vAlign w:val="center"/>
          </w:tcPr>
          <w:p w14:paraId="745047C7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1396" w:type="dxa"/>
          </w:tcPr>
          <w:p w14:paraId="46DE9720" w14:textId="77777777" w:rsidR="00B4586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0.26</w:t>
            </w:r>
          </w:p>
        </w:tc>
        <w:tc>
          <w:tcPr>
            <w:tcW w:w="617" w:type="dxa"/>
          </w:tcPr>
          <w:p w14:paraId="64588DF3" w14:textId="77777777" w:rsidR="00B4586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0.38</w:t>
            </w:r>
          </w:p>
        </w:tc>
        <w:tc>
          <w:tcPr>
            <w:tcW w:w="975" w:type="dxa"/>
          </w:tcPr>
          <w:p w14:paraId="344A8FA0" w14:textId="77777777" w:rsidR="00B4586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2.04</w:t>
            </w:r>
          </w:p>
        </w:tc>
        <w:tc>
          <w:tcPr>
            <w:tcW w:w="709" w:type="dxa"/>
          </w:tcPr>
          <w:p w14:paraId="2B74B9A1" w14:textId="77777777" w:rsidR="00B4586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5.85</w:t>
            </w:r>
          </w:p>
        </w:tc>
      </w:tr>
      <w:tr w:rsidR="00B4586D" w:rsidRPr="00D45E1D" w14:paraId="74F35C4D" w14:textId="77777777" w:rsidTr="00925840">
        <w:tc>
          <w:tcPr>
            <w:tcW w:w="2247" w:type="dxa"/>
          </w:tcPr>
          <w:p w14:paraId="43BC7F45" w14:textId="77777777" w:rsidR="00B4586D" w:rsidRPr="00D45E1D" w:rsidRDefault="00B4586D" w:rsidP="00BE7D18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31-90 days</w:t>
            </w:r>
          </w:p>
        </w:tc>
        <w:tc>
          <w:tcPr>
            <w:tcW w:w="1552" w:type="dxa"/>
            <w:vAlign w:val="center"/>
          </w:tcPr>
          <w:p w14:paraId="316B5255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1652.6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1269" w:type="dxa"/>
            <w:vAlign w:val="center"/>
          </w:tcPr>
          <w:p w14:paraId="7D425FAA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581</w:t>
            </w:r>
          </w:p>
        </w:tc>
        <w:tc>
          <w:tcPr>
            <w:tcW w:w="1412" w:type="dxa"/>
            <w:vAlign w:val="center"/>
          </w:tcPr>
          <w:p w14:paraId="765D0653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0.13</w:t>
            </w:r>
          </w:p>
        </w:tc>
        <w:tc>
          <w:tcPr>
            <w:tcW w:w="984" w:type="dxa"/>
            <w:vAlign w:val="center"/>
          </w:tcPr>
          <w:p w14:paraId="69C88ADF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1.09</w:t>
            </w:r>
          </w:p>
        </w:tc>
        <w:tc>
          <w:tcPr>
            <w:tcW w:w="1122" w:type="dxa"/>
            <w:vAlign w:val="center"/>
          </w:tcPr>
          <w:p w14:paraId="4D847C6E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8.08</w:t>
            </w:r>
          </w:p>
        </w:tc>
        <w:tc>
          <w:tcPr>
            <w:tcW w:w="617" w:type="dxa"/>
            <w:vAlign w:val="center"/>
          </w:tcPr>
          <w:p w14:paraId="6EA6659E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1396" w:type="dxa"/>
            <w:vAlign w:val="center"/>
          </w:tcPr>
          <w:p w14:paraId="0095608E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0.30</w:t>
            </w:r>
          </w:p>
        </w:tc>
        <w:tc>
          <w:tcPr>
            <w:tcW w:w="617" w:type="dxa"/>
            <w:vAlign w:val="center"/>
          </w:tcPr>
          <w:p w14:paraId="7DA5C853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0.14</w:t>
            </w:r>
          </w:p>
        </w:tc>
        <w:tc>
          <w:tcPr>
            <w:tcW w:w="975" w:type="dxa"/>
            <w:vAlign w:val="center"/>
          </w:tcPr>
          <w:p w14:paraId="5C0326D1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1.48</w:t>
            </w:r>
          </w:p>
        </w:tc>
        <w:tc>
          <w:tcPr>
            <w:tcW w:w="709" w:type="dxa"/>
            <w:vAlign w:val="center"/>
          </w:tcPr>
          <w:p w14:paraId="7FF4FF4E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4.95</w:t>
            </w:r>
          </w:p>
        </w:tc>
      </w:tr>
      <w:tr w:rsidR="00B4586D" w:rsidRPr="00D45E1D" w14:paraId="05A3A13A" w14:textId="77777777" w:rsidTr="00925840">
        <w:tc>
          <w:tcPr>
            <w:tcW w:w="2247" w:type="dxa"/>
          </w:tcPr>
          <w:p w14:paraId="3728F7AD" w14:textId="77777777" w:rsidR="00B4586D" w:rsidRPr="00D45E1D" w:rsidRDefault="00B4586D" w:rsidP="00BE7D18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91-180 days</w:t>
            </w:r>
          </w:p>
        </w:tc>
        <w:tc>
          <w:tcPr>
            <w:tcW w:w="1552" w:type="dxa"/>
            <w:vAlign w:val="center"/>
          </w:tcPr>
          <w:p w14:paraId="39B26B82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622.83</w:t>
            </w:r>
          </w:p>
        </w:tc>
        <w:tc>
          <w:tcPr>
            <w:tcW w:w="1269" w:type="dxa"/>
            <w:vAlign w:val="center"/>
          </w:tcPr>
          <w:p w14:paraId="0CD334E5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252</w:t>
            </w:r>
          </w:p>
        </w:tc>
        <w:tc>
          <w:tcPr>
            <w:tcW w:w="1412" w:type="dxa"/>
            <w:vAlign w:val="center"/>
          </w:tcPr>
          <w:p w14:paraId="1DA0E06D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0.16</w:t>
            </w:r>
          </w:p>
        </w:tc>
        <w:tc>
          <w:tcPr>
            <w:tcW w:w="984" w:type="dxa"/>
            <w:vAlign w:val="center"/>
          </w:tcPr>
          <w:p w14:paraId="3FCE8805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</w:t>
            </w: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.4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22" w:type="dxa"/>
            <w:vAlign w:val="center"/>
          </w:tcPr>
          <w:p w14:paraId="7144FA29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6.65</w:t>
            </w:r>
          </w:p>
        </w:tc>
        <w:tc>
          <w:tcPr>
            <w:tcW w:w="617" w:type="dxa"/>
            <w:vAlign w:val="center"/>
          </w:tcPr>
          <w:p w14:paraId="7E3DE8A2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1396" w:type="dxa"/>
          </w:tcPr>
          <w:p w14:paraId="281284DE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0.36</w:t>
            </w:r>
          </w:p>
        </w:tc>
        <w:tc>
          <w:tcPr>
            <w:tcW w:w="617" w:type="dxa"/>
          </w:tcPr>
          <w:p w14:paraId="697FEF6B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0.08</w:t>
            </w:r>
          </w:p>
        </w:tc>
        <w:tc>
          <w:tcPr>
            <w:tcW w:w="975" w:type="dxa"/>
          </w:tcPr>
          <w:p w14:paraId="6C10D39B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0.75</w:t>
            </w:r>
          </w:p>
        </w:tc>
        <w:tc>
          <w:tcPr>
            <w:tcW w:w="709" w:type="dxa"/>
          </w:tcPr>
          <w:p w14:paraId="5C92C530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3.95</w:t>
            </w:r>
          </w:p>
        </w:tc>
      </w:tr>
      <w:tr w:rsidR="00B4586D" w:rsidRPr="00D45E1D" w14:paraId="4AE47B5F" w14:textId="77777777" w:rsidTr="00925840">
        <w:tc>
          <w:tcPr>
            <w:tcW w:w="2247" w:type="dxa"/>
          </w:tcPr>
          <w:p w14:paraId="716CD8ED" w14:textId="77777777" w:rsidR="00B4586D" w:rsidRPr="00D45E1D" w:rsidRDefault="00B4586D" w:rsidP="00BE7D18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≥181 days</w:t>
            </w:r>
          </w:p>
        </w:tc>
        <w:tc>
          <w:tcPr>
            <w:tcW w:w="1552" w:type="dxa"/>
            <w:vAlign w:val="center"/>
          </w:tcPr>
          <w:p w14:paraId="77CAF867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934.75</w:t>
            </w:r>
          </w:p>
        </w:tc>
        <w:tc>
          <w:tcPr>
            <w:tcW w:w="1269" w:type="dxa"/>
            <w:vAlign w:val="center"/>
          </w:tcPr>
          <w:p w14:paraId="40A86E72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388</w:t>
            </w:r>
          </w:p>
        </w:tc>
        <w:tc>
          <w:tcPr>
            <w:tcW w:w="1412" w:type="dxa"/>
            <w:vAlign w:val="center"/>
          </w:tcPr>
          <w:p w14:paraId="18A1DBF7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0.22</w:t>
            </w:r>
          </w:p>
        </w:tc>
        <w:tc>
          <w:tcPr>
            <w:tcW w:w="984" w:type="dxa"/>
            <w:vAlign w:val="center"/>
          </w:tcPr>
          <w:p w14:paraId="14805053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</w:t>
            </w: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.25</w:t>
            </w:r>
          </w:p>
        </w:tc>
        <w:tc>
          <w:tcPr>
            <w:tcW w:w="1122" w:type="dxa"/>
            <w:vAlign w:val="center"/>
          </w:tcPr>
          <w:p w14:paraId="19963F78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2.73</w:t>
            </w:r>
          </w:p>
        </w:tc>
        <w:tc>
          <w:tcPr>
            <w:tcW w:w="617" w:type="dxa"/>
            <w:vAlign w:val="center"/>
          </w:tcPr>
          <w:p w14:paraId="340DA4BA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1396" w:type="dxa"/>
          </w:tcPr>
          <w:p w14:paraId="0A754E03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0.38</w:t>
            </w:r>
          </w:p>
        </w:tc>
        <w:tc>
          <w:tcPr>
            <w:tcW w:w="617" w:type="dxa"/>
          </w:tcPr>
          <w:p w14:paraId="513E85C8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0.16</w:t>
            </w:r>
          </w:p>
        </w:tc>
        <w:tc>
          <w:tcPr>
            <w:tcW w:w="975" w:type="dxa"/>
          </w:tcPr>
          <w:p w14:paraId="669F2870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0.81</w:t>
            </w:r>
          </w:p>
        </w:tc>
        <w:tc>
          <w:tcPr>
            <w:tcW w:w="709" w:type="dxa"/>
          </w:tcPr>
          <w:p w14:paraId="02DF4847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3.59</w:t>
            </w:r>
          </w:p>
        </w:tc>
      </w:tr>
      <w:tr w:rsidR="00B4586D" w:rsidRPr="00D45E1D" w14:paraId="1AF67AC5" w14:textId="77777777" w:rsidTr="00925840">
        <w:tc>
          <w:tcPr>
            <w:tcW w:w="2247" w:type="dxa"/>
            <w:tcBorders>
              <w:bottom w:val="single" w:sz="4" w:space="0" w:color="auto"/>
            </w:tcBorders>
          </w:tcPr>
          <w:p w14:paraId="3A5DD277" w14:textId="77777777" w:rsidR="00B4586D" w:rsidRPr="00D45E1D" w:rsidRDefault="00B4586D" w:rsidP="00BE7D18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total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for those with SA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vAlign w:val="center"/>
          </w:tcPr>
          <w:p w14:paraId="3C5FFFBD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9579.11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14:paraId="49E2CDB3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3177</w:t>
            </w:r>
          </w:p>
        </w:tc>
        <w:tc>
          <w:tcPr>
            <w:tcW w:w="1412" w:type="dxa"/>
            <w:tcBorders>
              <w:bottom w:val="single" w:sz="4" w:space="0" w:color="auto"/>
            </w:tcBorders>
            <w:vAlign w:val="center"/>
          </w:tcPr>
          <w:p w14:paraId="1CFA3647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0.12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vAlign w:val="center"/>
          </w:tcPr>
          <w:p w14:paraId="46010AFF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1.3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1122" w:type="dxa"/>
            <w:tcBorders>
              <w:bottom w:val="single" w:sz="4" w:space="0" w:color="auto"/>
            </w:tcBorders>
            <w:vAlign w:val="center"/>
          </w:tcPr>
          <w:p w14:paraId="310FC43C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D45E1D">
              <w:rPr>
                <w:rFonts w:ascii="Arial" w:hAnsi="Arial" w:cs="Arial"/>
                <w:bCs/>
                <w:sz w:val="20"/>
                <w:szCs w:val="20"/>
                <w:lang w:val="en-US"/>
              </w:rPr>
              <w:t>7.73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vAlign w:val="center"/>
          </w:tcPr>
          <w:p w14:paraId="44E80558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1421C8C1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0.28</w:t>
            </w: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14:paraId="6F1F4809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0.24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1E1B7CC1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1.67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F8DB8C7" w14:textId="77777777" w:rsidR="00B4586D" w:rsidRPr="00D45E1D" w:rsidRDefault="00B4586D" w:rsidP="00BE7D18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5.31</w:t>
            </w:r>
          </w:p>
        </w:tc>
      </w:tr>
    </w:tbl>
    <w:p w14:paraId="7CD08E30" w14:textId="77777777" w:rsidR="00B4586D" w:rsidRPr="00650153" w:rsidRDefault="00B4586D" w:rsidP="00B4586D">
      <w:pPr>
        <w:spacing w:after="160" w:line="259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650153">
        <w:rPr>
          <w:rFonts w:ascii="Times New Roman" w:hAnsi="Times New Roman"/>
          <w:bCs/>
          <w:sz w:val="24"/>
          <w:szCs w:val="24"/>
          <w:lang w:val="en-US"/>
        </w:rPr>
        <w:t>no = no observations</w:t>
      </w:r>
    </w:p>
    <w:p w14:paraId="02444865" w14:textId="77777777" w:rsidR="00B4586D" w:rsidRDefault="00B4586D" w:rsidP="00CD02E8">
      <w:pPr>
        <w:spacing w:after="160" w:line="259" w:lineRule="auto"/>
        <w:rPr>
          <w:b/>
          <w:lang w:val="en-US"/>
        </w:rPr>
      </w:pPr>
    </w:p>
    <w:p w14:paraId="34EF5E29" w14:textId="77777777" w:rsidR="006F0BEB" w:rsidRPr="00CD02E8" w:rsidRDefault="006F0BEB">
      <w:pPr>
        <w:rPr>
          <w:lang w:val="en-US"/>
        </w:rPr>
      </w:pPr>
    </w:p>
    <w:sectPr w:rsidR="006F0BEB" w:rsidRPr="00CD02E8" w:rsidSect="00CD02E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E8"/>
    <w:rsid w:val="004E7706"/>
    <w:rsid w:val="00645BE2"/>
    <w:rsid w:val="006F0BEB"/>
    <w:rsid w:val="00B4586D"/>
    <w:rsid w:val="00BE7D18"/>
    <w:rsid w:val="00CD02E8"/>
    <w:rsid w:val="00E6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FDE50"/>
  <w15:chartTrackingRefBased/>
  <w15:docId w15:val="{E8269A9A-039D-4328-9E4B-53F24379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D02E8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CD02E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B45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40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315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TTL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Ropponen Annina</dc:creator>
  <cp:keywords/>
  <dc:description/>
  <cp:lastModifiedBy>Ropponen Annina</cp:lastModifiedBy>
  <cp:revision>6</cp:revision>
  <dcterms:created xsi:type="dcterms:W3CDTF">2020-09-27T08:42:00Z</dcterms:created>
  <dcterms:modified xsi:type="dcterms:W3CDTF">2021-02-09T10:11:00Z</dcterms:modified>
</cp:coreProperties>
</file>