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BE9" w:rsidRPr="00C128A7" w:rsidRDefault="00B10BE9" w:rsidP="00B10BE9">
      <w:pPr>
        <w:spacing w:before="320"/>
        <w:rPr>
          <w:rFonts w:ascii="Times New Roman" w:hAnsi="Times New Roman" w:cs="Times New Roman"/>
          <w:b/>
          <w:sz w:val="28"/>
          <w:szCs w:val="28"/>
        </w:rPr>
      </w:pPr>
      <w:r w:rsidRPr="00C128A7">
        <w:rPr>
          <w:rFonts w:ascii="Times New Roman" w:hAnsi="Times New Roman" w:cs="Times New Roman"/>
          <w:b/>
          <w:sz w:val="28"/>
          <w:szCs w:val="28"/>
        </w:rPr>
        <w:t xml:space="preserve">Evaluating the </w:t>
      </w:r>
      <w:r>
        <w:rPr>
          <w:rFonts w:ascii="Times New Roman" w:hAnsi="Times New Roman" w:cs="Times New Roman"/>
          <w:b/>
          <w:sz w:val="28"/>
          <w:szCs w:val="28"/>
        </w:rPr>
        <w:t>relationship between clinical and demographic characteristics of insulin-using people with diabetes and their health</w:t>
      </w:r>
      <w:r w:rsidRPr="00C128A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outcomes: a cluster analysis application </w:t>
      </w:r>
    </w:p>
    <w:p w:rsidR="00B10BE9" w:rsidRDefault="00B10BE9" w:rsidP="00B10BE9">
      <w:pPr>
        <w:rPr>
          <w:rFonts w:ascii="Times New Roman" w:hAnsi="Times New Roman" w:cs="Times New Roman"/>
        </w:rPr>
      </w:pPr>
    </w:p>
    <w:p w:rsidR="00B10BE9" w:rsidRDefault="00B10BE9" w:rsidP="00B10BE9">
      <w:pPr>
        <w:rPr>
          <w:rFonts w:ascii="Times New Roman" w:hAnsi="Times New Roman" w:cs="Times New Roman"/>
        </w:rPr>
      </w:pPr>
    </w:p>
    <w:p w:rsidR="00B10BE9" w:rsidRPr="00E41AE6" w:rsidRDefault="00B10BE9" w:rsidP="00B10B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Elizabeth L Eby</w:t>
      </w:r>
      <w:r w:rsidRPr="00E41AE6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Alison Edwards</w:t>
      </w:r>
      <w:r w:rsidRPr="00E41AE6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 Eric Meadows</w:t>
      </w:r>
      <w:r w:rsidRPr="00E41AE6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Ilya Lipkovich</w:t>
      </w:r>
      <w:r w:rsidRPr="00E41AE6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r w:rsidRPr="00E41AE6">
        <w:rPr>
          <w:rFonts w:ascii="Times New Roman" w:hAnsi="Times New Roman" w:cs="Times New Roman"/>
        </w:rPr>
        <w:t>Brian D Benneyworth</w:t>
      </w:r>
      <w:r w:rsidRPr="00E41AE6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r w:rsidRPr="00E41AE6">
        <w:rPr>
          <w:rFonts w:ascii="Times New Roman" w:hAnsi="Times New Roman" w:cs="Times New Roman"/>
        </w:rPr>
        <w:t>Kenneth Snow</w:t>
      </w:r>
      <w:r w:rsidRPr="00E41AE6">
        <w:rPr>
          <w:rFonts w:ascii="Times New Roman" w:hAnsi="Times New Roman" w:cs="Times New Roman"/>
          <w:vertAlign w:val="superscript"/>
        </w:rPr>
        <w:t>2</w:t>
      </w:r>
    </w:p>
    <w:p w:rsidR="00B10BE9" w:rsidRPr="00E41AE6" w:rsidRDefault="00B10BE9" w:rsidP="00B10BE9">
      <w:pPr>
        <w:rPr>
          <w:rFonts w:ascii="Times New Roman" w:hAnsi="Times New Roman" w:cs="Times New Roman"/>
        </w:rPr>
      </w:pPr>
      <w:r w:rsidRPr="00E41AE6">
        <w:rPr>
          <w:rFonts w:ascii="Times New Roman" w:hAnsi="Times New Roman" w:cs="Times New Roman"/>
          <w:vertAlign w:val="superscript"/>
        </w:rPr>
        <w:t>1</w:t>
      </w:r>
      <w:r w:rsidRPr="00E41AE6">
        <w:rPr>
          <w:rFonts w:ascii="Times New Roman" w:hAnsi="Times New Roman" w:cs="Times New Roman"/>
        </w:rPr>
        <w:t xml:space="preserve"> Eli Lilly and Company, </w:t>
      </w:r>
      <w:r>
        <w:rPr>
          <w:rFonts w:ascii="Times New Roman" w:hAnsi="Times New Roman" w:cs="Times New Roman"/>
        </w:rPr>
        <w:t xml:space="preserve">Lilly Corporate Center, </w:t>
      </w:r>
      <w:r w:rsidRPr="00E41AE6">
        <w:rPr>
          <w:rFonts w:ascii="Times New Roman" w:hAnsi="Times New Roman" w:cs="Times New Roman"/>
        </w:rPr>
        <w:t>Indianapolis I</w:t>
      </w:r>
      <w:r>
        <w:rPr>
          <w:rFonts w:ascii="Times New Roman" w:hAnsi="Times New Roman" w:cs="Times New Roman"/>
        </w:rPr>
        <w:t>N</w:t>
      </w:r>
      <w:r w:rsidRPr="00E41A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46285, </w:t>
      </w:r>
      <w:r w:rsidRPr="00E41AE6">
        <w:rPr>
          <w:rFonts w:ascii="Times New Roman" w:hAnsi="Times New Roman" w:cs="Times New Roman"/>
        </w:rPr>
        <w:t>USA</w:t>
      </w:r>
    </w:p>
    <w:p w:rsidR="00B10BE9" w:rsidRPr="00E41AE6" w:rsidRDefault="00B10BE9" w:rsidP="00B10BE9">
      <w:pPr>
        <w:rPr>
          <w:rFonts w:ascii="Times New Roman" w:hAnsi="Times New Roman" w:cs="Times New Roman"/>
        </w:rPr>
      </w:pPr>
      <w:r w:rsidRPr="00E41AE6">
        <w:rPr>
          <w:rFonts w:ascii="Times New Roman" w:hAnsi="Times New Roman" w:cs="Times New Roman"/>
          <w:vertAlign w:val="superscript"/>
        </w:rPr>
        <w:t>2</w:t>
      </w:r>
      <w:r w:rsidRPr="00E41AE6">
        <w:rPr>
          <w:rFonts w:ascii="Times New Roman" w:hAnsi="Times New Roman" w:cs="Times New Roman"/>
        </w:rPr>
        <w:t xml:space="preserve"> </w:t>
      </w:r>
      <w:proofErr w:type="spellStart"/>
      <w:r w:rsidRPr="00E41AE6">
        <w:rPr>
          <w:rFonts w:ascii="Times New Roman" w:hAnsi="Times New Roman" w:cs="Times New Roman"/>
        </w:rPr>
        <w:t>Healthagen</w:t>
      </w:r>
      <w:proofErr w:type="spellEnd"/>
      <w:r>
        <w:rPr>
          <w:rFonts w:ascii="Times New Roman" w:hAnsi="Times New Roman" w:cs="Times New Roman"/>
        </w:rPr>
        <w:t xml:space="preserve"> LLC </w:t>
      </w:r>
      <w:r w:rsidRPr="001B2B32">
        <w:rPr>
          <w:rFonts w:ascii="Times New Roman" w:hAnsi="Times New Roman" w:cs="Times New Roman"/>
        </w:rPr>
        <w:t>(renamed CVS Health Clinical Tri</w:t>
      </w:r>
      <w:r>
        <w:rPr>
          <w:rFonts w:ascii="Times New Roman" w:hAnsi="Times New Roman" w:cs="Times New Roman"/>
        </w:rPr>
        <w:t>a</w:t>
      </w:r>
      <w:r w:rsidRPr="001B2B32">
        <w:rPr>
          <w:rFonts w:ascii="Times New Roman" w:hAnsi="Times New Roman" w:cs="Times New Roman"/>
        </w:rPr>
        <w:t xml:space="preserve">l Services </w:t>
      </w:r>
      <w:r>
        <w:rPr>
          <w:rFonts w:ascii="Times New Roman" w:hAnsi="Times New Roman" w:cs="Times New Roman"/>
        </w:rPr>
        <w:t xml:space="preserve">LLC, </w:t>
      </w:r>
      <w:r w:rsidRPr="001B2B32">
        <w:rPr>
          <w:rFonts w:ascii="Times New Roman" w:hAnsi="Times New Roman" w:cs="Times New Roman"/>
        </w:rPr>
        <w:t xml:space="preserve">effective </w:t>
      </w:r>
      <w:r>
        <w:rPr>
          <w:rFonts w:ascii="Times New Roman" w:hAnsi="Times New Roman" w:cs="Times New Roman"/>
        </w:rPr>
        <w:t>01 November</w:t>
      </w:r>
      <w:r w:rsidRPr="001B2B32">
        <w:rPr>
          <w:rFonts w:ascii="Times New Roman" w:hAnsi="Times New Roman" w:cs="Times New Roman"/>
        </w:rPr>
        <w:t xml:space="preserve"> 2020)</w:t>
      </w:r>
      <w:r>
        <w:rPr>
          <w:rFonts w:ascii="Times New Roman" w:hAnsi="Times New Roman" w:cs="Times New Roman"/>
        </w:rPr>
        <w:t>, 151 Farmington Avenue, Hartford CT 06156, USA</w:t>
      </w:r>
    </w:p>
    <w:p w:rsidR="00B10BE9" w:rsidRDefault="00B10BE9" w:rsidP="00B10BE9">
      <w:pPr>
        <w:rPr>
          <w:rFonts w:ascii="Times New Roman" w:hAnsi="Times New Roman" w:cs="Times New Roman"/>
          <w:u w:val="single"/>
        </w:rPr>
      </w:pPr>
    </w:p>
    <w:p w:rsidR="00B10BE9" w:rsidRDefault="00B10BE9" w:rsidP="00B10BE9">
      <w:pPr>
        <w:rPr>
          <w:rFonts w:ascii="Times New Roman" w:hAnsi="Times New Roman" w:cs="Times New Roman"/>
          <w:u w:val="single"/>
        </w:rPr>
      </w:pPr>
    </w:p>
    <w:p w:rsidR="00B10BE9" w:rsidRDefault="00B10BE9" w:rsidP="00B10BE9">
      <w:pPr>
        <w:rPr>
          <w:rFonts w:ascii="Times New Roman" w:hAnsi="Times New Roman" w:cs="Times New Roman"/>
          <w:u w:val="single"/>
        </w:rPr>
      </w:pPr>
    </w:p>
    <w:p w:rsidR="00B10BE9" w:rsidRDefault="00B10BE9" w:rsidP="00B10BE9">
      <w:pPr>
        <w:rPr>
          <w:rFonts w:ascii="Times New Roman" w:hAnsi="Times New Roman" w:cs="Times New Roman"/>
          <w:u w:val="single"/>
        </w:rPr>
      </w:pPr>
    </w:p>
    <w:p w:rsidR="00B10BE9" w:rsidRDefault="00B10BE9" w:rsidP="00B10BE9">
      <w:pPr>
        <w:rPr>
          <w:rFonts w:ascii="Times New Roman" w:hAnsi="Times New Roman" w:cs="Times New Roman"/>
          <w:u w:val="single"/>
        </w:rPr>
      </w:pPr>
    </w:p>
    <w:p w:rsidR="00B10BE9" w:rsidRDefault="00B10BE9" w:rsidP="00B10BE9">
      <w:pPr>
        <w:rPr>
          <w:rFonts w:ascii="Times New Roman" w:hAnsi="Times New Roman" w:cs="Times New Roman"/>
          <w:u w:val="single"/>
        </w:rPr>
      </w:pPr>
    </w:p>
    <w:p w:rsidR="00B10BE9" w:rsidRPr="008300C2" w:rsidRDefault="00B10BE9" w:rsidP="00B10BE9">
      <w:pPr>
        <w:rPr>
          <w:rFonts w:ascii="Times New Roman" w:hAnsi="Times New Roman" w:cs="Times New Roman"/>
          <w:u w:val="single"/>
        </w:rPr>
      </w:pPr>
      <w:r w:rsidRPr="008300C2">
        <w:rPr>
          <w:rFonts w:ascii="Times New Roman" w:hAnsi="Times New Roman" w:cs="Times New Roman"/>
          <w:u w:val="single"/>
        </w:rPr>
        <w:t>Corresponding author:</w:t>
      </w:r>
    </w:p>
    <w:p w:rsidR="00B10BE9" w:rsidRDefault="00B10BE9" w:rsidP="00B10BE9">
      <w:r>
        <w:rPr>
          <w:rFonts w:ascii="Times New Roman" w:hAnsi="Times New Roman" w:cs="Times New Roman"/>
        </w:rPr>
        <w:t xml:space="preserve">Elizabeth L </w:t>
      </w:r>
      <w:proofErr w:type="spellStart"/>
      <w:r>
        <w:rPr>
          <w:rFonts w:ascii="Times New Roman" w:hAnsi="Times New Roman" w:cs="Times New Roman"/>
        </w:rPr>
        <w:t>Eby</w:t>
      </w:r>
      <w:proofErr w:type="spellEnd"/>
      <w:r>
        <w:rPr>
          <w:rFonts w:ascii="Times New Roman" w:hAnsi="Times New Roman" w:cs="Times New Roman"/>
        </w:rPr>
        <w:br/>
      </w:r>
      <w:r w:rsidRPr="00E41AE6">
        <w:rPr>
          <w:rFonts w:ascii="Times New Roman" w:hAnsi="Times New Roman" w:cs="Times New Roman"/>
        </w:rPr>
        <w:t>Eli Lilly and Company</w:t>
      </w:r>
      <w:r>
        <w:rPr>
          <w:rFonts w:ascii="Times New Roman" w:hAnsi="Times New Roman" w:cs="Times New Roman"/>
        </w:rPr>
        <w:br/>
        <w:t>Lilly Corporate Center</w:t>
      </w:r>
      <w:r>
        <w:rPr>
          <w:rFonts w:ascii="Times New Roman" w:hAnsi="Times New Roman" w:cs="Times New Roman"/>
        </w:rPr>
        <w:br/>
      </w:r>
      <w:r w:rsidRPr="00E41AE6">
        <w:rPr>
          <w:rFonts w:ascii="Times New Roman" w:hAnsi="Times New Roman" w:cs="Times New Roman"/>
        </w:rPr>
        <w:t>Indianapolis, I</w:t>
      </w:r>
      <w:r>
        <w:rPr>
          <w:rFonts w:ascii="Times New Roman" w:hAnsi="Times New Roman" w:cs="Times New Roman"/>
        </w:rPr>
        <w:t>N</w:t>
      </w:r>
      <w:r w:rsidRPr="00E41A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46285, </w:t>
      </w:r>
      <w:r w:rsidRPr="00E41AE6">
        <w:rPr>
          <w:rFonts w:ascii="Times New Roman" w:hAnsi="Times New Roman" w:cs="Times New Roman"/>
        </w:rPr>
        <w:t>USA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Phone: </w:t>
      </w:r>
      <w:r w:rsidRPr="006E1364">
        <w:rPr>
          <w:rFonts w:ascii="Times New Roman" w:hAnsi="Times New Roman" w:cs="Times New Roman"/>
        </w:rPr>
        <w:t>317</w:t>
      </w:r>
      <w:r>
        <w:rPr>
          <w:rFonts w:ascii="Times New Roman" w:hAnsi="Times New Roman" w:cs="Times New Roman"/>
        </w:rPr>
        <w:t>.</w:t>
      </w:r>
      <w:r w:rsidRPr="006E1364">
        <w:rPr>
          <w:rFonts w:ascii="Times New Roman" w:hAnsi="Times New Roman" w:cs="Times New Roman"/>
        </w:rPr>
        <w:t>498</w:t>
      </w:r>
      <w:r>
        <w:rPr>
          <w:rFonts w:ascii="Times New Roman" w:hAnsi="Times New Roman" w:cs="Times New Roman"/>
        </w:rPr>
        <w:t>.</w:t>
      </w:r>
      <w:r w:rsidRPr="006E1364">
        <w:rPr>
          <w:rFonts w:ascii="Times New Roman" w:hAnsi="Times New Roman" w:cs="Times New Roman"/>
        </w:rPr>
        <w:t>4328</w:t>
      </w:r>
      <w:r>
        <w:rPr>
          <w:rFonts w:ascii="Times New Roman" w:hAnsi="Times New Roman" w:cs="Times New Roman"/>
        </w:rPr>
        <w:br/>
        <w:t>Email:  ebye@lilly.com</w:t>
      </w:r>
      <w:r>
        <w:rPr>
          <w:rFonts w:ascii="Times New Roman" w:hAnsi="Times New Roman" w:cs="Times New Roman"/>
        </w:rPr>
        <w:br/>
      </w:r>
    </w:p>
    <w:p w:rsidR="00B10BE9" w:rsidRDefault="00B10BE9"/>
    <w:p w:rsidR="00B10BE9" w:rsidRDefault="00B10BE9">
      <w:pPr>
        <w:sectPr w:rsidR="00B10BE9" w:rsidSect="00B10BE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63B65" w:rsidRDefault="00E63B65" w:rsidP="00E63B65">
      <w:pPr>
        <w:keepNext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lastRenderedPageBreak/>
        <w:t xml:space="preserve">Supplemental Materials </w:t>
      </w:r>
      <w:r w:rsidR="00142DAF">
        <w:rPr>
          <w:rFonts w:ascii="Times New Roman" w:hAnsi="Times New Roman" w:cs="Times New Roman"/>
          <w:b/>
        </w:rPr>
        <w:t>1</w:t>
      </w:r>
    </w:p>
    <w:p w:rsidR="00E63B65" w:rsidRDefault="00E63B65" w:rsidP="00E63B65">
      <w:pPr>
        <w:pStyle w:val="Caption"/>
        <w:rPr>
          <w:rFonts w:ascii="Times New Roman" w:hAnsi="Times New Roman" w:cs="Times New Roman"/>
          <w:b/>
          <w:bCs/>
        </w:rPr>
      </w:pPr>
      <w:r w:rsidRPr="001A05AA">
        <w:rPr>
          <w:rFonts w:ascii="Times New Roman" w:hAnsi="Times New Roman" w:cs="Times New Roman"/>
          <w:b/>
          <w:i w:val="0"/>
          <w:sz w:val="22"/>
          <w:szCs w:val="22"/>
        </w:rPr>
        <w:t xml:space="preserve">Table </w:t>
      </w:r>
      <w:r>
        <w:rPr>
          <w:rFonts w:ascii="Times New Roman" w:hAnsi="Times New Roman" w:cs="Times New Roman"/>
          <w:b/>
          <w:i w:val="0"/>
          <w:sz w:val="22"/>
          <w:szCs w:val="22"/>
        </w:rPr>
        <w:t>S1</w:t>
      </w:r>
      <w:r w:rsidRPr="001A05AA">
        <w:rPr>
          <w:rFonts w:ascii="Times New Roman" w:hAnsi="Times New Roman" w:cs="Times New Roman"/>
          <w:b/>
          <w:i w:val="0"/>
          <w:sz w:val="22"/>
          <w:szCs w:val="22"/>
        </w:rPr>
        <w:t xml:space="preserve"> </w:t>
      </w:r>
      <w:r w:rsidRPr="001A05AA">
        <w:rPr>
          <w:rFonts w:ascii="Times New Roman" w:hAnsi="Times New Roman" w:cs="Times New Roman"/>
          <w:b/>
          <w:bCs/>
          <w:i w:val="0"/>
          <w:sz w:val="22"/>
          <w:szCs w:val="22"/>
        </w:rPr>
        <w:t xml:space="preserve">Classification of </w:t>
      </w:r>
      <w:r>
        <w:rPr>
          <w:rFonts w:ascii="Times New Roman" w:hAnsi="Times New Roman" w:cs="Times New Roman"/>
          <w:b/>
          <w:bCs/>
          <w:i w:val="0"/>
          <w:sz w:val="22"/>
          <w:szCs w:val="22"/>
        </w:rPr>
        <w:t>t</w:t>
      </w:r>
      <w:r w:rsidRPr="001A05AA">
        <w:rPr>
          <w:rFonts w:ascii="Times New Roman" w:hAnsi="Times New Roman" w:cs="Times New Roman"/>
          <w:b/>
          <w:bCs/>
          <w:i w:val="0"/>
          <w:sz w:val="22"/>
          <w:szCs w:val="22"/>
        </w:rPr>
        <w:t xml:space="preserve">op 20 </w:t>
      </w:r>
      <w:r>
        <w:rPr>
          <w:rFonts w:ascii="Times New Roman" w:hAnsi="Times New Roman" w:cs="Times New Roman"/>
          <w:b/>
          <w:bCs/>
          <w:i w:val="0"/>
          <w:sz w:val="22"/>
          <w:szCs w:val="22"/>
        </w:rPr>
        <w:t>b</w:t>
      </w:r>
      <w:r w:rsidRPr="001A05AA">
        <w:rPr>
          <w:rFonts w:ascii="Times New Roman" w:hAnsi="Times New Roman" w:cs="Times New Roman"/>
          <w:b/>
          <w:bCs/>
          <w:i w:val="0"/>
          <w:sz w:val="22"/>
          <w:szCs w:val="22"/>
        </w:rPr>
        <w:t xml:space="preserve">aseline </w:t>
      </w:r>
      <w:r>
        <w:rPr>
          <w:rFonts w:ascii="Times New Roman" w:hAnsi="Times New Roman" w:cs="Times New Roman"/>
          <w:b/>
          <w:bCs/>
          <w:i w:val="0"/>
          <w:sz w:val="22"/>
          <w:szCs w:val="22"/>
        </w:rPr>
        <w:t>c</w:t>
      </w:r>
      <w:r w:rsidRPr="001A05AA">
        <w:rPr>
          <w:rFonts w:ascii="Times New Roman" w:hAnsi="Times New Roman" w:cs="Times New Roman"/>
          <w:b/>
          <w:bCs/>
          <w:i w:val="0"/>
          <w:sz w:val="22"/>
          <w:szCs w:val="22"/>
        </w:rPr>
        <w:t>omorbidities</w:t>
      </w:r>
      <w:r>
        <w:rPr>
          <w:rFonts w:ascii="Times New Roman" w:hAnsi="Times New Roman" w:cs="Times New Roman"/>
          <w:b/>
          <w:bCs/>
          <w:i w:val="0"/>
          <w:sz w:val="22"/>
          <w:szCs w:val="22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94"/>
        <w:gridCol w:w="1444"/>
        <w:gridCol w:w="1310"/>
        <w:gridCol w:w="3694"/>
        <w:gridCol w:w="1488"/>
        <w:gridCol w:w="1310"/>
      </w:tblGrid>
      <w:tr w:rsidR="00E63B65" w:rsidRPr="008E2A77" w:rsidTr="00A72447">
        <w:trPr>
          <w:trHeight w:val="315"/>
        </w:trPr>
        <w:tc>
          <w:tcPr>
            <w:tcW w:w="3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DM</w:t>
            </w:r>
            <w:r w:rsidRPr="00FE7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 </w:t>
            </w:r>
            <w:r w:rsidRPr="00FE7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FE7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11,826)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Category</w:t>
            </w:r>
          </w:p>
        </w:tc>
        <w:tc>
          <w:tcPr>
            <w:tcW w:w="3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DM</w:t>
            </w:r>
            <w:r w:rsidRPr="00FE7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 </w:t>
            </w:r>
            <w:r w:rsidRPr="00FE7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FE7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88,824)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Category</w:t>
            </w:r>
          </w:p>
        </w:tc>
      </w:tr>
      <w:tr w:rsidR="00E63B65" w:rsidRPr="008E2A77" w:rsidTr="00A72447">
        <w:trPr>
          <w:trHeight w:val="300"/>
        </w:trPr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Hyperlipidemia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6,824 (58%)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Discordant</w:t>
            </w:r>
          </w:p>
        </w:tc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Hyperlipidemia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79,743 (90%)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Concordant</w:t>
            </w:r>
          </w:p>
        </w:tc>
      </w:tr>
      <w:tr w:rsidR="00E63B65" w:rsidRPr="008E2A77" w:rsidTr="00A72447">
        <w:trPr>
          <w:trHeight w:val="300"/>
        </w:trPr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5,418 (46%)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Discordant</w:t>
            </w:r>
          </w:p>
        </w:tc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79,631 (90%)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Concordant</w:t>
            </w:r>
          </w:p>
        </w:tc>
      </w:tr>
      <w:tr w:rsidR="00E63B65" w:rsidRPr="008E2A77" w:rsidTr="00A72447">
        <w:trPr>
          <w:trHeight w:val="300"/>
        </w:trPr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Chronic Thyroid Disorders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3,566 (30%)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Concordant</w:t>
            </w:r>
          </w:p>
        </w:tc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Nonspecific Gastritis/Dyspepsia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34,126 (38%)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Concordant</w:t>
            </w:r>
          </w:p>
        </w:tc>
      </w:tr>
      <w:tr w:rsidR="00E63B65" w:rsidRPr="008E2A77" w:rsidTr="00A72447">
        <w:trPr>
          <w:trHeight w:val="300"/>
        </w:trPr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Nonspecific Gastritis/Dyspepsia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2,103 (18%)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Discordant</w:t>
            </w:r>
          </w:p>
        </w:tc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31,515 (35%)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Concordant</w:t>
            </w:r>
          </w:p>
        </w:tc>
      </w:tr>
      <w:tr w:rsidR="00E63B65" w:rsidRPr="008E2A77" w:rsidTr="00A72447">
        <w:trPr>
          <w:trHeight w:val="300"/>
        </w:trPr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1,850 (16%)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Concordant</w:t>
            </w:r>
          </w:p>
        </w:tc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Chronic Renal Failure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26,482 (30%)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Concordant</w:t>
            </w:r>
          </w:p>
        </w:tc>
      </w:tr>
      <w:tr w:rsidR="00E63B65" w:rsidRPr="008E2A77" w:rsidTr="00A72447">
        <w:trPr>
          <w:trHeight w:val="300"/>
        </w:trPr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Low Back Pain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1,443 (12%)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Discordant</w:t>
            </w:r>
          </w:p>
        </w:tc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Ischemic Heart Disease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26,200 (29%)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Concordant</w:t>
            </w:r>
          </w:p>
        </w:tc>
      </w:tr>
      <w:tr w:rsidR="00E63B65" w:rsidRPr="008E2A77" w:rsidTr="00A72447">
        <w:trPr>
          <w:trHeight w:val="300"/>
        </w:trPr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Cataract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1,336 (11%)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Discordant</w:t>
            </w:r>
          </w:p>
        </w:tc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 Back Pain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22,785 (26%)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Concordant</w:t>
            </w:r>
          </w:p>
        </w:tc>
      </w:tr>
      <w:tr w:rsidR="00E63B65" w:rsidRPr="008E2A77" w:rsidTr="00A72447">
        <w:trPr>
          <w:trHeight w:val="300"/>
        </w:trPr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1,236 (10%)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Discordant</w:t>
            </w:r>
          </w:p>
        </w:tc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Heart Failure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21,811 (25%)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Concordant</w:t>
            </w:r>
          </w:p>
        </w:tc>
      </w:tr>
      <w:tr w:rsidR="00E63B65" w:rsidRPr="008E2A77" w:rsidTr="00A72447">
        <w:trPr>
          <w:trHeight w:val="300"/>
        </w:trPr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Anxiety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1,079 (9%)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Discordant</w:t>
            </w:r>
          </w:p>
        </w:tc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Chronic Thyroid Disorders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21,624 (24%)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Discordant</w:t>
            </w:r>
          </w:p>
        </w:tc>
      </w:tr>
      <w:tr w:rsidR="00E63B65" w:rsidRPr="008E2A77" w:rsidTr="00A72447">
        <w:trPr>
          <w:trHeight w:val="300"/>
        </w:trPr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Ischemic Heart Disease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1,057 (9%)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Concordant</w:t>
            </w:r>
          </w:p>
        </w:tc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Cataract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20,823 (23%)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Discordant</w:t>
            </w:r>
          </w:p>
        </w:tc>
      </w:tr>
      <w:tr w:rsidR="00E63B65" w:rsidRPr="008E2A77" w:rsidTr="00A72447">
        <w:trPr>
          <w:trHeight w:val="300"/>
        </w:trPr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Chronic Renal Failure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1,015 (9%)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Concordant</w:t>
            </w:r>
          </w:p>
        </w:tc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19,909 (22%)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Concordant</w:t>
            </w:r>
          </w:p>
        </w:tc>
      </w:tr>
      <w:tr w:rsidR="00E63B65" w:rsidRPr="008E2A77" w:rsidTr="00A72447">
        <w:trPr>
          <w:trHeight w:val="300"/>
        </w:trPr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Glaucoma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935 (8%)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Concordant</w:t>
            </w:r>
          </w:p>
        </w:tc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Osteoarthritis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16,572 (19%)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Concordant</w:t>
            </w:r>
          </w:p>
        </w:tc>
      </w:tr>
      <w:tr w:rsidR="00E63B65" w:rsidRPr="008E2A77" w:rsidTr="00A72447">
        <w:trPr>
          <w:trHeight w:val="300"/>
        </w:trPr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Allergy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811 (7%)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Discordant</w:t>
            </w:r>
          </w:p>
        </w:tc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Peripheral Artery Disease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14,459 (16%)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Concordant</w:t>
            </w:r>
          </w:p>
        </w:tc>
      </w:tr>
      <w:tr w:rsidR="00E63B65" w:rsidRPr="008E2A77" w:rsidTr="00A72447">
        <w:trPr>
          <w:trHeight w:val="300"/>
        </w:trPr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Osteoarthritis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619 (5%)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Discordant</w:t>
            </w:r>
          </w:p>
        </w:tc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Chronic Obstructive Pulmonary Disease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13,770 (16%)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Discordant</w:t>
            </w:r>
          </w:p>
        </w:tc>
      </w:tr>
      <w:tr w:rsidR="00E63B65" w:rsidRPr="008E2A77" w:rsidTr="00A72447">
        <w:trPr>
          <w:trHeight w:val="300"/>
        </w:trPr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Heart Failure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567 (5%)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Concordant</w:t>
            </w:r>
          </w:p>
        </w:tc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Cerebrovascular Disease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13,482 (15%)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Concordant</w:t>
            </w:r>
          </w:p>
        </w:tc>
      </w:tr>
      <w:tr w:rsidR="00E63B65" w:rsidRPr="008E2A77" w:rsidTr="00A72447">
        <w:trPr>
          <w:trHeight w:val="300"/>
        </w:trPr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Peripheral Artery Disease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519 (4%)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Concordant</w:t>
            </w:r>
          </w:p>
        </w:tc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12,796 (14%)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Concordant</w:t>
            </w:r>
          </w:p>
        </w:tc>
      </w:tr>
      <w:tr w:rsidR="00E63B65" w:rsidRPr="008E2A77" w:rsidTr="00A72447">
        <w:trPr>
          <w:trHeight w:val="300"/>
        </w:trPr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Cerebrovascular Disease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 (4%)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Concordant</w:t>
            </w:r>
          </w:p>
        </w:tc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Glaucoma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12,601 (14%)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Concordant</w:t>
            </w:r>
          </w:p>
        </w:tc>
      </w:tr>
      <w:tr w:rsidR="00E63B65" w:rsidRPr="008E2A77" w:rsidTr="00A72447">
        <w:trPr>
          <w:trHeight w:val="300"/>
        </w:trPr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Benign Prostatic Hypertrophy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447 (4%)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Discordant</w:t>
            </w:r>
          </w:p>
        </w:tc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Benign Prostatic Hypertrophy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12,149 (14%)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Discordant</w:t>
            </w:r>
          </w:p>
        </w:tc>
      </w:tr>
      <w:tr w:rsidR="00E63B65" w:rsidRPr="008E2A77" w:rsidTr="00A72447">
        <w:trPr>
          <w:trHeight w:val="300"/>
        </w:trPr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Chronic Obstructive Pulmonary Disease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373 (3%)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Discordant</w:t>
            </w:r>
          </w:p>
        </w:tc>
        <w:tc>
          <w:tcPr>
            <w:tcW w:w="3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Allergy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9,417 (11%)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Discordant</w:t>
            </w:r>
          </w:p>
        </w:tc>
      </w:tr>
      <w:tr w:rsidR="00E63B65" w:rsidRPr="008E2A77" w:rsidTr="00A72447">
        <w:trPr>
          <w:trHeight w:val="300"/>
        </w:trPr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 (3%)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FE7C8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7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Concordant</w:t>
            </w:r>
          </w:p>
        </w:tc>
        <w:tc>
          <w:tcPr>
            <w:tcW w:w="35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Anxiety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8,413 (9%)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B65" w:rsidRPr="00654263" w:rsidRDefault="00E63B65" w:rsidP="00A724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Discordant</w:t>
            </w:r>
          </w:p>
        </w:tc>
      </w:tr>
    </w:tbl>
    <w:p w:rsidR="00E63B65" w:rsidRPr="003364BA" w:rsidRDefault="00E63B65" w:rsidP="00E63B65">
      <w:pPr>
        <w:spacing w:before="40" w:line="240" w:lineRule="auto"/>
        <w:rPr>
          <w:rFonts w:ascii="Times New Roman" w:hAnsi="Times New Roman" w:cs="Times New Roman"/>
        </w:rPr>
      </w:pPr>
      <w:r w:rsidRPr="00417017">
        <w:rPr>
          <w:rFonts w:ascii="Times New Roman" w:hAnsi="Times New Roman" w:cs="Times New Roman"/>
          <w:sz w:val="16"/>
          <w:szCs w:val="16"/>
        </w:rPr>
        <w:t xml:space="preserve">Abbreviations:  </w:t>
      </w:r>
      <w:r>
        <w:rPr>
          <w:rFonts w:ascii="Times New Roman" w:hAnsi="Times New Roman" w:cs="Times New Roman"/>
          <w:sz w:val="16"/>
          <w:szCs w:val="16"/>
        </w:rPr>
        <w:t>n = number of patients with valid observations; N = total number of patients included in the analysis population; T1DM = type 1 diabetes mellitus; T2DM = type 2 diabetes mellitus</w:t>
      </w:r>
      <w:r w:rsidRPr="00417017">
        <w:rPr>
          <w:rFonts w:ascii="Times New Roman" w:hAnsi="Times New Roman" w:cs="Times New Roman"/>
          <w:sz w:val="16"/>
          <w:szCs w:val="16"/>
        </w:rPr>
        <w:t>.</w:t>
      </w:r>
      <w:r w:rsidRPr="001348DA">
        <w:rPr>
          <w:rFonts w:ascii="Times New Roman" w:hAnsi="Times New Roman" w:cs="Times New Roman"/>
          <w:sz w:val="16"/>
          <w:szCs w:val="16"/>
        </w:rPr>
        <w:t xml:space="preserve"> </w:t>
      </w:r>
    </w:p>
    <w:p w:rsidR="00E63B65" w:rsidRDefault="00E63B65"/>
    <w:sectPr w:rsidR="00E63B65" w:rsidSect="00E63B6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B65"/>
    <w:rsid w:val="00096E6F"/>
    <w:rsid w:val="00142DAF"/>
    <w:rsid w:val="001E0818"/>
    <w:rsid w:val="002B5716"/>
    <w:rsid w:val="00344CEF"/>
    <w:rsid w:val="003D5C26"/>
    <w:rsid w:val="00410E0F"/>
    <w:rsid w:val="00471467"/>
    <w:rsid w:val="00521D6C"/>
    <w:rsid w:val="00523442"/>
    <w:rsid w:val="00595DFB"/>
    <w:rsid w:val="005A0663"/>
    <w:rsid w:val="007021D2"/>
    <w:rsid w:val="007C7C06"/>
    <w:rsid w:val="008725A4"/>
    <w:rsid w:val="00880BDC"/>
    <w:rsid w:val="008B7CDC"/>
    <w:rsid w:val="009A1156"/>
    <w:rsid w:val="009C1D2B"/>
    <w:rsid w:val="00A6760E"/>
    <w:rsid w:val="00B10BE9"/>
    <w:rsid w:val="00B51E02"/>
    <w:rsid w:val="00BE6CD4"/>
    <w:rsid w:val="00C475E1"/>
    <w:rsid w:val="00C5140A"/>
    <w:rsid w:val="00C76B92"/>
    <w:rsid w:val="00C84BC9"/>
    <w:rsid w:val="00D00FAD"/>
    <w:rsid w:val="00E259EF"/>
    <w:rsid w:val="00E6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C86EE"/>
  <w15:chartTrackingRefBased/>
  <w15:docId w15:val="{EB97933F-427A-4B24-9EE4-E9DEFA5AE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B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63B6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LH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Hidayetoglu, Debra</dc:creator>
  <cp:keywords/>
  <dc:description/>
  <cp:lastModifiedBy>Hidayetoglu, Debra</cp:lastModifiedBy>
  <cp:revision>2</cp:revision>
  <dcterms:created xsi:type="dcterms:W3CDTF">2021-02-05T13:43:00Z</dcterms:created>
  <dcterms:modified xsi:type="dcterms:W3CDTF">2021-02-05T13:43:00Z</dcterms:modified>
</cp:coreProperties>
</file>