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EF6" w:rsidRPr="0019248F" w:rsidRDefault="00CE1EF6" w:rsidP="00CE1EF6">
      <w:pPr>
        <w:spacing w:line="480" w:lineRule="auto"/>
        <w:rPr>
          <w:rFonts w:cs="Times New Roman"/>
          <w:b/>
          <w:sz w:val="20"/>
          <w:szCs w:val="20"/>
        </w:rPr>
      </w:pPr>
      <w:r w:rsidRPr="0019248F">
        <w:rPr>
          <w:rFonts w:cs="Times New Roman"/>
          <w:b/>
          <w:szCs w:val="20"/>
        </w:rPr>
        <w:t xml:space="preserve">Table </w:t>
      </w:r>
      <w:r>
        <w:rPr>
          <w:rFonts w:cs="Times New Roman"/>
          <w:b/>
          <w:szCs w:val="20"/>
        </w:rPr>
        <w:t>2</w:t>
      </w:r>
      <w:r w:rsidRPr="0019248F">
        <w:rPr>
          <w:rFonts w:cs="Times New Roman"/>
          <w:b/>
          <w:szCs w:val="20"/>
        </w:rPr>
        <w:t>: Effectiveness of health service optimisation and community platform strengthening on study outcomes</w:t>
      </w:r>
      <w:r w:rsidRPr="0019248F">
        <w:rPr>
          <w:rFonts w:cs="Times New Roman"/>
          <w:b/>
          <w:sz w:val="20"/>
          <w:szCs w:val="20"/>
        </w:rPr>
        <w:t xml:space="preserve">  </w:t>
      </w:r>
    </w:p>
    <w:tbl>
      <w:tblPr>
        <w:tblW w:w="26375" w:type="dxa"/>
        <w:tblLook w:val="04A0" w:firstRow="1" w:lastRow="0" w:firstColumn="1" w:lastColumn="0" w:noHBand="0" w:noVBand="1"/>
      </w:tblPr>
      <w:tblGrid>
        <w:gridCol w:w="1178"/>
        <w:gridCol w:w="1496"/>
        <w:gridCol w:w="1576"/>
        <w:gridCol w:w="1353"/>
        <w:gridCol w:w="1336"/>
        <w:gridCol w:w="1304"/>
        <w:gridCol w:w="1394"/>
        <w:gridCol w:w="1465"/>
        <w:gridCol w:w="1353"/>
        <w:gridCol w:w="1552"/>
        <w:gridCol w:w="1546"/>
        <w:gridCol w:w="1546"/>
        <w:gridCol w:w="1546"/>
        <w:gridCol w:w="1546"/>
        <w:gridCol w:w="1546"/>
        <w:gridCol w:w="1546"/>
        <w:gridCol w:w="1546"/>
        <w:gridCol w:w="1546"/>
      </w:tblGrid>
      <w:tr w:rsidR="00CE1EF6" w:rsidRPr="00022259" w:rsidTr="00B5710F">
        <w:trPr>
          <w:gridAfter w:val="8"/>
          <w:wAfter w:w="12416" w:type="dxa"/>
          <w:trHeight w:val="315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CE1EF6" w:rsidRPr="00022259" w:rsidTr="00B5710F">
        <w:trPr>
          <w:gridAfter w:val="8"/>
          <w:wAfter w:w="12416" w:type="dxa"/>
          <w:trHeight w:val="300"/>
        </w:trPr>
        <w:tc>
          <w:tcPr>
            <w:tcW w:w="11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4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>A  (Health service optimisation)</w:t>
            </w:r>
          </w:p>
        </w:tc>
        <w:tc>
          <w:tcPr>
            <w:tcW w:w="15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 xml:space="preserve">B </w:t>
            </w:r>
            <w:r w:rsidRPr="00022259"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>)</w:t>
            </w:r>
            <w:r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 xml:space="preserve">(Health service optimisation +community platform strengthening) </w:t>
            </w:r>
          </w:p>
        </w:tc>
        <w:tc>
          <w:tcPr>
            <w:tcW w:w="13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>C (control)</w:t>
            </w:r>
          </w:p>
        </w:tc>
        <w:tc>
          <w:tcPr>
            <w:tcW w:w="13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>A-C</w:t>
            </w:r>
          </w:p>
        </w:tc>
        <w:tc>
          <w:tcPr>
            <w:tcW w:w="12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>Unadjusted differences-in differences  (SE)</w:t>
            </w:r>
          </w:p>
        </w:tc>
        <w:tc>
          <w:tcPr>
            <w:tcW w:w="13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>Adjusted differences-in differences (SE)</w:t>
            </w:r>
          </w:p>
        </w:tc>
        <w:tc>
          <w:tcPr>
            <w:tcW w:w="14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>B-C</w:t>
            </w:r>
          </w:p>
        </w:tc>
        <w:tc>
          <w:tcPr>
            <w:tcW w:w="13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>Unadjusted differences-in differences  (SE)</w:t>
            </w:r>
          </w:p>
        </w:tc>
        <w:tc>
          <w:tcPr>
            <w:tcW w:w="15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>Adjusted</w:t>
            </w:r>
            <w:r w:rsidRPr="00A6559E">
              <w:rPr>
                <w:rFonts w:ascii="Calibri" w:eastAsia="Times New Roman" w:hAnsi="Calibri" w:cs="Calibri"/>
                <w:b/>
                <w:bCs/>
                <w:color w:val="4F81BD"/>
                <w:vertAlign w:val="superscript"/>
                <w:lang w:eastAsia="en-IN"/>
              </w:rPr>
              <w:t>##</w:t>
            </w:r>
            <w:r w:rsidRPr="00022259"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 xml:space="preserve"> differences-in differences (SE)</w:t>
            </w:r>
          </w:p>
        </w:tc>
      </w:tr>
      <w:tr w:rsidR="00CE1EF6" w:rsidRPr="00022259" w:rsidTr="00B5710F">
        <w:trPr>
          <w:gridAfter w:val="8"/>
          <w:wAfter w:w="12416" w:type="dxa"/>
          <w:trHeight w:val="1500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4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</w:pPr>
          </w:p>
        </w:tc>
        <w:tc>
          <w:tcPr>
            <w:tcW w:w="15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</w:pPr>
          </w:p>
        </w:tc>
        <w:tc>
          <w:tcPr>
            <w:tcW w:w="13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</w:pPr>
          </w:p>
        </w:tc>
        <w:tc>
          <w:tcPr>
            <w:tcW w:w="13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</w:pPr>
          </w:p>
        </w:tc>
        <w:tc>
          <w:tcPr>
            <w:tcW w:w="12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</w:pPr>
          </w:p>
        </w:tc>
        <w:tc>
          <w:tcPr>
            <w:tcW w:w="13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</w:pPr>
          </w:p>
        </w:tc>
        <w:tc>
          <w:tcPr>
            <w:tcW w:w="14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</w:pPr>
          </w:p>
        </w:tc>
        <w:tc>
          <w:tcPr>
            <w:tcW w:w="13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</w:pPr>
          </w:p>
        </w:tc>
        <w:tc>
          <w:tcPr>
            <w:tcW w:w="1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</w:pPr>
          </w:p>
        </w:tc>
      </w:tr>
      <w:tr w:rsidR="00CE1EF6" w:rsidRPr="00022259" w:rsidTr="00B5710F">
        <w:trPr>
          <w:gridAfter w:val="8"/>
          <w:wAfter w:w="12416" w:type="dxa"/>
          <w:trHeight w:val="3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2781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F6" w:rsidRPr="00A6559E" w:rsidRDefault="00CE1EF6" w:rsidP="00B5710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color w:val="4F81BD"/>
                <w:lang w:eastAsia="en-IN"/>
              </w:rPr>
            </w:pPr>
            <w:r w:rsidRPr="00A6559E">
              <w:rPr>
                <w:rFonts w:ascii="Calibri" w:eastAsia="Times New Roman" w:hAnsi="Calibri" w:cs="Calibri"/>
                <w:b/>
                <w:color w:val="4F81BD"/>
                <w:lang w:eastAsia="en-IN"/>
              </w:rPr>
              <w:t xml:space="preserve">Mean (SE) </w:t>
            </w:r>
            <w:r>
              <w:rPr>
                <w:rFonts w:ascii="Calibri" w:eastAsia="Times New Roman" w:hAnsi="Calibri" w:cs="Calibri"/>
                <w:b/>
                <w:color w:val="4F81BD"/>
                <w:lang w:eastAsia="en-IN"/>
              </w:rPr>
              <w:t xml:space="preserve">days of </w:t>
            </w:r>
            <w:r w:rsidRPr="00A6559E">
              <w:rPr>
                <w:rFonts w:ascii="Calibri" w:eastAsia="Times New Roman" w:hAnsi="Calibri" w:cs="Calibri"/>
                <w:b/>
                <w:color w:val="4F81BD"/>
                <w:lang w:eastAsia="en-IN"/>
              </w:rPr>
              <w:t>availability of key anti-diabetic medicines at PHCs</w:t>
            </w:r>
          </w:p>
        </w:tc>
      </w:tr>
      <w:tr w:rsidR="00CE1EF6" w:rsidRPr="00022259" w:rsidTr="00B5710F">
        <w:trPr>
          <w:gridAfter w:val="8"/>
          <w:wAfter w:w="12416" w:type="dxa"/>
          <w:trHeight w:val="3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 xml:space="preserve">Baseline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309.6 (20.1)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323.4 (9.9)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335.2(6.8)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-25.6 (21.7)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-11.6 (11.0)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</w:tr>
      <w:tr w:rsidR="00CE1EF6" w:rsidRPr="00022259" w:rsidTr="00B5710F">
        <w:trPr>
          <w:gridAfter w:val="8"/>
          <w:wAfter w:w="12416" w:type="dxa"/>
          <w:trHeight w:val="6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Endline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360 (3.1)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360.4 (3.1)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354.2 (7.1)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5.8 (7.5)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31.5(22.5)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31.5(19.8)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6.2(7.8)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17.8 (14.3)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17.8(12.9)</w:t>
            </w:r>
          </w:p>
        </w:tc>
      </w:tr>
      <w:tr w:rsidR="00CE1EF6" w:rsidRPr="00022259" w:rsidTr="00B5710F">
        <w:trPr>
          <w:gridAfter w:val="8"/>
          <w:wAfter w:w="12416" w:type="dxa"/>
          <w:trHeight w:val="6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Difference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50.4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37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19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P-value</w:t>
            </w:r>
            <w:r w:rsidRPr="00A6559E">
              <w:rPr>
                <w:rFonts w:ascii="Calibri" w:eastAsia="Times New Roman" w:hAnsi="Calibri" w:cs="Calibri"/>
                <w:color w:val="4F81BD"/>
                <w:vertAlign w:val="superscript"/>
                <w:lang w:eastAsia="en-IN"/>
              </w:rPr>
              <w:t>#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0.16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0.11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P-value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0.22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0.17</w:t>
            </w:r>
          </w:p>
        </w:tc>
      </w:tr>
      <w:tr w:rsidR="00CE1EF6" w:rsidRPr="00022259" w:rsidTr="00B5710F">
        <w:trPr>
          <w:gridAfter w:val="8"/>
          <w:wAfter w:w="12416" w:type="dxa"/>
          <w:trHeight w:val="3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2781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F6" w:rsidRPr="00A6559E" w:rsidRDefault="00CE1EF6" w:rsidP="00B5710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color w:val="4F81BD"/>
                <w:lang w:eastAsia="en-IN"/>
              </w:rPr>
            </w:pPr>
            <w:r w:rsidRPr="00A6559E">
              <w:rPr>
                <w:rFonts w:ascii="Calibri" w:eastAsia="Times New Roman" w:hAnsi="Calibri" w:cs="Calibri"/>
                <w:b/>
                <w:color w:val="4F81BD"/>
                <w:lang w:eastAsia="en-IN"/>
              </w:rPr>
              <w:t xml:space="preserve">Mean (SE) </w:t>
            </w:r>
            <w:r>
              <w:rPr>
                <w:rFonts w:ascii="Calibri" w:eastAsia="Times New Roman" w:hAnsi="Calibri" w:cs="Calibri"/>
                <w:b/>
                <w:color w:val="4F81BD"/>
                <w:lang w:eastAsia="en-IN"/>
              </w:rPr>
              <w:t xml:space="preserve">days of </w:t>
            </w:r>
            <w:r w:rsidRPr="00A6559E">
              <w:rPr>
                <w:rFonts w:ascii="Calibri" w:eastAsia="Times New Roman" w:hAnsi="Calibri" w:cs="Calibri"/>
                <w:b/>
                <w:color w:val="4F81BD"/>
                <w:lang w:eastAsia="en-IN"/>
              </w:rPr>
              <w:t>availability of key anti-hypertensive medicines at PHCs</w:t>
            </w:r>
          </w:p>
        </w:tc>
      </w:tr>
      <w:tr w:rsidR="00CE1EF6" w:rsidRPr="00022259" w:rsidTr="00B5710F">
        <w:trPr>
          <w:gridAfter w:val="8"/>
          <w:wAfter w:w="12416" w:type="dxa"/>
          <w:trHeight w:val="3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 xml:space="preserve">Baseline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342.7 (11.8)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325.7 (19.9)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353.4 (6.4)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-10.7 (14.9)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-27.7 (20.5)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</w:tr>
      <w:tr w:rsidR="00CE1EF6" w:rsidRPr="00022259" w:rsidTr="00B5710F">
        <w:trPr>
          <w:gridAfter w:val="8"/>
          <w:wAfter w:w="12416" w:type="dxa"/>
          <w:trHeight w:val="6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Endline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361.5 (2.5)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331.1 (27.8)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360.3 (3.1)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1.2 (4.3)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11.9 (14.0)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11.9 (14.1)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-29.2 (28.5)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-1.5 (34.9)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-1.5 (37.4)</w:t>
            </w:r>
          </w:p>
        </w:tc>
      </w:tr>
      <w:tr w:rsidR="00CE1EF6" w:rsidRPr="00022259" w:rsidTr="00B5710F">
        <w:trPr>
          <w:gridAfter w:val="8"/>
          <w:wAfter w:w="12416" w:type="dxa"/>
          <w:trHeight w:val="6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lastRenderedPageBreak/>
              <w:t>Difference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18.8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5.4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6.9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P-value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0.4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0.39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P-value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0.96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0.96</w:t>
            </w:r>
          </w:p>
        </w:tc>
      </w:tr>
      <w:tr w:rsidR="00CE1EF6" w:rsidRPr="00022259" w:rsidTr="00B5710F">
        <w:trPr>
          <w:gridAfter w:val="8"/>
          <w:wAfter w:w="12416" w:type="dxa"/>
          <w:trHeight w:val="6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>A (N=723)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>B (N=688)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>C (N=608)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>A-C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>Unadjusted differences-in differences  (SE)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>Adjusted differences-in differences (SE)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>B-C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>Unadjusted differences-in differences  (SE)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>Adjusted</w:t>
            </w:r>
            <w:r w:rsidRPr="00A6559E">
              <w:rPr>
                <w:rFonts w:ascii="Calibri" w:eastAsia="Times New Roman" w:hAnsi="Calibri" w:cs="Calibri"/>
                <w:b/>
                <w:bCs/>
                <w:color w:val="4F81BD"/>
                <w:vertAlign w:val="superscript"/>
                <w:lang w:eastAsia="en-IN"/>
              </w:rPr>
              <w:t>##</w:t>
            </w:r>
            <w:r w:rsidRPr="00022259">
              <w:rPr>
                <w:rFonts w:ascii="Calibri" w:eastAsia="Times New Roman" w:hAnsi="Calibri" w:cs="Calibri"/>
                <w:b/>
                <w:bCs/>
                <w:color w:val="4F81BD"/>
                <w:lang w:eastAsia="en-IN"/>
              </w:rPr>
              <w:t xml:space="preserve"> differences-in differences (SE)</w:t>
            </w:r>
          </w:p>
        </w:tc>
      </w:tr>
      <w:tr w:rsidR="00CE1EF6" w:rsidRPr="00022259" w:rsidTr="00B5710F">
        <w:trPr>
          <w:trHeight w:val="3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2781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E1EF6" w:rsidRPr="00A6559E" w:rsidRDefault="00CE1EF6" w:rsidP="00B5710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color w:val="4F81BD"/>
                <w:lang w:eastAsia="en-IN"/>
              </w:rPr>
            </w:pPr>
          </w:p>
        </w:tc>
        <w:tc>
          <w:tcPr>
            <w:tcW w:w="1552" w:type="dxa"/>
            <w:vAlign w:val="center"/>
          </w:tcPr>
          <w:p w:rsidR="00CE1EF6" w:rsidRPr="00022259" w:rsidRDefault="00CE1EF6" w:rsidP="00B5710F">
            <w:pPr>
              <w:spacing w:after="200" w:line="480" w:lineRule="auto"/>
            </w:pPr>
          </w:p>
        </w:tc>
        <w:tc>
          <w:tcPr>
            <w:tcW w:w="1552" w:type="dxa"/>
            <w:vAlign w:val="center"/>
          </w:tcPr>
          <w:p w:rsidR="00CE1EF6" w:rsidRPr="00022259" w:rsidRDefault="00CE1EF6" w:rsidP="00B5710F">
            <w:pPr>
              <w:spacing w:after="200" w:line="480" w:lineRule="auto"/>
            </w:pPr>
          </w:p>
        </w:tc>
        <w:tc>
          <w:tcPr>
            <w:tcW w:w="1552" w:type="dxa"/>
            <w:vAlign w:val="center"/>
          </w:tcPr>
          <w:p w:rsidR="00CE1EF6" w:rsidRPr="00022259" w:rsidRDefault="00CE1EF6" w:rsidP="00B5710F">
            <w:pPr>
              <w:spacing w:after="200" w:line="480" w:lineRule="auto"/>
            </w:pPr>
          </w:p>
        </w:tc>
        <w:tc>
          <w:tcPr>
            <w:tcW w:w="1552" w:type="dxa"/>
            <w:vAlign w:val="center"/>
          </w:tcPr>
          <w:p w:rsidR="00CE1EF6" w:rsidRPr="00022259" w:rsidRDefault="00CE1EF6" w:rsidP="00B5710F">
            <w:pPr>
              <w:spacing w:after="200" w:line="480" w:lineRule="auto"/>
            </w:pPr>
          </w:p>
        </w:tc>
        <w:tc>
          <w:tcPr>
            <w:tcW w:w="1552" w:type="dxa"/>
            <w:vAlign w:val="center"/>
          </w:tcPr>
          <w:p w:rsidR="00CE1EF6" w:rsidRPr="00022259" w:rsidRDefault="00CE1EF6" w:rsidP="00B5710F">
            <w:pPr>
              <w:spacing w:after="200" w:line="480" w:lineRule="auto"/>
            </w:pPr>
          </w:p>
        </w:tc>
        <w:tc>
          <w:tcPr>
            <w:tcW w:w="1552" w:type="dxa"/>
            <w:vAlign w:val="center"/>
          </w:tcPr>
          <w:p w:rsidR="00CE1EF6" w:rsidRPr="00022259" w:rsidRDefault="00CE1EF6" w:rsidP="00B5710F">
            <w:pPr>
              <w:spacing w:after="200" w:line="480" w:lineRule="auto"/>
            </w:pPr>
          </w:p>
        </w:tc>
        <w:tc>
          <w:tcPr>
            <w:tcW w:w="1552" w:type="dxa"/>
            <w:vAlign w:val="center"/>
          </w:tcPr>
          <w:p w:rsidR="00CE1EF6" w:rsidRPr="00022259" w:rsidRDefault="00CE1EF6" w:rsidP="00B5710F">
            <w:pPr>
              <w:spacing w:after="200" w:line="480" w:lineRule="auto"/>
            </w:pPr>
          </w:p>
        </w:tc>
        <w:tc>
          <w:tcPr>
            <w:tcW w:w="1552" w:type="dxa"/>
            <w:vAlign w:val="center"/>
          </w:tcPr>
          <w:p w:rsidR="00CE1EF6" w:rsidRPr="00022259" w:rsidRDefault="00CE1EF6" w:rsidP="00B5710F">
            <w:pPr>
              <w:spacing w:after="200" w:line="480" w:lineRule="auto"/>
            </w:pPr>
          </w:p>
        </w:tc>
      </w:tr>
      <w:tr w:rsidR="00CE1EF6" w:rsidRPr="00022259" w:rsidTr="00B5710F">
        <w:trPr>
          <w:gridAfter w:val="8"/>
          <w:wAfter w:w="12416" w:type="dxa"/>
          <w:trHeight w:val="3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2781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F6" w:rsidRPr="00A6559E" w:rsidRDefault="00CE1EF6" w:rsidP="00B5710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color w:val="4F81BD"/>
                <w:lang w:eastAsia="en-IN"/>
              </w:rPr>
            </w:pPr>
            <w:r w:rsidRPr="00A6559E">
              <w:rPr>
                <w:rFonts w:ascii="Calibri" w:eastAsia="Times New Roman" w:hAnsi="Calibri" w:cs="Calibri"/>
                <w:b/>
                <w:color w:val="4F81BD"/>
                <w:lang w:eastAsia="en-IN"/>
              </w:rPr>
              <w:t>Mean (SE) proportion of patients could obtain NCD medicines</w:t>
            </w:r>
            <w:r>
              <w:rPr>
                <w:rFonts w:ascii="Calibri" w:eastAsia="Times New Roman" w:hAnsi="Calibri" w:cs="Calibri"/>
                <w:b/>
                <w:color w:val="4F81BD"/>
                <w:lang w:eastAsia="en-IN"/>
              </w:rPr>
              <w:t xml:space="preserve"> from PHCs</w:t>
            </w:r>
          </w:p>
        </w:tc>
      </w:tr>
      <w:tr w:rsidR="00CE1EF6" w:rsidRPr="00022259" w:rsidTr="00B5710F">
        <w:trPr>
          <w:gridAfter w:val="8"/>
          <w:wAfter w:w="12416" w:type="dxa"/>
          <w:trHeight w:val="6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 xml:space="preserve">Baseline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8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.2 (1.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6)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14.9 (1.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8)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9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.3(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1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.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7)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-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1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.1 (2.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3)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5.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6 (2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.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7)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</w:tr>
      <w:tr w:rsidR="00CE1EF6" w:rsidRPr="00022259" w:rsidTr="00B5710F">
        <w:trPr>
          <w:gridAfter w:val="8"/>
          <w:wAfter w:w="12416" w:type="dxa"/>
          <w:trHeight w:val="6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Endline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11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.4(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1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.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6)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18.5(1.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8)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10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.8 (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1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.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7)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0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.6 (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2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.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3)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1.7 (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3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.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3)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2.2 (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3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.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2)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7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.7 (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2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.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7)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2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.1 (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3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.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8)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3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.8 (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5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.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1)</w:t>
            </w:r>
          </w:p>
        </w:tc>
      </w:tr>
      <w:tr w:rsidR="00CE1EF6" w:rsidRPr="00022259" w:rsidTr="00B5710F">
        <w:trPr>
          <w:gridAfter w:val="8"/>
          <w:wAfter w:w="12416" w:type="dxa"/>
          <w:trHeight w:val="6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Difference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3.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3.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1.</w:t>
            </w: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P-value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0.61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0.50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P-value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0.56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0.65</w:t>
            </w:r>
          </w:p>
        </w:tc>
      </w:tr>
      <w:tr w:rsidR="00CE1EF6" w:rsidRPr="00022259" w:rsidTr="00B5710F">
        <w:trPr>
          <w:gridAfter w:val="8"/>
          <w:wAfter w:w="12416" w:type="dxa"/>
          <w:trHeight w:val="3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2781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F6" w:rsidRPr="00A6559E" w:rsidRDefault="00CE1EF6" w:rsidP="00B5710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color w:val="4F81BD"/>
                <w:lang w:eastAsia="en-IN"/>
              </w:rPr>
            </w:pPr>
            <w:r w:rsidRPr="00A6559E">
              <w:rPr>
                <w:rFonts w:ascii="Calibri" w:eastAsia="Times New Roman" w:hAnsi="Calibri" w:cs="Calibri"/>
                <w:b/>
                <w:color w:val="4F81BD"/>
                <w:lang w:eastAsia="en-IN"/>
              </w:rPr>
              <w:t>Mean (SE) OOP</w:t>
            </w:r>
            <w:r>
              <w:rPr>
                <w:rFonts w:ascii="Calibri" w:eastAsia="Times New Roman" w:hAnsi="Calibri" w:cs="Calibri"/>
                <w:b/>
                <w:color w:val="4F81BD"/>
                <w:lang w:eastAsia="en-IN"/>
              </w:rPr>
              <w:t xml:space="preserve"> in INR</w:t>
            </w:r>
            <w:r w:rsidRPr="00A6559E">
              <w:rPr>
                <w:rFonts w:ascii="Calibri" w:eastAsia="Times New Roman" w:hAnsi="Calibri" w:cs="Calibri"/>
                <w:b/>
                <w:color w:val="4F81BD"/>
                <w:lang w:eastAsia="en-IN"/>
              </w:rPr>
              <w:t xml:space="preserve"> on NCD medicines per month </w:t>
            </w:r>
          </w:p>
        </w:tc>
      </w:tr>
      <w:tr w:rsidR="00CE1EF6" w:rsidRPr="00022259" w:rsidTr="00B5710F">
        <w:trPr>
          <w:gridAfter w:val="8"/>
          <w:wAfter w:w="12416" w:type="dxa"/>
          <w:trHeight w:val="9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 xml:space="preserve">Baseline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221.80 (30.03)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175.994(26.14)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224.47 (31.93)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-2.665 (43.83)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-48.47(37.81)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</w:tr>
      <w:tr w:rsidR="00CE1EF6" w:rsidRPr="00022259" w:rsidTr="00B5710F">
        <w:trPr>
          <w:gridAfter w:val="8"/>
          <w:wAfter w:w="12416" w:type="dxa"/>
          <w:trHeight w:val="9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color w:val="4F81BD"/>
                <w:lang w:eastAsia="en-IN"/>
              </w:rPr>
              <w:lastRenderedPageBreak/>
              <w:t>Endline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290.14 (29.45)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203.57(26.06)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319.08 (32.78)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-28.94 (44.07)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-26.28 (62.16)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-21.61(60.66)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-115.51(38.29)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-67.03(53.02)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-65.16(52.63)</w:t>
            </w:r>
          </w:p>
        </w:tc>
      </w:tr>
      <w:tr w:rsidR="00CE1EF6" w:rsidRPr="00022259" w:rsidTr="00B5710F">
        <w:trPr>
          <w:gridAfter w:val="8"/>
          <w:wAfter w:w="12416" w:type="dxa"/>
          <w:trHeight w:val="6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Difference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68.34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27.58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94.61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P-value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0.67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0.71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P-value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0.21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0.23</w:t>
            </w:r>
          </w:p>
        </w:tc>
      </w:tr>
      <w:tr w:rsidR="00CE1EF6" w:rsidRPr="00022259" w:rsidTr="00B5710F">
        <w:trPr>
          <w:gridAfter w:val="8"/>
          <w:wAfter w:w="12416" w:type="dxa"/>
          <w:trHeight w:val="3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2781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F6" w:rsidRPr="00A6559E" w:rsidRDefault="00CE1EF6" w:rsidP="00B5710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color w:val="4F81BD"/>
                <w:lang w:eastAsia="en-IN"/>
              </w:rPr>
            </w:pPr>
            <w:r w:rsidRPr="00A6559E">
              <w:rPr>
                <w:rFonts w:ascii="Calibri" w:eastAsia="Times New Roman" w:hAnsi="Calibri" w:cs="Calibri"/>
                <w:b/>
                <w:color w:val="4F81BD"/>
                <w:lang w:eastAsia="en-IN"/>
              </w:rPr>
              <w:t xml:space="preserve">Mean(SE) number of days for which medicine obtained by patients </w:t>
            </w:r>
          </w:p>
        </w:tc>
      </w:tr>
      <w:tr w:rsidR="00CE1EF6" w:rsidRPr="00022259" w:rsidTr="00B5710F">
        <w:trPr>
          <w:gridAfter w:val="8"/>
          <w:wAfter w:w="12416" w:type="dxa"/>
          <w:trHeight w:val="6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 xml:space="preserve">Baseline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19.226 (0.56)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19.75 (0.53)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18.891 (0.59)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0.335 (0.81)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0.86 (0.77)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</w:p>
        </w:tc>
      </w:tr>
      <w:tr w:rsidR="00CE1EF6" w:rsidRPr="00022259" w:rsidTr="00B5710F">
        <w:trPr>
          <w:gridAfter w:val="8"/>
          <w:wAfter w:w="12416" w:type="dxa"/>
          <w:trHeight w:val="9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Endline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21.228 (0.54)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21.601 (0.53)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21.600(0.61)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-0.372(0.82)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-0.707 (1.16)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-0.578 (1.14)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0.001 (0.785)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-0.859 (1.1)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-0.751(1.095)</w:t>
            </w:r>
          </w:p>
        </w:tc>
      </w:tr>
      <w:tr w:rsidR="00CE1EF6" w:rsidRPr="00022259" w:rsidTr="00B5710F">
        <w:trPr>
          <w:gridAfter w:val="8"/>
          <w:wAfter w:w="12416" w:type="dxa"/>
          <w:trHeight w:val="615"/>
        </w:trPr>
        <w:tc>
          <w:tcPr>
            <w:tcW w:w="1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Difference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2.002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1.85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2.709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P-value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0.54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 </w:t>
            </w: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0.61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 w:rsidRPr="00022259">
              <w:rPr>
                <w:rFonts w:ascii="Calibri" w:eastAsia="Times New Roman" w:hAnsi="Calibri" w:cs="Calibri"/>
                <w:color w:val="4F81BD"/>
                <w:lang w:eastAsia="en-IN"/>
              </w:rPr>
              <w:t>P- Value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0.49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F6" w:rsidRPr="00022259" w:rsidRDefault="00CE1EF6" w:rsidP="00B5710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4F81BD"/>
                <w:lang w:eastAsia="en-IN"/>
              </w:rPr>
            </w:pPr>
            <w:r>
              <w:rPr>
                <w:rFonts w:ascii="Calibri" w:eastAsia="Times New Roman" w:hAnsi="Calibri" w:cs="Calibri"/>
                <w:color w:val="4F81BD"/>
                <w:lang w:eastAsia="en-IN"/>
              </w:rPr>
              <w:t>0.49</w:t>
            </w:r>
          </w:p>
        </w:tc>
      </w:tr>
    </w:tbl>
    <w:p w:rsidR="00B7464B" w:rsidRDefault="00CE1EF6" w:rsidP="00CE1EF6">
      <w:r>
        <w:rPr>
          <w:rFonts w:cs="Times New Roman"/>
          <w:sz w:val="20"/>
          <w:szCs w:val="20"/>
        </w:rPr>
        <w:t xml:space="preserve">## </w:t>
      </w:r>
      <w:r w:rsidRPr="00A6559E">
        <w:rPr>
          <w:rFonts w:cs="Times New Roman"/>
          <w:i/>
          <w:sz w:val="20"/>
          <w:szCs w:val="20"/>
        </w:rPr>
        <w:t>Means and</w:t>
      </w:r>
      <w:r>
        <w:rPr>
          <w:rFonts w:cs="Times New Roman"/>
          <w:i/>
          <w:sz w:val="20"/>
          <w:szCs w:val="20"/>
        </w:rPr>
        <w:t xml:space="preserve"> robust</w:t>
      </w:r>
      <w:r w:rsidRPr="00A6559E">
        <w:rPr>
          <w:rFonts w:cs="Times New Roman"/>
          <w:i/>
          <w:sz w:val="20"/>
          <w:szCs w:val="20"/>
        </w:rPr>
        <w:t xml:space="preserve"> standard errors are estimated by linear regression</w:t>
      </w:r>
      <w:r>
        <w:rPr>
          <w:rFonts w:cs="Times New Roman"/>
          <w:sz w:val="20"/>
          <w:szCs w:val="20"/>
        </w:rPr>
        <w:t xml:space="preserve">    # P-</w:t>
      </w:r>
      <w:bookmarkStart w:id="0" w:name="_GoBack"/>
      <w:bookmarkEnd w:id="0"/>
      <w:r>
        <w:rPr>
          <w:rFonts w:cs="Times New Roman"/>
          <w:sz w:val="20"/>
          <w:szCs w:val="20"/>
        </w:rPr>
        <w:t>values *</w:t>
      </w:r>
      <w:r>
        <w:rPr>
          <w:rFonts w:cs="Times New Roman"/>
          <w:sz w:val="20"/>
          <w:szCs w:val="20"/>
        </w:rPr>
        <w:t>&lt;0.05 **&lt;0.01 ***&lt;0.001</w:t>
      </w:r>
    </w:p>
    <w:sectPr w:rsidR="00B7464B" w:rsidSect="00CE1EF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02D"/>
    <w:rsid w:val="00A2602D"/>
    <w:rsid w:val="00B7464B"/>
    <w:rsid w:val="00CE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2170C"/>
  <w15:chartTrackingRefBased/>
  <w15:docId w15:val="{F5448057-D0D3-41B1-8BE3-3C14D75AF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E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Manojp</dc:creator>
  <cp:keywords/>
  <dc:description/>
  <cp:lastModifiedBy>Manojp</cp:lastModifiedBy>
  <cp:revision>2</cp:revision>
  <dcterms:created xsi:type="dcterms:W3CDTF">2020-08-24T03:40:00Z</dcterms:created>
  <dcterms:modified xsi:type="dcterms:W3CDTF">2020-08-24T03:41:00Z</dcterms:modified>
</cp:coreProperties>
</file>