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cs="Times New Roman Bold"/>
          <w:b/>
          <w:bCs/>
          <w:color w:val="000000"/>
          <w:kern w:val="0"/>
          <w:sz w:val="30"/>
          <w:szCs w:val="30"/>
        </w:rPr>
      </w:pPr>
      <w:r>
        <w:rPr>
          <w:rStyle w:val="3"/>
          <w:rFonts w:hint="default" w:ascii="Times New Roman Bold" w:hAnsi="Times New Roman Bold" w:eastAsia="-apple-system" w:cs="Times New Roman Bold"/>
          <w:b/>
          <w:bCs/>
          <w:i w:val="0"/>
          <w:caps w:val="0"/>
          <w:color w:val="000000"/>
          <w:spacing w:val="0"/>
          <w:kern w:val="0"/>
          <w:sz w:val="30"/>
          <w:szCs w:val="30"/>
          <w:u w:val="none"/>
          <w:lang w:eastAsia="zh-CN" w:bidi="ar"/>
        </w:rPr>
        <w:t>S</w:t>
      </w:r>
      <w:r>
        <w:rPr>
          <w:rStyle w:val="3"/>
          <w:rFonts w:hint="default" w:ascii="Times New Roman Bold" w:hAnsi="Times New Roman Bold" w:eastAsia="-apple-system" w:cs="Times New Roman Bold"/>
          <w:b/>
          <w:bCs/>
          <w:i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 xml:space="preserve">upplementary </w:t>
      </w:r>
      <w:r>
        <w:rPr>
          <w:rStyle w:val="3"/>
          <w:rFonts w:hint="default" w:ascii="Times New Roman Bold" w:hAnsi="Times New Roman Bold" w:eastAsia="-apple-system" w:cs="Times New Roman Bold"/>
          <w:b/>
          <w:bCs/>
          <w:i w:val="0"/>
          <w:caps w:val="0"/>
          <w:color w:val="000000"/>
          <w:spacing w:val="0"/>
          <w:kern w:val="0"/>
          <w:sz w:val="30"/>
          <w:szCs w:val="30"/>
          <w:u w:val="none"/>
          <w:lang w:eastAsia="zh-CN" w:bidi="ar"/>
        </w:rPr>
        <w:t>F</w:t>
      </w:r>
      <w:r>
        <w:rPr>
          <w:rStyle w:val="3"/>
          <w:rFonts w:hint="default" w:ascii="Times New Roman Bold" w:hAnsi="Times New Roman Bold" w:eastAsia="-apple-system" w:cs="Times New Roman Bold"/>
          <w:b/>
          <w:bCs/>
          <w:i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ile</w:t>
      </w:r>
    </w:p>
    <w:p>
      <w:pPr>
        <w:adjustRightInd w:val="0"/>
        <w:snapToGrid w:val="0"/>
        <w:jc w:val="center"/>
        <w:rPr>
          <w:rFonts w:hint="default" w:ascii="Times New Roman Regular" w:hAnsi="Times New Roman Regular" w:cs="Times New Roman Regular"/>
          <w:b/>
          <w:bCs/>
          <w:color w:val="000000"/>
          <w:kern w:val="0"/>
          <w:sz w:val="24"/>
        </w:rPr>
      </w:pPr>
      <w:r>
        <w:rPr>
          <w:rFonts w:hint="default" w:ascii="Times New Roman Regular" w:hAnsi="Times New Roman Regular" w:cs="Times New Roman Regular"/>
          <w:b/>
          <w:bCs/>
          <w:color w:val="000000"/>
          <w:kern w:val="0"/>
          <w:sz w:val="24"/>
        </w:rPr>
        <w:t xml:space="preserve">Appendix 1 </w:t>
      </w:r>
      <w:r>
        <w:rPr>
          <w:rFonts w:hint="eastAsia" w:ascii="Times New Roman Regular" w:hAnsi="Times New Roman Regular" w:cs="Times New Roman Regular"/>
          <w:b/>
          <w:bCs/>
          <w:color w:val="000000"/>
          <w:kern w:val="0"/>
          <w:sz w:val="24"/>
          <w:lang w:val="en-US" w:eastAsia="zh-CN"/>
        </w:rPr>
        <w:t>The Revised C-AEP for</w:t>
      </w:r>
      <w:r>
        <w:rPr>
          <w:rFonts w:hint="default" w:ascii="Times New Roman Regular" w:hAnsi="Times New Roman Regular" w:cs="Times New Roman Regular"/>
          <w:b/>
          <w:bCs/>
          <w:color w:val="000000"/>
          <w:kern w:val="0"/>
          <w:sz w:val="24"/>
        </w:rPr>
        <w:t xml:space="preserve"> </w:t>
      </w:r>
      <w:r>
        <w:rPr>
          <w:rFonts w:hint="eastAsia" w:ascii="Times New Roman Regular" w:hAnsi="Times New Roman Regular" w:cs="Times New Roman Regular"/>
          <w:b/>
          <w:bCs/>
          <w:color w:val="000000"/>
          <w:kern w:val="0"/>
          <w:sz w:val="24"/>
          <w:lang w:val="en-US" w:eastAsia="zh-CN"/>
        </w:rPr>
        <w:t>Surgical Settings in</w:t>
      </w:r>
      <w:r>
        <w:rPr>
          <w:rFonts w:hint="default" w:ascii="Times New Roman Regular" w:hAnsi="Times New Roman Regular" w:cs="Times New Roman Regular"/>
          <w:b/>
          <w:bCs/>
          <w:color w:val="000000"/>
          <w:kern w:val="0"/>
          <w:sz w:val="24"/>
        </w:rPr>
        <w:t xml:space="preserve"> Tertiary Hospital</w:t>
      </w:r>
    </w:p>
    <w:p>
      <w:pPr>
        <w:adjustRightInd w:val="0"/>
        <w:snapToGrid w:val="0"/>
        <w:jc w:val="center"/>
        <w:rPr>
          <w:rFonts w:hint="default" w:ascii="Times New Roman Regular" w:hAnsi="Times New Roman Regular" w:cs="Times New Roman Regular"/>
          <w:b/>
          <w:bCs/>
          <w:color w:val="000000"/>
          <w:kern w:val="0"/>
          <w:sz w:val="24"/>
        </w:rPr>
      </w:pPr>
    </w:p>
    <w:tbl>
      <w:tblPr>
        <w:tblStyle w:val="4"/>
        <w:tblW w:w="8506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2727"/>
        <w:gridCol w:w="3284"/>
      </w:tblGrid>
      <w:tr>
        <w:trPr>
          <w:trHeight w:val="351" w:hRule="atLeast"/>
        </w:trPr>
        <w:tc>
          <w:tcPr>
            <w:tcW w:w="24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  <w:t>Health services (A)</w:t>
            </w:r>
          </w:p>
        </w:tc>
        <w:tc>
          <w:tcPr>
            <w:tcW w:w="27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  <w:t>Care/life support services (B)</w:t>
            </w:r>
          </w:p>
        </w:tc>
        <w:tc>
          <w:tcPr>
            <w:tcW w:w="32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  <w:t>Patient status (C)</w:t>
            </w:r>
          </w:p>
        </w:tc>
      </w:tr>
      <w:tr>
        <w:trPr>
          <w:trHeight w:val="20" w:hRule="atLeast"/>
        </w:trPr>
        <w:tc>
          <w:tcPr>
            <w:tcW w:w="24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A1 Surgical or invasive operation on the day</w:t>
            </w:r>
          </w:p>
        </w:tc>
        <w:tc>
          <w:tcPr>
            <w:tcW w:w="27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B1 Intermittent or continuous use of ventilator and/or inhalation treatment on the day</w:t>
            </w:r>
          </w:p>
        </w:tc>
        <w:tc>
          <w:tcPr>
            <w:tcW w:w="32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C1 Non-neural disorders or intestinal peristalsis in the past 24 hours</w:t>
            </w:r>
          </w:p>
        </w:tc>
      </w:tr>
      <w:tr>
        <w:trPr>
          <w:trHeight w:val="2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A2 Preoperative discussion and adequate preoperative preparation are needed on the day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B2 Intermittent or persistent intravenous nutritional support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C2 Ventricular fibrillation, acute ischemia, sinoatrial node dysfunction, atrioventricular block were recorded on the progress notes or electrocardiogram reports</w:t>
            </w:r>
          </w:p>
        </w:tc>
      </w:tr>
      <w:tr>
        <w:trPr>
          <w:trHeight w:val="2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 xml:space="preserve">A3 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he dosage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/>
              </w:rPr>
              <w:t xml:space="preserve"> of new treatment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/>
              </w:rPr>
              <w:t xml:space="preserve">or trial 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should be adjusted frequently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/>
              </w:rPr>
              <w:t xml:space="preserve"> according to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/>
              </w:rPr>
              <w:t>patients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/>
              </w:rPr>
              <w:t>’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CN"/>
              </w:rPr>
              <w:t xml:space="preserve"> conditions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B3 Continuous monitoring of vital signs is required on the day (At least once every 30 minutes for at least 4 hours)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C3 The axillary temperature &gt;38℃</w:t>
            </w:r>
          </w:p>
        </w:tc>
      </w:tr>
      <w:tr>
        <w:trPr>
          <w:trHeight w:val="20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A4 Patients had surgeries of level three or four in the last 24 hours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B4 Nursing of incision and drainage during major operation day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 xml:space="preserve">C4 Loss of consciousness(At least 1 hour) </w:t>
            </w:r>
          </w:p>
        </w:tc>
      </w:tr>
      <w:tr>
        <w:trPr>
          <w:trHeight w:val="778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A5 Multidisciplinary consultations are required on the day to develop treatment plans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B5 Being treated in ICU/CCU on the day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C5 Acute hematopathy, severe neutropenia, anemia, thrombocytopenia, leukocytosis, erythrocytosis, or thrombocytopenia with signs or symptoms</w:t>
            </w:r>
          </w:p>
        </w:tc>
      </w:tr>
      <w:tr>
        <w:trPr>
          <w:trHeight w:val="847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C6 The vital signs were abnormal &lt;50 beats/min or &gt;140 beats/min; systolic blood pressure &lt;90 mm Hg or &gt;200 diastolic blood pressure &lt;60 mm Hg or 120 mm Hg.</w:t>
            </w:r>
          </w:p>
        </w:tc>
      </w:tr>
      <w:tr>
        <w:trPr>
          <w:trHeight w:val="574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C7 Severe electrolyte imbalance or abnormal blood gas or tested with the result of critical value</w:t>
            </w:r>
          </w:p>
        </w:tc>
      </w:tr>
      <w:tr>
        <w:trPr>
          <w:trHeight w:val="554" w:hRule="atLeas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C8 Progressive or acute failure of organ or circulatory/dyspnea/ progressive acute nervous system lesions</w:t>
            </w:r>
          </w:p>
        </w:tc>
      </w:tr>
      <w:tr>
        <w:trPr>
          <w:trHeight w:val="20" w:hRule="atLeast"/>
        </w:trPr>
        <w:tc>
          <w:tcPr>
            <w:tcW w:w="24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C9 Exhiscence or active bleeding of the wound or blood transfusion due to bleeding</w:t>
            </w:r>
          </w:p>
        </w:tc>
      </w:tr>
    </w:tbl>
    <w:p>
      <w:pPr>
        <w:adjustRightInd w:val="0"/>
        <w:snapToGrid w:val="0"/>
        <w:rPr>
          <w:rFonts w:hint="default" w:ascii="Times New Roman Regular" w:hAnsi="Times New Roman Regular" w:cs="Times New Roman Regular"/>
          <w:sz w:val="24"/>
        </w:rPr>
      </w:pPr>
    </w:p>
    <w:p>
      <w:pPr>
        <w:rPr>
          <w:rFonts w:hint="default" w:ascii="Times New Roman Regular" w:hAnsi="Times New Roman Regular" w:cs="Times New Roman Regular"/>
          <w:b/>
          <w:bCs/>
          <w:color w:val="000000"/>
          <w:kern w:val="0"/>
          <w:sz w:val="24"/>
        </w:rPr>
      </w:pPr>
      <w:r>
        <w:rPr>
          <w:rFonts w:hint="default" w:ascii="Times New Roman Regular" w:hAnsi="Times New Roman Regular" w:cs="Times New Roman Regular"/>
          <w:b/>
          <w:bCs/>
          <w:color w:val="000000"/>
          <w:kern w:val="0"/>
          <w:sz w:val="24"/>
        </w:rPr>
        <w:br w:type="page"/>
      </w:r>
    </w:p>
    <w:p>
      <w:pPr>
        <w:adjustRightInd w:val="0"/>
        <w:snapToGrid w:val="0"/>
        <w:ind w:firstLine="480" w:firstLineChars="200"/>
        <w:jc w:val="center"/>
        <w:rPr>
          <w:rFonts w:hint="default" w:ascii="Times New Roman Regular" w:hAnsi="Times New Roman Regular" w:cs="Times New Roman Regular"/>
          <w:b/>
          <w:sz w:val="24"/>
        </w:rPr>
      </w:pPr>
      <w:r>
        <w:rPr>
          <w:rFonts w:hint="default" w:ascii="Times New Roman Regular" w:hAnsi="Times New Roman Regular" w:cs="Times New Roman Regular"/>
          <w:b/>
          <w:bCs/>
          <w:color w:val="000000"/>
          <w:kern w:val="0"/>
          <w:sz w:val="24"/>
        </w:rPr>
        <w:t>Appendix 2</w:t>
      </w:r>
      <w:r>
        <w:rPr>
          <w:rFonts w:hint="default" w:ascii="Times New Roman Regular" w:hAnsi="Times New Roman Regular" w:cs="Times New Roman Regular"/>
          <w:b/>
          <w:sz w:val="24"/>
        </w:rPr>
        <w:t xml:space="preserve"> </w:t>
      </w:r>
      <w:r>
        <w:rPr>
          <w:rFonts w:hint="eastAsia" w:ascii="Times New Roman Regular" w:hAnsi="Times New Roman Regular" w:cs="Times New Roman Regular"/>
          <w:b/>
          <w:sz w:val="24"/>
          <w:lang w:val="en-US" w:eastAsia="zh-CN"/>
        </w:rPr>
        <w:t>Judgement tool of reasons for</w:t>
      </w:r>
      <w:r>
        <w:rPr>
          <w:rFonts w:hint="default" w:ascii="Times New Roman Regular" w:hAnsi="Times New Roman Regular" w:cs="Times New Roman Regular"/>
          <w:b/>
          <w:sz w:val="24"/>
        </w:rPr>
        <w:t xml:space="preserve"> IHDs in Tertiary Hospital</w:t>
      </w:r>
    </w:p>
    <w:tbl>
      <w:tblPr>
        <w:tblStyle w:val="4"/>
        <w:tblW w:w="482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8"/>
        <w:gridCol w:w="3893"/>
      </w:tblGrid>
      <w:tr>
        <w:trPr>
          <w:trHeight w:val="416" w:hRule="atLeast"/>
        </w:trPr>
        <w:tc>
          <w:tcPr>
            <w:tcW w:w="263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  <w:t>Factors related to medical providers (A)</w:t>
            </w:r>
          </w:p>
        </w:tc>
        <w:tc>
          <w:tcPr>
            <w:tcW w:w="23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kern w:val="0"/>
                <w:sz w:val="20"/>
                <w:szCs w:val="20"/>
              </w:rPr>
              <w:t>Factors related to patients(B)</w:t>
            </w: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A1 Inadequate of hospital medical staff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 xml:space="preserve">B1 Request by patient or family member for 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Hans"/>
              </w:rPr>
              <w:t>prolonged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eastAsia="zh-Hans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stay</w:t>
            </w: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A2 Delays in inspection, prescription, appointment or report.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 xml:space="preserve">B2 The patient refused to 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Hans"/>
              </w:rPr>
              <w:t>discharge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 xml:space="preserve"> or transfer</w:t>
            </w: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A3 Delays in expert consultation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0"/>
                <w:szCs w:val="20"/>
              </w:rPr>
              <w:t>B3 Patients with no identity, no responsible institutions/ personnel, or no treatment bugdet</w:t>
            </w: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A4 Delays in operation (including pre-operative waiting, inadequate surgical preparation, etc.)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 xml:space="preserve">B4 Inadequate out-of-hospital services or arrangements during transfers(e.g. insufficient beds in rehabilitation or care centres) </w:t>
            </w: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A5 Doctors suspend operations for personal reasons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B5 Communities can not provide skilled care services or home care services to patients</w:t>
            </w: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A6 Delays due to the evaluation of preoperative anesthesia which is not enough to determine the effective method of anesthesia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B6 Delays due to the waiting for referra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  <w:lang w:val="en-US" w:eastAsia="zh-Hans"/>
              </w:rPr>
              <w:t>l</w:t>
            </w: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A7 Delays due to lack of operating rooms or tables which hinders the punctuality of the operation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A8 Delays due to the poor communication between medical staff or department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A9 Doctor's conservative views of patient management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A10 Waiting for bed arrangement when patients are transferred to hospital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A11 Over-examination, over-treatment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</w:tr>
      <w:tr>
        <w:trPr>
          <w:trHeight w:val="20" w:hRule="atLeast"/>
        </w:trPr>
        <w:tc>
          <w:tcPr>
            <w:tcW w:w="263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  <w:t>A12 Patients were not able to determine treatment options or sign informed consent</w:t>
            </w:r>
          </w:p>
        </w:tc>
        <w:tc>
          <w:tcPr>
            <w:tcW w:w="23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 Regular" w:hAnsi="Times New Roman Regular" w:cs="Times New Roman Regular"/>
                <w:color w:val="000000"/>
                <w:kern w:val="0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altName w:val="苹方-简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5D743E"/>
    <w:rsid w:val="0F0071FA"/>
    <w:rsid w:val="24C5B68E"/>
    <w:rsid w:val="3DFD16E1"/>
    <w:rsid w:val="4DE4207C"/>
    <w:rsid w:val="50333DEF"/>
    <w:rsid w:val="5DEB1180"/>
    <w:rsid w:val="BB5D743E"/>
    <w:rsid w:val="D3DF1F35"/>
    <w:rsid w:val="FBFFAA61"/>
    <w:rsid w:val="FF9E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2021-04-17T19:35:00Z</dcterms:created>
  <dc:creator>haoli</dc:creator>
  <cp:lastModifiedBy>haoli</cp:lastModifiedBy>
  <dcterms:modified xsi:type="dcterms:W3CDTF">2021-07-05T16:00:19Z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  <property fmtid="{D5CDD505-2E9C-101B-9397-08002B2CF9AE}" pid="3" name="ICV">
    <vt:lpwstr>1A8328FBD7D44C44BB9F64D58813A2FA</vt:lpwstr>
  </property>
</Properties>
</file>